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420"/>
        </w:tabs>
        <w:spacing w:line="1700" w:lineRule="exact"/>
        <w:jc w:val="center"/>
        <w:rPr>
          <w:rFonts w:hAnsi="宋体"/>
          <w:b/>
          <w:bCs/>
          <w:sz w:val="52"/>
          <w:szCs w:val="52"/>
        </w:rPr>
      </w:pPr>
      <w:r>
        <w:rPr>
          <w:rFonts w:hint="eastAsia" w:ascii="宋体" w:hAnsi="宋体"/>
          <w:b/>
          <w:bCs/>
          <w:sz w:val="52"/>
          <w:szCs w:val="52"/>
        </w:rPr>
        <w:t>竞争性谈判文件</w:t>
      </w:r>
    </w:p>
    <w:p>
      <w:pPr>
        <w:tabs>
          <w:tab w:val="left" w:pos="420"/>
        </w:tabs>
        <w:spacing w:line="1700" w:lineRule="exact"/>
        <w:jc w:val="center"/>
        <w:rPr>
          <w:rFonts w:hAnsi="宋体"/>
          <w:b/>
          <w:bCs/>
          <w:sz w:val="52"/>
          <w:szCs w:val="52"/>
        </w:rPr>
      </w:pPr>
      <w:r>
        <w:rPr>
          <w:rFonts w:hint="eastAsia" w:ascii="宋体" w:hAnsi="宋体"/>
          <w:b/>
          <w:bCs/>
          <w:sz w:val="52"/>
          <w:szCs w:val="52"/>
        </w:rPr>
        <w:t>（工程类）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Lines="100" w:afterLines="50" w:line="500" w:lineRule="exact"/>
        <w:ind w:right="25" w:rightChars="12"/>
        <w:jc w:val="center"/>
        <w:rPr>
          <w:rFonts w:hAnsi="宋体"/>
          <w:szCs w:val="24"/>
        </w:rPr>
      </w:pPr>
    </w:p>
    <w:p>
      <w:pPr>
        <w:tabs>
          <w:tab w:val="left" w:pos="315"/>
          <w:tab w:val="left" w:pos="8820"/>
        </w:tabs>
        <w:spacing w:beforeLines="100" w:afterLines="50" w:line="500" w:lineRule="exact"/>
        <w:ind w:right="25"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z w:val="30"/>
          <w:szCs w:val="30"/>
        </w:rPr>
      </w:pPr>
      <w:r>
        <w:rPr>
          <w:rFonts w:hint="eastAsia" w:ascii="宋体" w:hAnsi="DotumChe" w:cs="宋体"/>
          <w:b/>
          <w:spacing w:val="20"/>
          <w:kern w:val="0"/>
          <w:sz w:val="32"/>
          <w:szCs w:val="32"/>
        </w:rPr>
        <w:t>项目名称：</w:t>
      </w:r>
      <w:r>
        <w:rPr>
          <w:rFonts w:hint="eastAsia" w:hAnsi="宋体" w:cs="宋体"/>
          <w:b/>
          <w:sz w:val="30"/>
          <w:szCs w:val="30"/>
        </w:rPr>
        <w:t>新安商城巷小吃街供电线路改造工程</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ascii="宋体" w:hAnsi="DotumChe" w:cs="宋体"/>
          <w:b/>
          <w:spacing w:val="20"/>
          <w:kern w:val="0"/>
          <w:sz w:val="32"/>
          <w:szCs w:val="32"/>
        </w:rPr>
        <w:t>项目编号：2023GW000</w:t>
      </w:r>
      <w:r>
        <w:rPr>
          <w:rFonts w:hint="eastAsia" w:hAnsi="DotumChe" w:cs="宋体"/>
          <w:b/>
          <w:spacing w:val="20"/>
          <w:kern w:val="0"/>
          <w:sz w:val="32"/>
          <w:szCs w:val="32"/>
          <w:lang w:val="en-US" w:eastAsia="zh-CN"/>
        </w:rPr>
        <w:t>5</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ascii="宋体" w:hAnsi="DotumChe" w:cs="宋体"/>
          <w:b/>
          <w:spacing w:val="20"/>
          <w:kern w:val="0"/>
          <w:sz w:val="32"/>
          <w:szCs w:val="32"/>
        </w:rPr>
        <w:t>招 标 人：</w:t>
      </w:r>
      <w:r>
        <w:rPr>
          <w:rFonts w:hint="eastAsia" w:hAnsi="DotumChe" w:cs="宋体"/>
          <w:b/>
          <w:spacing w:val="20"/>
          <w:kern w:val="0"/>
          <w:sz w:val="32"/>
          <w:szCs w:val="32"/>
        </w:rPr>
        <w:t>合肥城隍庙商业运营管理有限公司</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ascii="宋体" w:hAnsi="DotumChe" w:cs="宋体"/>
          <w:b/>
          <w:spacing w:val="20"/>
          <w:kern w:val="0"/>
          <w:sz w:val="32"/>
          <w:szCs w:val="32"/>
        </w:rPr>
        <w:t>招标时间：二〇二三年</w:t>
      </w:r>
      <w:r>
        <w:rPr>
          <w:rFonts w:hint="eastAsia" w:hAnsi="DotumChe" w:cs="宋体"/>
          <w:b/>
          <w:spacing w:val="20"/>
          <w:kern w:val="0"/>
          <w:sz w:val="32"/>
          <w:szCs w:val="32"/>
        </w:rPr>
        <w:t>三</w:t>
      </w:r>
      <w:r>
        <w:rPr>
          <w:rFonts w:hint="eastAsia" w:ascii="宋体" w:hAnsi="DotumChe" w:cs="宋体"/>
          <w:b/>
          <w:spacing w:val="20"/>
          <w:kern w:val="0"/>
          <w:sz w:val="32"/>
          <w:szCs w:val="32"/>
        </w:rPr>
        <w:t>月</w:t>
      </w:r>
    </w:p>
    <w:p>
      <w:pPr>
        <w:spacing w:afterLines="150" w:line="540" w:lineRule="exact"/>
        <w:jc w:val="center"/>
        <w:rPr>
          <w:rFonts w:hAnsi="宋体"/>
          <w:b/>
          <w:sz w:val="52"/>
          <w:szCs w:val="52"/>
        </w:rPr>
      </w:pPr>
    </w:p>
    <w:p>
      <w:pPr>
        <w:pStyle w:val="17"/>
        <w:ind w:firstLine="210"/>
      </w:pPr>
    </w:p>
    <w:p>
      <w:pPr>
        <w:tabs>
          <w:tab w:val="left" w:pos="7343"/>
        </w:tabs>
        <w:jc w:val="left"/>
      </w:pPr>
      <w:r>
        <w:rPr>
          <w:rFonts w:hint="eastAsia"/>
          <w:sz w:val="24"/>
        </w:rPr>
        <w:tab/>
      </w:r>
    </w:p>
    <w:p>
      <w:pPr>
        <w:spacing w:afterLines="150" w:line="540" w:lineRule="exact"/>
        <w:jc w:val="center"/>
        <w:rPr>
          <w:rFonts w:hAnsi="宋体"/>
          <w:b/>
          <w:sz w:val="52"/>
          <w:szCs w:val="52"/>
        </w:rPr>
      </w:pPr>
      <w:r>
        <w:rPr>
          <w:rFonts w:hint="eastAsia" w:hAnsi="宋体"/>
          <w:b/>
          <w:sz w:val="52"/>
          <w:szCs w:val="52"/>
        </w:rPr>
        <w:t>目  录</w:t>
      </w:r>
    </w:p>
    <w:p>
      <w:pPr>
        <w:pStyle w:val="14"/>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"_Toc1223" </w:instrText>
      </w:r>
      <w:r>
        <w:fldChar w:fldCharType="separate"/>
      </w:r>
      <w:r>
        <w:rPr>
          <w:rFonts w:hint="eastAsia"/>
          <w:szCs w:val="24"/>
        </w:rPr>
        <w:t xml:space="preserve">第一章 </w:t>
      </w:r>
      <w:r>
        <w:rPr>
          <w:rFonts w:hint="eastAsia"/>
        </w:rPr>
        <w:t>谈判邀请（谈判公告）</w:t>
      </w:r>
      <w:r>
        <w:tab/>
      </w:r>
      <w:r>
        <w:fldChar w:fldCharType="begin"/>
      </w:r>
      <w:r>
        <w:instrText xml:space="preserve"> PAGEREF _Toc1223 \h </w:instrText>
      </w:r>
      <w:r>
        <w:fldChar w:fldCharType="separate"/>
      </w:r>
      <w:r>
        <w:t>3</w:t>
      </w:r>
      <w:r>
        <w:fldChar w:fldCharType="end"/>
      </w:r>
      <w:r>
        <w:fldChar w:fldCharType="end"/>
      </w:r>
    </w:p>
    <w:p>
      <w:pPr>
        <w:pStyle w:val="14"/>
        <w:tabs>
          <w:tab w:val="right" w:leader="dot" w:pos="8504"/>
        </w:tabs>
      </w:pPr>
      <w:r>
        <w:fldChar w:fldCharType="begin"/>
      </w:r>
      <w:r>
        <w:instrText xml:space="preserve"> HYPERLINK \l "_Toc15002" </w:instrText>
      </w:r>
      <w:r>
        <w:fldChar w:fldCharType="separate"/>
      </w:r>
      <w:r>
        <w:rPr>
          <w:rFonts w:hint="eastAsia" w:hAnsi="宋体"/>
        </w:rPr>
        <w:t>第二章  投标人须知</w:t>
      </w:r>
      <w:r>
        <w:tab/>
      </w:r>
      <w:r>
        <w:fldChar w:fldCharType="begin"/>
      </w:r>
      <w:r>
        <w:instrText xml:space="preserve"> PAGEREF _Toc15002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"_Toc1439" </w:instrText>
      </w:r>
      <w:r>
        <w:fldChar w:fldCharType="separate"/>
      </w:r>
      <w:r>
        <w:rPr>
          <w:rFonts w:hint="eastAsia" w:ascii="宋体" w:hAnsi="Times New Roman" w:cs="Times New Roman"/>
        </w:rPr>
        <w:t>第三章 招标</w:t>
      </w:r>
      <w:r>
        <w:rPr>
          <w:rFonts w:hint="eastAsia"/>
        </w:rPr>
        <w:t>需求</w:t>
      </w:r>
      <w:r>
        <w:tab/>
      </w:r>
      <w:r>
        <w:fldChar w:fldCharType="begin"/>
      </w:r>
      <w:r>
        <w:instrText xml:space="preserve"> PAGEREF _Toc1439 \h </w:instrText>
      </w:r>
      <w:r>
        <w:fldChar w:fldCharType="separate"/>
      </w:r>
      <w:r>
        <w:t>25</w:t>
      </w:r>
      <w:r>
        <w:fldChar w:fldCharType="end"/>
      </w:r>
      <w:r>
        <w:fldChar w:fldCharType="end"/>
      </w:r>
    </w:p>
    <w:p>
      <w:pPr>
        <w:pStyle w:val="14"/>
        <w:tabs>
          <w:tab w:val="right" w:leader="dot" w:pos="8504"/>
        </w:tabs>
      </w:pPr>
      <w:r>
        <w:fldChar w:fldCharType="begin"/>
      </w:r>
      <w:r>
        <w:instrText xml:space="preserve"> HYPERLINK \l "_Toc18932" </w:instrText>
      </w:r>
      <w:r>
        <w:fldChar w:fldCharType="separate"/>
      </w:r>
      <w:r>
        <w:rPr>
          <w:rFonts w:hint="eastAsia" w:ascii="黑体" w:hAnsi="黑体" w:eastAsia="黑体"/>
        </w:rPr>
        <w:t>第四章  谈判与评审办法</w:t>
      </w:r>
      <w:r>
        <w:tab/>
      </w:r>
      <w:r>
        <w:fldChar w:fldCharType="begin"/>
      </w:r>
      <w:r>
        <w:instrText xml:space="preserve"> PAGEREF _Toc18932 \h </w:instrText>
      </w:r>
      <w:r>
        <w:fldChar w:fldCharType="separate"/>
      </w:r>
      <w:r>
        <w:t>27</w:t>
      </w:r>
      <w:r>
        <w:fldChar w:fldCharType="end"/>
      </w:r>
      <w:r>
        <w:fldChar w:fldCharType="end"/>
      </w:r>
    </w:p>
    <w:p>
      <w:pPr>
        <w:pStyle w:val="14"/>
        <w:tabs>
          <w:tab w:val="right" w:leader="dot" w:pos="8504"/>
        </w:tabs>
      </w:pPr>
      <w:r>
        <w:fldChar w:fldCharType="begin"/>
      </w:r>
      <w:r>
        <w:instrText xml:space="preserve"> HYPERLINK \l "_Toc14374" </w:instrText>
      </w:r>
      <w:r>
        <w:fldChar w:fldCharType="separate"/>
      </w:r>
      <w:r>
        <w:rPr>
          <w:rFonts w:hint="eastAsia" w:ascii="宋体" w:hAnsi="Times New Roman" w:cs="Times New Roman"/>
        </w:rPr>
        <w:t>第五章 合同条款及格式（另行提供）</w:t>
      </w:r>
      <w:r>
        <w:tab/>
      </w:r>
      <w:r>
        <w:fldChar w:fldCharType="begin"/>
      </w:r>
      <w:r>
        <w:instrText xml:space="preserve"> PAGEREF _Toc14374 \h </w:instrText>
      </w:r>
      <w:r>
        <w:fldChar w:fldCharType="separate"/>
      </w:r>
      <w:r>
        <w:t>30</w:t>
      </w:r>
      <w:r>
        <w:fldChar w:fldCharType="end"/>
      </w:r>
      <w:r>
        <w:fldChar w:fldCharType="end"/>
      </w:r>
    </w:p>
    <w:p>
      <w:pPr>
        <w:pStyle w:val="14"/>
        <w:tabs>
          <w:tab w:val="right" w:leader="dot" w:pos="8504"/>
        </w:tabs>
      </w:pPr>
      <w:r>
        <w:fldChar w:fldCharType="begin"/>
      </w:r>
      <w:r>
        <w:instrText xml:space="preserve"> HYPERLINK \l "_Toc25452" </w:instrText>
      </w:r>
      <w:r>
        <w:fldChar w:fldCharType="separate"/>
      </w:r>
      <w:r>
        <w:rPr>
          <w:rFonts w:hint="eastAsia" w:ascii="宋体" w:hAnsi="Times New Roman" w:cs="Times New Roman"/>
        </w:rPr>
        <w:t>第六章技术标准和要求</w:t>
      </w:r>
      <w:r>
        <w:tab/>
      </w:r>
      <w:r>
        <w:fldChar w:fldCharType="begin"/>
      </w:r>
      <w:r>
        <w:instrText xml:space="preserve"> PAGEREF _Toc25452 \h </w:instrText>
      </w:r>
      <w:r>
        <w:fldChar w:fldCharType="separate"/>
      </w:r>
      <w:r>
        <w:t>31</w:t>
      </w:r>
      <w:r>
        <w:fldChar w:fldCharType="end"/>
      </w:r>
      <w:r>
        <w:fldChar w:fldCharType="end"/>
      </w:r>
    </w:p>
    <w:p>
      <w:pPr>
        <w:pStyle w:val="14"/>
        <w:tabs>
          <w:tab w:val="right" w:leader="dot" w:pos="8504"/>
        </w:tabs>
      </w:pPr>
      <w:r>
        <w:fldChar w:fldCharType="begin"/>
      </w:r>
      <w:r>
        <w:instrText xml:space="preserve"> HYPERLINK \l "_Toc11959" </w:instrText>
      </w:r>
      <w:r>
        <w:fldChar w:fldCharType="separate"/>
      </w:r>
      <w:r>
        <w:rPr>
          <w:rFonts w:hint="eastAsia" w:ascii="宋体" w:hAnsi="Times New Roman" w:cs="Times New Roman"/>
        </w:rPr>
        <w:t>第七章 响应文件格式</w:t>
      </w:r>
      <w:r>
        <w:tab/>
      </w:r>
      <w:r>
        <w:fldChar w:fldCharType="begin"/>
      </w:r>
      <w:r>
        <w:instrText xml:space="preserve"> PAGEREF _Toc11959 \h </w:instrText>
      </w:r>
      <w:r>
        <w:fldChar w:fldCharType="separate"/>
      </w:r>
      <w:r>
        <w:t>32</w:t>
      </w:r>
      <w:r>
        <w:fldChar w:fldCharType="end"/>
      </w:r>
      <w:r>
        <w:fldChar w:fldCharType="end"/>
      </w:r>
    </w:p>
    <w:p>
      <w:pPr>
        <w:pStyle w:val="15"/>
        <w:tabs>
          <w:tab w:val="right" w:leader="dot" w:pos="8504"/>
        </w:tabs>
      </w:pPr>
      <w:r>
        <w:fldChar w:fldCharType="begin"/>
      </w:r>
      <w:r>
        <w:instrText xml:space="preserve"> HYPERLINK \l "_Toc6513" </w:instrText>
      </w:r>
      <w:r>
        <w:fldChar w:fldCharType="separate"/>
      </w:r>
      <w:r>
        <w:rPr>
          <w:rFonts w:hint="eastAsia" w:ascii="黑体" w:hAnsi="黑体" w:eastAsia="黑体"/>
          <w:szCs w:val="44"/>
        </w:rPr>
        <w:t>响应文件</w:t>
      </w:r>
      <w:r>
        <w:tab/>
      </w:r>
      <w:r>
        <w:fldChar w:fldCharType="begin"/>
      </w:r>
      <w:r>
        <w:instrText xml:space="preserve"> PAGEREF _Toc6513 \h </w:instrText>
      </w:r>
      <w:r>
        <w:fldChar w:fldCharType="separate"/>
      </w:r>
      <w:r>
        <w:t>32</w:t>
      </w:r>
      <w:r>
        <w:fldChar w:fldCharType="end"/>
      </w:r>
      <w:r>
        <w:fldChar w:fldCharType="end"/>
      </w:r>
    </w:p>
    <w:p>
      <w:pPr>
        <w:pStyle w:val="15"/>
        <w:tabs>
          <w:tab w:val="right" w:leader="dot" w:pos="8504"/>
        </w:tabs>
      </w:pPr>
      <w:r>
        <w:fldChar w:fldCharType="begin"/>
      </w:r>
      <w:r>
        <w:instrText xml:space="preserve"> HYPERLINK \l "_Toc6048" </w:instrText>
      </w:r>
      <w:r>
        <w:fldChar w:fldCharType="separate"/>
      </w:r>
      <w:r>
        <w:rPr>
          <w:rFonts w:hint="eastAsia" w:ascii="黑体" w:eastAsia="黑体"/>
          <w:szCs w:val="28"/>
        </w:rPr>
        <w:t>目  录</w:t>
      </w:r>
      <w:r>
        <w:tab/>
      </w:r>
      <w:r>
        <w:fldChar w:fldCharType="begin"/>
      </w:r>
      <w:r>
        <w:instrText xml:space="preserve"> PAGEREF _Toc6048 \h </w:instrText>
      </w:r>
      <w:r>
        <w:fldChar w:fldCharType="separate"/>
      </w:r>
      <w:r>
        <w:t>33</w:t>
      </w:r>
      <w:r>
        <w:fldChar w:fldCharType="end"/>
      </w:r>
      <w:r>
        <w:fldChar w:fldCharType="end"/>
      </w:r>
    </w:p>
    <w:p>
      <w:pPr>
        <w:pStyle w:val="15"/>
        <w:tabs>
          <w:tab w:val="right" w:leader="dot" w:pos="8504"/>
        </w:tabs>
      </w:pPr>
      <w:r>
        <w:fldChar w:fldCharType="begin"/>
      </w:r>
      <w:r>
        <w:instrText xml:space="preserve"> HYPERLINK \l "_Toc13673" </w:instrText>
      </w:r>
      <w:r>
        <w:fldChar w:fldCharType="separate"/>
      </w:r>
      <w:r>
        <w:rPr>
          <w:rFonts w:hint="eastAsia" w:ascii="宋体" w:hAnsi="Times New Roman" w:cs="Times New Roman"/>
        </w:rPr>
        <w:t>一、开标一览表</w:t>
      </w:r>
      <w:r>
        <w:tab/>
      </w:r>
      <w:r>
        <w:fldChar w:fldCharType="begin"/>
      </w:r>
      <w:r>
        <w:instrText xml:space="preserve"> PAGEREF _Toc13673 \h </w:instrText>
      </w:r>
      <w:r>
        <w:fldChar w:fldCharType="separate"/>
      </w:r>
      <w:r>
        <w:t>34</w:t>
      </w:r>
      <w:r>
        <w:fldChar w:fldCharType="end"/>
      </w:r>
      <w:r>
        <w:fldChar w:fldCharType="end"/>
      </w:r>
    </w:p>
    <w:p>
      <w:pPr>
        <w:pStyle w:val="15"/>
        <w:tabs>
          <w:tab w:val="right" w:leader="dot" w:pos="8504"/>
        </w:tabs>
      </w:pPr>
      <w:r>
        <w:fldChar w:fldCharType="begin"/>
      </w:r>
      <w:r>
        <w:instrText xml:space="preserve"> HYPERLINK \l "_Toc22717" </w:instrText>
      </w:r>
      <w:r>
        <w:fldChar w:fldCharType="separate"/>
      </w:r>
      <w:r>
        <w:rPr>
          <w:rFonts w:hint="eastAsia" w:ascii="宋体" w:hAnsi="Times New Roman" w:cs="Times New Roman"/>
        </w:rPr>
        <w:t>二、投标人基本情况表</w:t>
      </w:r>
      <w:r>
        <w:tab/>
      </w:r>
      <w:r>
        <w:fldChar w:fldCharType="begin"/>
      </w:r>
      <w:r>
        <w:instrText xml:space="preserve"> PAGEREF _Toc22717 \h </w:instrText>
      </w:r>
      <w:r>
        <w:fldChar w:fldCharType="separate"/>
      </w:r>
      <w:r>
        <w:t>35</w:t>
      </w:r>
      <w:r>
        <w:fldChar w:fldCharType="end"/>
      </w:r>
      <w:r>
        <w:fldChar w:fldCharType="end"/>
      </w:r>
    </w:p>
    <w:p>
      <w:pPr>
        <w:pStyle w:val="15"/>
        <w:tabs>
          <w:tab w:val="right" w:leader="dot" w:pos="8504"/>
        </w:tabs>
      </w:pPr>
      <w:r>
        <w:fldChar w:fldCharType="begin"/>
      </w:r>
      <w:r>
        <w:instrText xml:space="preserve"> HYPERLINK \l "_Toc26533" </w:instrText>
      </w:r>
      <w:r>
        <w:fldChar w:fldCharType="separate"/>
      </w:r>
      <w:r>
        <w:rPr>
          <w:rFonts w:hint="eastAsia" w:ascii="宋体" w:hAnsi="Times New Roman" w:cs="Times New Roman"/>
        </w:rPr>
        <w:t>三、投标函</w:t>
      </w:r>
      <w:r>
        <w:tab/>
      </w:r>
      <w:r>
        <w:fldChar w:fldCharType="begin"/>
      </w:r>
      <w:r>
        <w:instrText xml:space="preserve"> PAGEREF _Toc26533 \h </w:instrText>
      </w:r>
      <w:r>
        <w:fldChar w:fldCharType="separate"/>
      </w:r>
      <w:r>
        <w:t>36</w:t>
      </w:r>
      <w:r>
        <w:fldChar w:fldCharType="end"/>
      </w:r>
      <w:r>
        <w:fldChar w:fldCharType="end"/>
      </w:r>
    </w:p>
    <w:p>
      <w:pPr>
        <w:pStyle w:val="15"/>
        <w:tabs>
          <w:tab w:val="right" w:leader="dot" w:pos="8504"/>
        </w:tabs>
      </w:pPr>
      <w:r>
        <w:fldChar w:fldCharType="begin"/>
      </w:r>
      <w:r>
        <w:instrText xml:space="preserve"> HYPERLINK \l "_Toc17269" </w:instrText>
      </w:r>
      <w:r>
        <w:fldChar w:fldCharType="separate"/>
      </w:r>
      <w:r>
        <w:rPr>
          <w:rFonts w:hint="eastAsia" w:ascii="宋体" w:hAnsi="Times New Roman" w:cs="Times New Roman"/>
        </w:rPr>
        <w:t>四、法定代表人身份证明或授权委托书</w:t>
      </w:r>
      <w:r>
        <w:tab/>
      </w:r>
      <w:r>
        <w:fldChar w:fldCharType="begin"/>
      </w:r>
      <w:r>
        <w:instrText xml:space="preserve"> PAGEREF _Toc17269 \h </w:instrText>
      </w:r>
      <w:r>
        <w:fldChar w:fldCharType="separate"/>
      </w:r>
      <w:r>
        <w:t>38</w:t>
      </w:r>
      <w:r>
        <w:fldChar w:fldCharType="end"/>
      </w:r>
      <w:r>
        <w:fldChar w:fldCharType="end"/>
      </w:r>
    </w:p>
    <w:p>
      <w:pPr>
        <w:pStyle w:val="15"/>
        <w:tabs>
          <w:tab w:val="right" w:leader="dot" w:pos="8504"/>
        </w:tabs>
      </w:pPr>
      <w:r>
        <w:fldChar w:fldCharType="begin"/>
      </w:r>
      <w:r>
        <w:instrText xml:space="preserve"> HYPERLINK \l "_Toc31966" </w:instrText>
      </w:r>
      <w:r>
        <w:fldChar w:fldCharType="separate"/>
      </w:r>
      <w:r>
        <w:rPr>
          <w:rFonts w:hint="eastAsia" w:ascii="宋体" w:hAnsi="Times New Roman" w:cs="Times New Roman"/>
        </w:rPr>
        <w:t>五、投标人信用承诺</w:t>
      </w:r>
      <w:r>
        <w:tab/>
      </w:r>
      <w:r>
        <w:fldChar w:fldCharType="begin"/>
      </w:r>
      <w:r>
        <w:instrText xml:space="preserve"> PAGEREF _Toc31966 \h </w:instrText>
      </w:r>
      <w:r>
        <w:fldChar w:fldCharType="separate"/>
      </w:r>
      <w:r>
        <w:t>39</w:t>
      </w:r>
      <w:r>
        <w:fldChar w:fldCharType="end"/>
      </w:r>
      <w:r>
        <w:fldChar w:fldCharType="end"/>
      </w:r>
    </w:p>
    <w:p>
      <w:pPr>
        <w:pStyle w:val="15"/>
        <w:tabs>
          <w:tab w:val="right" w:leader="dot" w:pos="8504"/>
        </w:tabs>
      </w:pPr>
      <w:r>
        <w:fldChar w:fldCharType="begin"/>
      </w:r>
      <w:r>
        <w:instrText xml:space="preserve"> HYPERLINK \l "_Toc30401" </w:instrText>
      </w:r>
      <w:r>
        <w:fldChar w:fldCharType="separate"/>
      </w:r>
      <w:r>
        <w:rPr>
          <w:rFonts w:hint="eastAsia" w:ascii="宋体" w:hAnsi="Times New Roman" w:cs="Times New Roman"/>
        </w:rPr>
        <w:t>六、投标人业绩（如需）</w:t>
      </w:r>
      <w:r>
        <w:tab/>
      </w:r>
      <w:r>
        <w:fldChar w:fldCharType="begin"/>
      </w:r>
      <w:r>
        <w:instrText xml:space="preserve"> PAGEREF _Toc30401 \h </w:instrText>
      </w:r>
      <w:r>
        <w:fldChar w:fldCharType="separate"/>
      </w:r>
      <w:r>
        <w:t>40</w:t>
      </w:r>
      <w:r>
        <w:fldChar w:fldCharType="end"/>
      </w:r>
      <w:r>
        <w:fldChar w:fldCharType="end"/>
      </w:r>
    </w:p>
    <w:p>
      <w:pPr>
        <w:pStyle w:val="15"/>
        <w:tabs>
          <w:tab w:val="right" w:leader="dot" w:pos="8504"/>
        </w:tabs>
      </w:pPr>
      <w:r>
        <w:fldChar w:fldCharType="begin"/>
      </w:r>
      <w:r>
        <w:instrText xml:space="preserve"> HYPERLINK \l "_Toc12464" </w:instrText>
      </w:r>
      <w:r>
        <w:fldChar w:fldCharType="separate"/>
      </w:r>
      <w:r>
        <w:rPr>
          <w:rFonts w:hint="eastAsia" w:ascii="宋体" w:hAnsi="Times New Roman" w:cs="Times New Roman"/>
        </w:rPr>
        <w:t>七、奖项、荣誉（如有）</w:t>
      </w:r>
      <w:r>
        <w:tab/>
      </w:r>
      <w:r>
        <w:fldChar w:fldCharType="begin"/>
      </w:r>
      <w:r>
        <w:instrText xml:space="preserve"> PAGEREF _Toc12464 \h </w:instrText>
      </w:r>
      <w:r>
        <w:fldChar w:fldCharType="separate"/>
      </w:r>
      <w:r>
        <w:t>42</w:t>
      </w:r>
      <w:r>
        <w:fldChar w:fldCharType="end"/>
      </w:r>
      <w:r>
        <w:fldChar w:fldCharType="end"/>
      </w:r>
    </w:p>
    <w:p>
      <w:pPr>
        <w:pStyle w:val="15"/>
        <w:tabs>
          <w:tab w:val="right" w:leader="dot" w:pos="8504"/>
        </w:tabs>
      </w:pPr>
      <w:r>
        <w:fldChar w:fldCharType="begin"/>
      </w:r>
      <w:r>
        <w:instrText xml:space="preserve"> HYPERLINK \l "_Toc32334" </w:instrText>
      </w:r>
      <w:r>
        <w:fldChar w:fldCharType="separate"/>
      </w:r>
      <w:r>
        <w:rPr>
          <w:rFonts w:hint="eastAsia" w:ascii="宋体" w:hAnsi="Times New Roman" w:cs="Times New Roman"/>
        </w:rPr>
        <w:t>八、项目管理机构</w:t>
      </w:r>
      <w:r>
        <w:tab/>
      </w:r>
      <w:r>
        <w:fldChar w:fldCharType="begin"/>
      </w:r>
      <w:r>
        <w:instrText xml:space="preserve"> PAGEREF _Toc32334 \h </w:instrText>
      </w:r>
      <w:r>
        <w:fldChar w:fldCharType="separate"/>
      </w:r>
      <w:r>
        <w:t>43</w:t>
      </w:r>
      <w:r>
        <w:fldChar w:fldCharType="end"/>
      </w:r>
      <w:r>
        <w:fldChar w:fldCharType="end"/>
      </w:r>
    </w:p>
    <w:p>
      <w:pPr>
        <w:pStyle w:val="15"/>
        <w:tabs>
          <w:tab w:val="right" w:leader="dot" w:pos="8504"/>
        </w:tabs>
      </w:pPr>
      <w:r>
        <w:fldChar w:fldCharType="begin"/>
      </w:r>
      <w:r>
        <w:instrText xml:space="preserve"> HYPERLINK \l "_Toc3234" </w:instrText>
      </w:r>
      <w:r>
        <w:fldChar w:fldCharType="separate"/>
      </w:r>
      <w:r>
        <w:rPr>
          <w:rFonts w:hint="eastAsia" w:ascii="宋体" w:hAnsi="宋体" w:cs="宋体"/>
          <w:spacing w:val="-2"/>
          <w:szCs w:val="24"/>
        </w:rPr>
        <w:t>九、</w:t>
      </w:r>
      <w:r>
        <w:rPr>
          <w:rFonts w:ascii="宋体" w:hAnsi="宋体" w:cs="宋体"/>
          <w:spacing w:val="-2"/>
          <w:szCs w:val="24"/>
        </w:rPr>
        <w:t>主要施工方案及</w:t>
      </w:r>
      <w:r>
        <w:rPr>
          <w:rFonts w:ascii="宋体" w:hAnsi="宋体" w:cs="宋体"/>
          <w:spacing w:val="-1"/>
          <w:szCs w:val="24"/>
        </w:rPr>
        <w:t>施</w:t>
      </w:r>
      <w:r>
        <w:rPr>
          <w:rFonts w:ascii="宋体" w:hAnsi="宋体" w:cs="宋体"/>
          <w:spacing w:val="-3"/>
          <w:szCs w:val="24"/>
        </w:rPr>
        <w:t>工技</w:t>
      </w:r>
      <w:r>
        <w:rPr>
          <w:rFonts w:ascii="宋体" w:hAnsi="宋体" w:cs="宋体"/>
          <w:spacing w:val="-2"/>
          <w:szCs w:val="24"/>
        </w:rPr>
        <w:t>术</w:t>
      </w:r>
      <w:r>
        <w:tab/>
      </w:r>
      <w:r>
        <w:fldChar w:fldCharType="begin"/>
      </w:r>
      <w:r>
        <w:instrText xml:space="preserve"> PAGEREF _Toc3234 \h </w:instrText>
      </w:r>
      <w:r>
        <w:fldChar w:fldCharType="separate"/>
      </w:r>
      <w:r>
        <w:t>43</w:t>
      </w:r>
      <w:r>
        <w:fldChar w:fldCharType="end"/>
      </w:r>
      <w:r>
        <w:fldChar w:fldCharType="end"/>
      </w:r>
    </w:p>
    <w:p>
      <w:pPr>
        <w:pStyle w:val="15"/>
        <w:tabs>
          <w:tab w:val="right" w:leader="dot" w:pos="8504"/>
        </w:tabs>
      </w:pPr>
      <w:r>
        <w:fldChar w:fldCharType="begin"/>
      </w:r>
      <w:r>
        <w:instrText xml:space="preserve"> HYPERLINK \l "_Toc32718" </w:instrText>
      </w:r>
      <w:r>
        <w:fldChar w:fldCharType="separate"/>
      </w:r>
      <w:r>
        <w:rPr>
          <w:rFonts w:hint="eastAsia" w:ascii="宋体" w:hAnsi="宋体" w:cs="宋体"/>
          <w:bCs/>
          <w:spacing w:val="-2"/>
          <w:szCs w:val="24"/>
        </w:rPr>
        <w:t>十、后期服务方案</w:t>
      </w:r>
      <w:r>
        <w:tab/>
      </w:r>
      <w:r>
        <w:fldChar w:fldCharType="begin"/>
      </w:r>
      <w:r>
        <w:instrText xml:space="preserve"> PAGEREF _Toc32718 \h </w:instrText>
      </w:r>
      <w:r>
        <w:fldChar w:fldCharType="separate"/>
      </w:r>
      <w:r>
        <w:t>44</w:t>
      </w:r>
      <w:r>
        <w:fldChar w:fldCharType="end"/>
      </w:r>
      <w:r>
        <w:fldChar w:fldCharType="end"/>
      </w:r>
    </w:p>
    <w:p>
      <w:pPr>
        <w:pStyle w:val="15"/>
        <w:tabs>
          <w:tab w:val="right" w:leader="dot" w:pos="8504"/>
        </w:tabs>
      </w:pPr>
      <w:r>
        <w:fldChar w:fldCharType="begin"/>
      </w:r>
      <w:r>
        <w:instrText xml:space="preserve"> HYPERLINK \l "_Toc192" </w:instrText>
      </w:r>
      <w:r>
        <w:fldChar w:fldCharType="separate"/>
      </w:r>
      <w:r>
        <w:rPr>
          <w:rFonts w:hint="eastAsia" w:ascii="宋体" w:hAnsi="宋体" w:cs="宋体"/>
          <w:bCs/>
          <w:spacing w:val="-2"/>
          <w:szCs w:val="24"/>
        </w:rPr>
        <w:t>十一、其他资料</w:t>
      </w:r>
      <w:r>
        <w:tab/>
      </w:r>
      <w:r>
        <w:fldChar w:fldCharType="begin"/>
      </w:r>
      <w:r>
        <w:instrText xml:space="preserve"> PAGEREF _Toc192 \h </w:instrText>
      </w:r>
      <w:r>
        <w:fldChar w:fldCharType="separate"/>
      </w:r>
      <w:r>
        <w:t>45</w:t>
      </w:r>
      <w:r>
        <w:fldChar w:fldCharType="end"/>
      </w:r>
      <w:r>
        <w:fldChar w:fldCharType="end"/>
      </w:r>
    </w:p>
    <w:p>
      <w:pPr>
        <w:spacing w:line="360" w:lineRule="auto"/>
        <w:ind w:firstLine="435"/>
        <w:jc w:val="center"/>
      </w:pPr>
      <w:r>
        <w:rPr>
          <w:rFonts w:eastAsia="黑体"/>
          <w:szCs w:val="24"/>
        </w:rPr>
        <w:fldChar w:fldCharType="end"/>
      </w:r>
    </w:p>
    <w:p>
      <w:pPr>
        <w:pStyle w:val="3"/>
        <w:numPr>
          <w:ilvl w:val="0"/>
          <w:numId w:val="1"/>
        </w:numPr>
        <w:ind w:firstLine="420"/>
        <w:jc w:val="center"/>
        <w:rPr>
          <w:b w:val="0"/>
          <w:color w:val="000000"/>
          <w:szCs w:val="24"/>
        </w:rPr>
      </w:pPr>
      <w:r>
        <w:br w:type="page"/>
      </w:r>
      <w:bookmarkStart w:id="0" w:name="_Toc1223"/>
      <w:bookmarkStart w:id="1" w:name="_Toc18204"/>
      <w:r>
        <w:rPr>
          <w:rFonts w:hint="eastAsia"/>
        </w:rPr>
        <w:t>谈判邀请（谈判公告）</w:t>
      </w:r>
      <w:bookmarkEnd w:id="0"/>
      <w:bookmarkEnd w:id="1"/>
    </w:p>
    <w:p>
      <w:pPr>
        <w:pStyle w:val="3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rPr>
        <w:t>新安商城巷小吃街供电线路改造工程</w:t>
      </w:r>
      <w:r>
        <w:rPr>
          <w:rFonts w:hint="eastAsia" w:ascii="宋体" w:hAnsi="宋体" w:eastAsia="宋体"/>
          <w:kern w:val="2"/>
        </w:rPr>
        <w:t>已具备竞争性谈判条件，招标人为</w:t>
      </w:r>
      <w:r>
        <w:rPr>
          <w:rFonts w:hint="eastAsia" w:ascii="宋体" w:hAnsi="宋体" w:eastAsia="宋体"/>
          <w:kern w:val="2"/>
          <w:u w:val="single"/>
        </w:rPr>
        <w:t xml:space="preserve"> 合肥城隍庙商业运营管理有限公司</w:t>
      </w:r>
      <w:r>
        <w:rPr>
          <w:rFonts w:hint="eastAsia" w:ascii="宋体" w:hAnsi="宋体" w:eastAsia="宋体"/>
          <w:kern w:val="2"/>
        </w:rPr>
        <w:t>，现对该项目进行竞争性谈判，欢迎具备条件的国内投标人参加谈判。</w:t>
      </w:r>
    </w:p>
    <w:p>
      <w:pPr>
        <w:autoSpaceDE w:val="0"/>
        <w:autoSpaceDN w:val="0"/>
        <w:adjustRightInd w:val="0"/>
        <w:spacing w:line="360" w:lineRule="auto"/>
        <w:ind w:firstLine="200"/>
        <w:jc w:val="left"/>
        <w:rPr>
          <w:rFonts w:hAnsi="宋体"/>
          <w:b/>
          <w:bCs/>
          <w:szCs w:val="24"/>
        </w:rPr>
      </w:pPr>
      <w:r>
        <w:rPr>
          <w:rFonts w:hint="eastAsia" w:ascii="宋体" w:hAnsi="宋体"/>
          <w:b/>
          <w:bCs/>
          <w:sz w:val="24"/>
          <w:szCs w:val="24"/>
        </w:rPr>
        <w:t>一、项目名称及内容</w:t>
      </w:r>
    </w:p>
    <w:p>
      <w:pPr>
        <w:autoSpaceDE w:val="0"/>
        <w:autoSpaceDN w:val="0"/>
        <w:adjustRightInd w:val="0"/>
        <w:spacing w:line="360" w:lineRule="auto"/>
        <w:ind w:firstLine="200"/>
        <w:jc w:val="left"/>
        <w:rPr>
          <w:rFonts w:hint="eastAsia" w:hAnsi="宋体" w:eastAsia="宋体"/>
          <w:szCs w:val="24"/>
          <w:highlight w:val="yellow"/>
          <w:lang w:eastAsia="zh-CN"/>
        </w:rPr>
      </w:pPr>
      <w:r>
        <w:rPr>
          <w:rFonts w:hint="eastAsia" w:ascii="宋体" w:hAnsi="宋体"/>
          <w:sz w:val="24"/>
          <w:szCs w:val="24"/>
        </w:rPr>
        <w:t>1.项目编号：2023GW000</w:t>
      </w:r>
      <w:r>
        <w:rPr>
          <w:rFonts w:hint="eastAsia" w:ascii="宋体" w:hAnsi="宋体"/>
          <w:sz w:val="24"/>
          <w:szCs w:val="24"/>
          <w:lang w:val="en-US" w:eastAsia="zh-CN"/>
        </w:rPr>
        <w:t>5</w:t>
      </w:r>
    </w:p>
    <w:p>
      <w:pPr>
        <w:autoSpaceDE w:val="0"/>
        <w:autoSpaceDN w:val="0"/>
        <w:adjustRightInd w:val="0"/>
        <w:spacing w:line="360" w:lineRule="auto"/>
        <w:ind w:firstLine="200"/>
        <w:jc w:val="left"/>
        <w:rPr>
          <w:rFonts w:hAnsi="宋体"/>
          <w:szCs w:val="24"/>
        </w:rPr>
      </w:pPr>
      <w:r>
        <w:rPr>
          <w:rFonts w:hint="eastAsia" w:ascii="宋体" w:hAnsi="宋体"/>
          <w:sz w:val="24"/>
          <w:szCs w:val="24"/>
        </w:rPr>
        <w:t>2.项目名称：</w:t>
      </w:r>
      <w:r>
        <w:rPr>
          <w:rFonts w:hint="eastAsia" w:hAnsi="宋体"/>
          <w:sz w:val="24"/>
          <w:szCs w:val="24"/>
        </w:rPr>
        <w:t>新安商城巷小吃街供电线路改造工程</w:t>
      </w:r>
    </w:p>
    <w:p>
      <w:pPr>
        <w:autoSpaceDE w:val="0"/>
        <w:autoSpaceDN w:val="0"/>
        <w:adjustRightInd w:val="0"/>
        <w:spacing w:line="360" w:lineRule="auto"/>
        <w:ind w:firstLine="200"/>
        <w:jc w:val="left"/>
        <w:rPr>
          <w:rFonts w:hAnsi="宋体"/>
          <w:szCs w:val="24"/>
        </w:rPr>
      </w:pPr>
      <w:r>
        <w:rPr>
          <w:rFonts w:hint="eastAsia" w:ascii="宋体" w:hAnsi="宋体"/>
          <w:sz w:val="24"/>
          <w:szCs w:val="24"/>
        </w:rPr>
        <w:t>3.项目地点：</w:t>
      </w:r>
      <w:r>
        <w:rPr>
          <w:rFonts w:hint="eastAsia" w:ascii="宋体" w:hAnsi="宋体"/>
          <w:sz w:val="24"/>
          <w:szCs w:val="18"/>
        </w:rPr>
        <w:t>安徽省合肥市庐阳区</w:t>
      </w:r>
    </w:p>
    <w:p>
      <w:pPr>
        <w:autoSpaceDE w:val="0"/>
        <w:autoSpaceDN w:val="0"/>
        <w:adjustRightInd w:val="0"/>
        <w:spacing w:line="360" w:lineRule="auto"/>
        <w:ind w:firstLine="200"/>
        <w:jc w:val="left"/>
        <w:rPr>
          <w:rFonts w:hAnsi="宋体"/>
          <w:szCs w:val="24"/>
        </w:rPr>
      </w:pPr>
      <w:r>
        <w:rPr>
          <w:rFonts w:hint="eastAsia" w:ascii="宋体" w:hAnsi="宋体"/>
          <w:sz w:val="24"/>
          <w:szCs w:val="24"/>
        </w:rPr>
        <w:t xml:space="preserve">4.项目单位： </w:t>
      </w:r>
      <w:r>
        <w:rPr>
          <w:rFonts w:hint="eastAsia" w:hAnsi="宋体"/>
          <w:sz w:val="24"/>
          <w:szCs w:val="24"/>
        </w:rPr>
        <w:t>合肥城隍庙商业运营管理有限公司</w:t>
      </w:r>
    </w:p>
    <w:p>
      <w:pPr>
        <w:autoSpaceDE w:val="0"/>
        <w:autoSpaceDN w:val="0"/>
        <w:adjustRightInd w:val="0"/>
        <w:spacing w:line="360" w:lineRule="auto"/>
        <w:ind w:firstLine="200"/>
        <w:jc w:val="left"/>
        <w:rPr>
          <w:rFonts w:hAnsi="宋体"/>
          <w:color w:val="FF0000"/>
          <w:szCs w:val="24"/>
        </w:rPr>
      </w:pPr>
      <w:r>
        <w:rPr>
          <w:rFonts w:hint="eastAsia" w:ascii="宋体" w:hAnsi="宋体"/>
          <w:sz w:val="24"/>
          <w:szCs w:val="24"/>
        </w:rPr>
        <w:t>5.项目概况：新安商城巷小吃街因经营需要，对街巷内24个亭铺进行供电线路及设施设备施工</w:t>
      </w:r>
      <w:r>
        <w:rPr>
          <w:rFonts w:hint="eastAsia" w:ascii="宋体" w:hAnsi="宋体" w:cs="宋体"/>
          <w:bCs/>
          <w:sz w:val="24"/>
          <w:szCs w:val="24"/>
          <w:lang w:val="zh-CN"/>
        </w:rPr>
        <w:t>。</w:t>
      </w:r>
      <w:r>
        <w:rPr>
          <w:rFonts w:hint="eastAsia" w:ascii="宋体" w:hAnsi="宋体"/>
          <w:sz w:val="24"/>
          <w:szCs w:val="24"/>
        </w:rPr>
        <w:t>详见招标清单内容。</w:t>
      </w:r>
    </w:p>
    <w:p>
      <w:pPr>
        <w:autoSpaceDE w:val="0"/>
        <w:autoSpaceDN w:val="0"/>
        <w:adjustRightInd w:val="0"/>
        <w:spacing w:line="360" w:lineRule="auto"/>
        <w:ind w:firstLine="200"/>
        <w:jc w:val="left"/>
        <w:rPr>
          <w:rFonts w:hAnsi="宋体"/>
          <w:szCs w:val="24"/>
        </w:rPr>
      </w:pPr>
      <w:r>
        <w:rPr>
          <w:rFonts w:hint="eastAsia" w:ascii="宋体" w:hAnsi="宋体"/>
          <w:sz w:val="24"/>
          <w:szCs w:val="24"/>
        </w:rPr>
        <w:t xml:space="preserve">6.资金来源：自筹 </w:t>
      </w:r>
    </w:p>
    <w:p>
      <w:pPr>
        <w:autoSpaceDE w:val="0"/>
        <w:autoSpaceDN w:val="0"/>
        <w:adjustRightInd w:val="0"/>
        <w:spacing w:line="360" w:lineRule="auto"/>
        <w:ind w:firstLine="200"/>
        <w:jc w:val="left"/>
        <w:rPr>
          <w:rFonts w:hAnsi="宋体"/>
          <w:szCs w:val="24"/>
        </w:rPr>
      </w:pPr>
      <w:r>
        <w:rPr>
          <w:rFonts w:hint="eastAsia" w:ascii="宋体" w:hAnsi="宋体"/>
          <w:sz w:val="24"/>
          <w:szCs w:val="24"/>
        </w:rPr>
        <w:t>7.项目概算：</w:t>
      </w:r>
      <w:r>
        <w:rPr>
          <w:rFonts w:hint="eastAsia" w:ascii="宋体" w:hAnsi="宋体" w:cs="宋体"/>
          <w:bCs/>
          <w:sz w:val="24"/>
        </w:rPr>
        <w:t>15.06</w:t>
      </w:r>
      <w:r>
        <w:rPr>
          <w:rFonts w:hint="eastAsia" w:ascii="宋体" w:hAnsi="宋体" w:cs="宋体"/>
          <w:bCs/>
          <w:sz w:val="24"/>
          <w:lang w:val="en-US" w:eastAsia="zh-CN"/>
        </w:rPr>
        <w:t>万</w:t>
      </w:r>
      <w:r>
        <w:rPr>
          <w:rFonts w:hint="eastAsia" w:ascii="宋体" w:hAnsi="宋体"/>
          <w:sz w:val="24"/>
          <w:szCs w:val="24"/>
        </w:rPr>
        <w:t xml:space="preserve">元    </w:t>
      </w:r>
    </w:p>
    <w:p>
      <w:pPr>
        <w:autoSpaceDE w:val="0"/>
        <w:autoSpaceDN w:val="0"/>
        <w:adjustRightInd w:val="0"/>
        <w:spacing w:line="360" w:lineRule="auto"/>
        <w:ind w:firstLine="200"/>
        <w:jc w:val="left"/>
      </w:pPr>
      <w:r>
        <w:rPr>
          <w:rFonts w:hint="eastAsia" w:ascii="宋体" w:hAnsi="宋体"/>
          <w:sz w:val="24"/>
          <w:szCs w:val="24"/>
        </w:rPr>
        <w:t>8.项目类别：工程类</w:t>
      </w:r>
    </w:p>
    <w:p>
      <w:pPr>
        <w:autoSpaceDE w:val="0"/>
        <w:autoSpaceDN w:val="0"/>
        <w:adjustRightInd w:val="0"/>
        <w:spacing w:line="360" w:lineRule="auto"/>
        <w:ind w:firstLine="200"/>
        <w:jc w:val="left"/>
        <w:rPr>
          <w:rFonts w:hAnsi="宋体"/>
          <w:szCs w:val="24"/>
        </w:rPr>
      </w:pPr>
      <w:r>
        <w:rPr>
          <w:rFonts w:hint="eastAsia" w:ascii="宋体" w:hAnsi="宋体"/>
          <w:sz w:val="24"/>
          <w:szCs w:val="24"/>
        </w:rPr>
        <w:t>9.标段（包别）划分：不分包</w:t>
      </w:r>
    </w:p>
    <w:p>
      <w:pPr>
        <w:autoSpaceDE w:val="0"/>
        <w:autoSpaceDN w:val="0"/>
        <w:adjustRightInd w:val="0"/>
        <w:spacing w:line="360" w:lineRule="auto"/>
        <w:ind w:firstLine="200"/>
        <w:jc w:val="left"/>
        <w:rPr>
          <w:rFonts w:hAnsi="宋体"/>
          <w:b/>
          <w:bCs/>
          <w:szCs w:val="24"/>
        </w:rPr>
      </w:pPr>
      <w:r>
        <w:rPr>
          <w:rFonts w:hint="eastAsia" w:ascii="宋体" w:hAnsi="宋体"/>
          <w:b/>
          <w:bCs/>
          <w:sz w:val="24"/>
          <w:szCs w:val="24"/>
        </w:rPr>
        <w:t>二、投标人资格</w:t>
      </w:r>
    </w:p>
    <w:p>
      <w:pPr>
        <w:autoSpaceDE w:val="0"/>
        <w:autoSpaceDN w:val="0"/>
        <w:adjustRightInd w:val="0"/>
        <w:spacing w:line="360" w:lineRule="auto"/>
        <w:ind w:firstLine="200"/>
        <w:jc w:val="left"/>
        <w:rPr>
          <w:rFonts w:hAnsi="宋体"/>
          <w:szCs w:val="18"/>
        </w:rPr>
      </w:pPr>
      <w:r>
        <w:rPr>
          <w:rFonts w:hint="eastAsia" w:ascii="宋体" w:hAnsi="宋体"/>
          <w:sz w:val="24"/>
          <w:szCs w:val="18"/>
        </w:rPr>
        <w:t>1.具有独立承担民事责任的能力，不具有独立法人的分支机构投标另须提供相应授权文件；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ascii="宋体" w:hAnsi="宋体"/>
          <w:sz w:val="24"/>
          <w:szCs w:val="18"/>
        </w:rPr>
        <w:t>2.具有电力工程施工总承包叁级或输变电专业承包叁级及以上资质</w:t>
      </w:r>
      <w:r>
        <w:rPr>
          <w:rFonts w:hint="eastAsia" w:hAnsi="宋体"/>
          <w:sz w:val="24"/>
          <w:szCs w:val="18"/>
        </w:rPr>
        <w:t>；</w:t>
      </w:r>
    </w:p>
    <w:p>
      <w:pPr>
        <w:autoSpaceDE w:val="0"/>
        <w:autoSpaceDN w:val="0"/>
        <w:adjustRightInd w:val="0"/>
        <w:spacing w:line="360" w:lineRule="auto"/>
        <w:ind w:firstLine="200"/>
        <w:jc w:val="left"/>
        <w:rPr>
          <w:rFonts w:hAnsi="宋体"/>
          <w:szCs w:val="18"/>
        </w:rPr>
      </w:pPr>
      <w:r>
        <w:rPr>
          <w:rFonts w:hint="eastAsia" w:hAnsi="宋体"/>
          <w:sz w:val="24"/>
          <w:szCs w:val="18"/>
        </w:rPr>
        <w:t>3.具有承装（修、 试） 电力设施许可证承装类五级及以上资质</w:t>
      </w:r>
      <w:r>
        <w:rPr>
          <w:rFonts w:hint="eastAsia" w:ascii="宋体" w:hAnsi="宋体"/>
          <w:sz w:val="24"/>
          <w:szCs w:val="18"/>
        </w:rPr>
        <w:t>；</w:t>
      </w:r>
    </w:p>
    <w:p>
      <w:pPr>
        <w:autoSpaceDE w:val="0"/>
        <w:autoSpaceDN w:val="0"/>
        <w:adjustRightInd w:val="0"/>
        <w:spacing w:line="360" w:lineRule="auto"/>
        <w:ind w:firstLine="200"/>
        <w:jc w:val="left"/>
        <w:rPr>
          <w:rFonts w:hAnsi="宋体"/>
          <w:szCs w:val="18"/>
        </w:rPr>
      </w:pPr>
      <w:r>
        <w:rPr>
          <w:rFonts w:hint="eastAsia" w:hAnsi="宋体"/>
          <w:sz w:val="24"/>
          <w:szCs w:val="18"/>
        </w:rPr>
        <w:t>4.具有有效的安全生产许可证</w:t>
      </w:r>
    </w:p>
    <w:p>
      <w:pPr>
        <w:autoSpaceDE w:val="0"/>
        <w:autoSpaceDN w:val="0"/>
        <w:adjustRightInd w:val="0"/>
        <w:spacing w:line="360" w:lineRule="auto"/>
        <w:ind w:firstLine="200"/>
        <w:jc w:val="left"/>
        <w:rPr>
          <w:rFonts w:hAnsi="宋体"/>
          <w:szCs w:val="18"/>
        </w:rPr>
      </w:pPr>
      <w:r>
        <w:rPr>
          <w:rFonts w:hint="eastAsia" w:hAnsi="宋体"/>
          <w:sz w:val="24"/>
          <w:szCs w:val="18"/>
        </w:rPr>
        <w:t>5.投标人自2019年完成过单项合同金额在20万及以上的供配电工程施工业绩需提供合同协议书及竣工验收证明(日期以合同时间为准)</w:t>
      </w:r>
    </w:p>
    <w:p>
      <w:pPr>
        <w:autoSpaceDE w:val="0"/>
        <w:autoSpaceDN w:val="0"/>
        <w:adjustRightInd w:val="0"/>
        <w:spacing w:line="360" w:lineRule="auto"/>
        <w:ind w:firstLine="200"/>
        <w:jc w:val="left"/>
        <w:rPr>
          <w:rFonts w:hAnsi="宋体"/>
          <w:szCs w:val="18"/>
        </w:rPr>
      </w:pPr>
      <w:r>
        <w:rPr>
          <w:rFonts w:hint="eastAsia" w:hAnsi="宋体"/>
          <w:sz w:val="24"/>
          <w:szCs w:val="18"/>
        </w:rPr>
        <w:t>6</w:t>
      </w:r>
      <w:r>
        <w:rPr>
          <w:rFonts w:hint="eastAsia" w:ascii="宋体" w:hAnsi="宋体"/>
          <w:sz w:val="24"/>
          <w:szCs w:val="18"/>
        </w:rPr>
        <w:t>.项目经理/项目负责人资格要求：本项目拟任项目经理需为投标单位正式员工，具备机电工程专业二级建造师注册证书、安全生产考核合格证（B证）及距投标截止时间为止不少于六个月的社保证明资料。</w:t>
      </w:r>
    </w:p>
    <w:p>
      <w:pPr>
        <w:autoSpaceDE w:val="0"/>
        <w:autoSpaceDN w:val="0"/>
        <w:adjustRightInd w:val="0"/>
        <w:spacing w:line="360" w:lineRule="auto"/>
        <w:ind w:firstLine="200"/>
        <w:jc w:val="left"/>
        <w:rPr>
          <w:rFonts w:hAnsi="宋体"/>
          <w:szCs w:val="24"/>
        </w:rPr>
      </w:pPr>
      <w:r>
        <w:rPr>
          <w:rFonts w:hint="eastAsia" w:hAnsi="宋体"/>
          <w:sz w:val="24"/>
          <w:szCs w:val="24"/>
        </w:rPr>
        <w:t>7</w:t>
      </w:r>
      <w:r>
        <w:rPr>
          <w:rFonts w:hint="eastAsia" w:ascii="宋体" w:hAnsi="宋体"/>
          <w:sz w:val="24"/>
          <w:szCs w:val="24"/>
        </w:rPr>
        <w:t>.本项目</w:t>
      </w:r>
      <w:r>
        <w:rPr>
          <w:rFonts w:hint="eastAsia" w:ascii="宋体" w:hAnsi="宋体"/>
          <w:color w:val="FF0000"/>
          <w:sz w:val="24"/>
          <w:szCs w:val="24"/>
        </w:rPr>
        <w:t>不接受</w:t>
      </w:r>
      <w:r>
        <w:rPr>
          <w:rFonts w:hint="eastAsia" w:ascii="宋体" w:hAnsi="宋体"/>
          <w:sz w:val="24"/>
          <w:szCs w:val="24"/>
        </w:rPr>
        <w:t>联合体谈判；</w:t>
      </w:r>
    </w:p>
    <w:p>
      <w:pPr>
        <w:autoSpaceDE w:val="0"/>
        <w:autoSpaceDN w:val="0"/>
        <w:adjustRightInd w:val="0"/>
        <w:spacing w:line="360" w:lineRule="auto"/>
        <w:ind w:firstLine="200"/>
        <w:jc w:val="left"/>
        <w:rPr>
          <w:rFonts w:hAnsi="宋体"/>
          <w:szCs w:val="18"/>
        </w:rPr>
      </w:pPr>
      <w:r>
        <w:rPr>
          <w:rFonts w:hint="eastAsia" w:hAnsi="宋体"/>
          <w:sz w:val="24"/>
          <w:szCs w:val="18"/>
        </w:rPr>
        <w:t>8</w:t>
      </w:r>
      <w:r>
        <w:rPr>
          <w:rFonts w:hint="eastAsia" w:ascii="宋体" w:hAnsi="宋体"/>
          <w:sz w:val="24"/>
          <w:szCs w:val="18"/>
        </w:rPr>
        <w:t>.符合下列情形之一：</w:t>
      </w:r>
    </w:p>
    <w:p>
      <w:pPr>
        <w:autoSpaceDE w:val="0"/>
        <w:autoSpaceDN w:val="0"/>
        <w:adjustRightInd w:val="0"/>
        <w:spacing w:line="360" w:lineRule="auto"/>
        <w:ind w:firstLine="200"/>
        <w:jc w:val="left"/>
        <w:rPr>
          <w:rFonts w:hAnsi="宋体"/>
          <w:szCs w:val="18"/>
        </w:rPr>
      </w:pPr>
      <w:r>
        <w:rPr>
          <w:rFonts w:hint="eastAsia" w:ascii="宋体" w:hAnsi="宋体"/>
          <w:sz w:val="24"/>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ascii="宋体" w:hAnsi="宋体"/>
          <w:sz w:val="24"/>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ascii="宋体" w:hAnsi="宋体"/>
          <w:sz w:val="24"/>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ascii="宋体" w:hAnsi="宋体"/>
          <w:sz w:val="24"/>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ascii="宋体" w:hAnsi="宋体"/>
          <w:b/>
          <w:bCs/>
          <w:sz w:val="24"/>
          <w:szCs w:val="24"/>
        </w:rPr>
        <w:t>三、谈判文件的获取</w:t>
      </w:r>
    </w:p>
    <w:p>
      <w:pPr>
        <w:spacing w:line="360" w:lineRule="auto"/>
        <w:rPr>
          <w:rFonts w:hAnsi="宋体"/>
          <w:bCs/>
          <w:color w:val="000000"/>
          <w:szCs w:val="24"/>
          <w:highlight w:val="yellow"/>
        </w:rPr>
      </w:pPr>
      <w:r>
        <w:rPr>
          <w:rFonts w:hint="eastAsia" w:ascii="宋体" w:hAnsi="宋体"/>
          <w:bCs/>
          <w:color w:val="000000"/>
          <w:sz w:val="24"/>
          <w:szCs w:val="24"/>
        </w:rPr>
        <w:t>1.获取时间：2023年</w:t>
      </w:r>
      <w:r>
        <w:rPr>
          <w:rFonts w:hint="eastAsia" w:hAnsi="宋体"/>
          <w:bCs/>
          <w:color w:val="000000"/>
          <w:sz w:val="24"/>
          <w:szCs w:val="24"/>
          <w:lang w:val="en-US" w:eastAsia="zh-CN"/>
        </w:rPr>
        <w:t>3</w:t>
      </w:r>
      <w:r>
        <w:rPr>
          <w:rFonts w:hint="eastAsia" w:ascii="宋体" w:hAnsi="宋体"/>
          <w:bCs/>
          <w:color w:val="000000"/>
          <w:sz w:val="24"/>
          <w:szCs w:val="24"/>
        </w:rPr>
        <w:t>月</w:t>
      </w:r>
      <w:r>
        <w:rPr>
          <w:rFonts w:hint="eastAsia" w:ascii="宋体" w:hAnsi="宋体"/>
          <w:bCs/>
          <w:color w:val="000000"/>
          <w:sz w:val="24"/>
          <w:szCs w:val="24"/>
          <w:lang w:val="en-US" w:eastAsia="zh-CN"/>
        </w:rPr>
        <w:t>20</w:t>
      </w:r>
      <w:r>
        <w:rPr>
          <w:rFonts w:hint="eastAsia" w:ascii="宋体" w:hAnsi="宋体"/>
          <w:bCs/>
          <w:color w:val="000000"/>
          <w:sz w:val="24"/>
          <w:szCs w:val="24"/>
        </w:rPr>
        <w:t>日</w:t>
      </w:r>
      <w:r>
        <w:rPr>
          <w:rFonts w:hint="eastAsia" w:ascii="宋体" w:hAnsi="宋体"/>
          <w:bCs/>
          <w:color w:val="000000"/>
          <w:sz w:val="24"/>
          <w:szCs w:val="24"/>
          <w:lang w:val="en-US" w:eastAsia="zh-CN"/>
        </w:rPr>
        <w:t>9</w:t>
      </w:r>
      <w:r>
        <w:rPr>
          <w:rFonts w:hint="eastAsia" w:ascii="宋体" w:hAnsi="宋体"/>
          <w:bCs/>
          <w:color w:val="000000"/>
          <w:sz w:val="24"/>
          <w:szCs w:val="24"/>
        </w:rPr>
        <w:t>:</w:t>
      </w:r>
      <w:r>
        <w:rPr>
          <w:rFonts w:hint="eastAsia" w:ascii="宋体" w:hAnsi="宋体"/>
          <w:bCs/>
          <w:color w:val="000000"/>
          <w:sz w:val="24"/>
          <w:szCs w:val="24"/>
          <w:lang w:val="en-US" w:eastAsia="zh-CN"/>
        </w:rPr>
        <w:t>3</w:t>
      </w:r>
      <w:r>
        <w:rPr>
          <w:rFonts w:hint="eastAsia" w:ascii="宋体" w:hAnsi="宋体"/>
          <w:bCs/>
          <w:color w:val="000000"/>
          <w:sz w:val="24"/>
          <w:szCs w:val="24"/>
        </w:rPr>
        <w:t>0至2023</w:t>
      </w:r>
      <w:r>
        <w:rPr>
          <w:rFonts w:hint="eastAsia" w:ascii="宋体" w:hAnsi="宋体"/>
          <w:bCs/>
          <w:color w:val="000000"/>
          <w:sz w:val="24"/>
          <w:szCs w:val="24"/>
          <w:lang w:val="en-US" w:eastAsia="zh-CN"/>
        </w:rPr>
        <w:t>年3</w:t>
      </w:r>
      <w:r>
        <w:rPr>
          <w:rFonts w:hint="eastAsia" w:ascii="宋体" w:hAnsi="宋体"/>
          <w:bCs/>
          <w:color w:val="000000"/>
          <w:sz w:val="24"/>
          <w:szCs w:val="24"/>
        </w:rPr>
        <w:t>月</w:t>
      </w:r>
      <w:r>
        <w:rPr>
          <w:rFonts w:hint="eastAsia" w:ascii="宋体" w:hAnsi="宋体"/>
          <w:bCs/>
          <w:color w:val="000000"/>
          <w:sz w:val="24"/>
          <w:szCs w:val="24"/>
          <w:lang w:val="en-US" w:eastAsia="zh-CN"/>
        </w:rPr>
        <w:t>23</w:t>
      </w:r>
      <w:r>
        <w:rPr>
          <w:rFonts w:hint="eastAsia" w:ascii="宋体" w:hAnsi="宋体"/>
          <w:bCs/>
          <w:color w:val="000000"/>
          <w:sz w:val="24"/>
          <w:szCs w:val="24"/>
        </w:rPr>
        <w:t>日</w:t>
      </w:r>
      <w:r>
        <w:rPr>
          <w:rFonts w:hint="eastAsia" w:ascii="宋体" w:hAnsi="宋体"/>
          <w:bCs/>
          <w:color w:val="000000"/>
          <w:sz w:val="24"/>
          <w:szCs w:val="24"/>
          <w:lang w:val="en-US" w:eastAsia="zh-CN"/>
        </w:rPr>
        <w:t>9</w:t>
      </w:r>
      <w:r>
        <w:rPr>
          <w:rFonts w:hint="eastAsia" w:ascii="宋体" w:hAnsi="宋体"/>
          <w:bCs/>
          <w:color w:val="000000"/>
          <w:sz w:val="24"/>
          <w:szCs w:val="24"/>
        </w:rPr>
        <w:t>:</w:t>
      </w:r>
      <w:r>
        <w:rPr>
          <w:rFonts w:hint="eastAsia" w:ascii="宋体" w:hAnsi="宋体"/>
          <w:bCs/>
          <w:color w:val="000000"/>
          <w:sz w:val="24"/>
          <w:szCs w:val="24"/>
          <w:lang w:val="en-US" w:eastAsia="zh-CN"/>
        </w:rPr>
        <w:t>3</w:t>
      </w:r>
      <w:r>
        <w:rPr>
          <w:rFonts w:hint="eastAsia" w:ascii="宋体" w:hAnsi="宋体"/>
          <w:bCs/>
          <w:color w:val="000000"/>
          <w:sz w:val="24"/>
          <w:szCs w:val="24"/>
        </w:rPr>
        <w:t>0</w:t>
      </w:r>
    </w:p>
    <w:p>
      <w:pPr>
        <w:spacing w:line="360" w:lineRule="auto"/>
        <w:rPr>
          <w:rFonts w:hAnsi="宋体"/>
          <w:bCs/>
          <w:color w:val="000000"/>
          <w:szCs w:val="24"/>
        </w:rPr>
      </w:pPr>
      <w:r>
        <w:rPr>
          <w:rFonts w:hint="eastAsia" w:ascii="宋体" w:hAnsi="宋体"/>
          <w:bCs/>
          <w:color w:val="000000"/>
          <w:sz w:val="24"/>
          <w:szCs w:val="24"/>
        </w:rPr>
        <w:t>2.</w:t>
      </w:r>
      <w:r>
        <w:rPr>
          <w:rFonts w:hint="eastAsia" w:ascii="宋体" w:hAnsi="宋体"/>
          <w:bCs/>
          <w:sz w:val="24"/>
          <w:szCs w:val="24"/>
        </w:rPr>
        <w:t>谈判</w:t>
      </w:r>
      <w:r>
        <w:rPr>
          <w:rFonts w:hint="eastAsia" w:ascii="宋体" w:hAnsi="宋体"/>
          <w:bCs/>
          <w:color w:val="000000"/>
          <w:sz w:val="24"/>
          <w:szCs w:val="24"/>
        </w:rPr>
        <w:t>文件价格：免费</w:t>
      </w:r>
    </w:p>
    <w:p>
      <w:pPr>
        <w:spacing w:line="360" w:lineRule="auto"/>
        <w:rPr>
          <w:rFonts w:hAnsi="宋体"/>
          <w:bCs/>
          <w:color w:val="000000"/>
          <w:szCs w:val="24"/>
        </w:rPr>
      </w:pPr>
      <w:r>
        <w:rPr>
          <w:rFonts w:hint="eastAsia" w:ascii="宋体" w:hAnsi="宋体"/>
          <w:bCs/>
          <w:color w:val="000000"/>
          <w:sz w:val="24"/>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潜在投标人须登录合肥庐阳文化旅游发展集团有限公司官方网站查阅并下载谈判文件</w:t>
      </w:r>
      <w:r>
        <w:rPr>
          <w:rFonts w:ascii="宋体" w:hAnsi="宋体" w:cs="宋体"/>
          <w:sz w:val="24"/>
          <w:szCs w:val="24"/>
        </w:rPr>
        <w:t>。</w:t>
      </w:r>
    </w:p>
    <w:p>
      <w:pPr>
        <w:autoSpaceDE w:val="0"/>
        <w:autoSpaceDN w:val="0"/>
        <w:adjustRightInd w:val="0"/>
        <w:spacing w:line="360" w:lineRule="auto"/>
        <w:ind w:firstLine="200"/>
        <w:jc w:val="left"/>
        <w:rPr>
          <w:rFonts w:hAnsi="宋体"/>
          <w:b/>
          <w:bCs/>
          <w:szCs w:val="18"/>
        </w:rPr>
      </w:pPr>
      <w:r>
        <w:rPr>
          <w:rFonts w:hint="eastAsia" w:ascii="宋体" w:hAnsi="宋体"/>
          <w:b/>
          <w:bCs/>
          <w:sz w:val="24"/>
          <w:szCs w:val="18"/>
        </w:rPr>
        <w:t>四、谈判时间及地点</w:t>
      </w:r>
    </w:p>
    <w:p>
      <w:pPr>
        <w:autoSpaceDE w:val="0"/>
        <w:autoSpaceDN w:val="0"/>
        <w:adjustRightInd w:val="0"/>
        <w:spacing w:line="360" w:lineRule="auto"/>
        <w:ind w:firstLine="200"/>
        <w:jc w:val="left"/>
        <w:rPr>
          <w:rFonts w:hAnsi="宋体"/>
          <w:bCs/>
          <w:szCs w:val="18"/>
          <w:highlight w:val="yellow"/>
        </w:rPr>
      </w:pPr>
      <w:r>
        <w:rPr>
          <w:rFonts w:hint="eastAsia" w:ascii="宋体" w:hAnsi="宋体"/>
          <w:sz w:val="24"/>
          <w:szCs w:val="18"/>
        </w:rPr>
        <w:t>1.谈判时间：响应文件提交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ascii="宋体" w:hAnsi="宋体"/>
          <w:bCs/>
          <w:sz w:val="24"/>
          <w:szCs w:val="18"/>
        </w:rPr>
        <w:t>2.谈判地点：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ascii="宋体" w:hAnsi="宋体"/>
          <w:b/>
          <w:bCs/>
          <w:sz w:val="24"/>
          <w:szCs w:val="18"/>
        </w:rPr>
        <w:t>五、响应文件提交截止时间</w:t>
      </w:r>
    </w:p>
    <w:p>
      <w:pPr>
        <w:autoSpaceDE w:val="0"/>
        <w:autoSpaceDN w:val="0"/>
        <w:adjustRightInd w:val="0"/>
        <w:spacing w:line="360" w:lineRule="auto"/>
        <w:ind w:firstLine="200"/>
        <w:jc w:val="left"/>
        <w:rPr>
          <w:rFonts w:hAnsi="宋体"/>
          <w:bCs/>
        </w:rPr>
      </w:pPr>
      <w:r>
        <w:rPr>
          <w:rFonts w:hint="eastAsia" w:ascii="宋体" w:hAnsi="宋体"/>
          <w:bCs/>
          <w:sz w:val="24"/>
        </w:rPr>
        <w:t>2023年3月23日9:</w:t>
      </w:r>
      <w:r>
        <w:rPr>
          <w:rFonts w:hint="eastAsia" w:ascii="宋体" w:hAnsi="宋体"/>
          <w:bCs/>
          <w:sz w:val="24"/>
          <w:lang w:val="en-US" w:eastAsia="zh-CN"/>
        </w:rPr>
        <w:t>3</w:t>
      </w:r>
      <w:bookmarkStart w:id="119" w:name="_GoBack"/>
      <w:bookmarkEnd w:id="119"/>
      <w:r>
        <w:rPr>
          <w:rFonts w:hint="eastAsia" w:ascii="宋体" w:hAnsi="宋体"/>
          <w:bCs/>
          <w:sz w:val="24"/>
        </w:rPr>
        <w:t xml:space="preserve">0   </w:t>
      </w:r>
    </w:p>
    <w:p>
      <w:pPr>
        <w:pStyle w:val="16"/>
        <w:spacing w:before="0" w:beforeAutospacing="0" w:after="0" w:afterAutospacing="0" w:line="360" w:lineRule="auto"/>
        <w:ind w:firstLine="195"/>
        <w:jc w:val="both"/>
        <w:textAlignment w:val="baseline"/>
        <w:rPr>
          <w:rFonts w:ascii="Arial" w:hAnsi="Arial" w:cs="Arial"/>
          <w:color w:val="auto"/>
          <w:sz w:val="22"/>
          <w:szCs w:val="22"/>
        </w:rPr>
      </w:pPr>
      <w:r>
        <w:rPr>
          <w:rFonts w:hint="eastAsia"/>
          <w:b/>
          <w:bCs/>
          <w:color w:val="auto"/>
          <w:szCs w:val="24"/>
        </w:rPr>
        <w:t>六、</w:t>
      </w:r>
      <w:r>
        <w:rPr>
          <w:rStyle w:val="22"/>
          <w:rFonts w:hint="eastAsia"/>
          <w:b w:val="0"/>
          <w:color w:val="auto"/>
        </w:rPr>
        <w:t>响应文件递交注意事项：</w:t>
      </w:r>
    </w:p>
    <w:p>
      <w:pPr>
        <w:pStyle w:val="16"/>
        <w:spacing w:before="0" w:beforeAutospacing="0" w:after="0" w:afterAutospacing="0" w:line="360" w:lineRule="auto"/>
        <w:jc w:val="both"/>
        <w:textAlignment w:val="baseline"/>
        <w:rPr>
          <w:color w:val="auto"/>
          <w:szCs w:val="24"/>
        </w:rPr>
      </w:pPr>
      <w:r>
        <w:rPr>
          <w:rFonts w:hint="eastAsia"/>
          <w:color w:val="auto"/>
          <w:szCs w:val="24"/>
        </w:rPr>
        <w:t>1.投标文件由投标人在</w:t>
      </w:r>
      <w:r>
        <w:rPr>
          <w:rStyle w:val="22"/>
          <w:rFonts w:hint="eastAsia"/>
          <w:b w:val="0"/>
          <w:color w:val="auto"/>
        </w:rPr>
        <w:t>响应文件递交截止时间前密封递交</w:t>
      </w:r>
      <w:r>
        <w:rPr>
          <w:rFonts w:hint="eastAsia"/>
          <w:color w:val="auto"/>
          <w:szCs w:val="24"/>
        </w:rPr>
        <w:t>；</w:t>
      </w:r>
    </w:p>
    <w:p>
      <w:pPr>
        <w:pStyle w:val="16"/>
        <w:spacing w:before="0" w:beforeAutospacing="0" w:after="0" w:afterAutospacing="0" w:line="360" w:lineRule="auto"/>
        <w:jc w:val="both"/>
        <w:textAlignment w:val="baseline"/>
        <w:rPr>
          <w:rFonts w:ascii="Arial" w:hAnsi="Arial" w:cs="Arial"/>
          <w:color w:val="auto"/>
          <w:sz w:val="22"/>
          <w:szCs w:val="22"/>
        </w:rPr>
      </w:pPr>
      <w:r>
        <w:rPr>
          <w:rFonts w:hint="eastAsia"/>
          <w:color w:val="auto"/>
          <w:szCs w:val="24"/>
        </w:rPr>
        <w:t>2.</w:t>
      </w:r>
      <w:r>
        <w:rPr>
          <w:rStyle w:val="22"/>
          <w:rFonts w:hint="eastAsia"/>
          <w:b w:val="0"/>
          <w:color w:val="auto"/>
        </w:rPr>
        <w:t>本项目</w:t>
      </w:r>
      <w:r>
        <w:rPr>
          <w:rStyle w:val="22"/>
          <w:rFonts w:hint="eastAsia"/>
          <w:b w:val="0"/>
          <w:color w:val="auto"/>
          <w:shd w:val="clear" w:color="auto" w:fill="FFFF00"/>
        </w:rPr>
        <w:t>仅接受线下凭授权委托书或法人身份证明文件现场递交</w:t>
      </w:r>
      <w:r>
        <w:rPr>
          <w:rStyle w:val="22"/>
          <w:rFonts w:hint="eastAsia"/>
          <w:b w:val="0"/>
          <w:color w:val="auto"/>
        </w:rPr>
        <w:t>，不接受邮寄等其他递交方式；</w:t>
      </w:r>
    </w:p>
    <w:p>
      <w:pPr>
        <w:pStyle w:val="16"/>
        <w:spacing w:before="0" w:beforeAutospacing="0" w:after="0" w:afterAutospacing="0" w:line="360" w:lineRule="auto"/>
        <w:jc w:val="both"/>
        <w:textAlignment w:val="baseline"/>
        <w:rPr>
          <w:rFonts w:ascii="Arial" w:hAnsi="Arial" w:cs="Arial"/>
          <w:color w:val="auto"/>
          <w:sz w:val="22"/>
          <w:szCs w:val="22"/>
        </w:rPr>
      </w:pPr>
      <w:r>
        <w:rPr>
          <w:rFonts w:hint="eastAsia"/>
          <w:color w:val="auto"/>
          <w:szCs w:val="24"/>
        </w:rPr>
        <w:t>3.</w:t>
      </w:r>
      <w:r>
        <w:rPr>
          <w:rStyle w:val="22"/>
          <w:rFonts w:hint="eastAsia"/>
          <w:b w:val="0"/>
          <w:color w:val="auto"/>
          <w:shd w:val="clear" w:color="auto" w:fill="FFFF00"/>
        </w:rPr>
        <w:t>递交时须另行单独提交以下证明材料</w:t>
      </w:r>
      <w:r>
        <w:rPr>
          <w:rFonts w:hint="eastAsia"/>
          <w:color w:val="auto"/>
          <w:szCs w:val="24"/>
        </w:rPr>
        <w:t>，</w:t>
      </w:r>
      <w:r>
        <w:rPr>
          <w:rStyle w:val="22"/>
          <w:rFonts w:hint="eastAsia"/>
          <w:b w:val="0"/>
          <w:color w:val="auto"/>
        </w:rPr>
        <w:t>否则招标人不予接收</w:t>
      </w:r>
      <w:r>
        <w:rPr>
          <w:rFonts w:hint="eastAsia"/>
          <w:color w:val="auto"/>
          <w:szCs w:val="24"/>
        </w:rPr>
        <w:t>。</w:t>
      </w:r>
    </w:p>
    <w:p>
      <w:pPr>
        <w:pStyle w:val="16"/>
        <w:spacing w:before="0" w:beforeAutospacing="0" w:after="0" w:afterAutospacing="0" w:line="360" w:lineRule="auto"/>
        <w:jc w:val="both"/>
        <w:textAlignment w:val="baseline"/>
        <w:rPr>
          <w:rFonts w:ascii="Arial" w:hAnsi="Arial" w:cs="Arial"/>
          <w:color w:val="auto"/>
          <w:sz w:val="22"/>
          <w:szCs w:val="22"/>
        </w:rPr>
      </w:pPr>
      <w:r>
        <w:rPr>
          <w:rFonts w:hint="eastAsia"/>
          <w:color w:val="auto"/>
          <w:szCs w:val="24"/>
        </w:rPr>
        <w:t>（1）法定代表人亲自递交的，应提供法定代表人身份证明和法定代表人的有效身份证件；</w:t>
      </w:r>
    </w:p>
    <w:p>
      <w:pPr>
        <w:pStyle w:val="16"/>
        <w:spacing w:before="0" w:beforeAutospacing="0" w:after="0" w:afterAutospacing="0" w:line="360" w:lineRule="auto"/>
        <w:jc w:val="both"/>
        <w:textAlignment w:val="baseline"/>
        <w:rPr>
          <w:rFonts w:ascii="Arial" w:hAnsi="Arial" w:cs="Arial"/>
          <w:color w:val="auto"/>
          <w:sz w:val="22"/>
          <w:szCs w:val="22"/>
        </w:rPr>
      </w:pPr>
      <w:r>
        <w:rPr>
          <w:rFonts w:hint="eastAsia"/>
          <w:color w:val="auto"/>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ascii="宋体" w:hAnsi="宋体"/>
          <w:b/>
          <w:bCs/>
          <w:sz w:val="24"/>
          <w:szCs w:val="18"/>
        </w:rPr>
        <w:t>七、联系方法</w:t>
      </w:r>
    </w:p>
    <w:p>
      <w:pPr>
        <w:autoSpaceDE w:val="0"/>
        <w:autoSpaceDN w:val="0"/>
        <w:adjustRightInd w:val="0"/>
        <w:spacing w:line="360" w:lineRule="auto"/>
        <w:ind w:firstLine="200"/>
        <w:jc w:val="left"/>
        <w:rPr>
          <w:rFonts w:hAnsi="宋体"/>
          <w:bCs/>
          <w:szCs w:val="18"/>
        </w:rPr>
      </w:pPr>
      <w:r>
        <w:rPr>
          <w:rFonts w:hint="eastAsia" w:ascii="宋体" w:hAnsi="宋体"/>
          <w:bCs/>
          <w:sz w:val="24"/>
          <w:szCs w:val="18"/>
        </w:rPr>
        <w:t xml:space="preserve">招标人： </w:t>
      </w:r>
      <w:r>
        <w:rPr>
          <w:rFonts w:hint="eastAsia" w:hAnsi="宋体"/>
          <w:bCs/>
          <w:sz w:val="24"/>
          <w:szCs w:val="18"/>
        </w:rPr>
        <w:t>合肥城隍庙商业运营管理有限公司</w:t>
      </w:r>
    </w:p>
    <w:p>
      <w:pPr>
        <w:spacing w:line="360" w:lineRule="auto"/>
        <w:ind w:firstLine="240" w:firstLineChars="100"/>
        <w:rPr>
          <w:rFonts w:hAnsi="宋体"/>
          <w:bCs/>
          <w:szCs w:val="18"/>
        </w:rPr>
      </w:pPr>
      <w:r>
        <w:rPr>
          <w:rFonts w:hint="eastAsia" w:ascii="宋体" w:hAnsi="宋体"/>
          <w:bCs/>
          <w:sz w:val="24"/>
          <w:szCs w:val="18"/>
        </w:rPr>
        <w:t xml:space="preserve">地址：合肥市原省政府办公区北楼一楼134办公室招标部 </w:t>
      </w:r>
    </w:p>
    <w:p>
      <w:pPr>
        <w:autoSpaceDE w:val="0"/>
        <w:autoSpaceDN w:val="0"/>
        <w:adjustRightInd w:val="0"/>
        <w:spacing w:line="360" w:lineRule="auto"/>
        <w:ind w:firstLine="200"/>
        <w:jc w:val="left"/>
        <w:rPr>
          <w:rFonts w:hAnsi="宋体"/>
          <w:bCs/>
          <w:szCs w:val="18"/>
        </w:rPr>
      </w:pPr>
      <w:r>
        <w:rPr>
          <w:rFonts w:hint="eastAsia" w:ascii="宋体" w:hAnsi="宋体"/>
          <w:bCs/>
          <w:sz w:val="24"/>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ascii="宋体" w:hAnsi="宋体"/>
          <w:bCs/>
          <w:sz w:val="24"/>
          <w:szCs w:val="18"/>
        </w:rPr>
        <w:t xml:space="preserve">电  话：0551-69115416  </w:t>
      </w:r>
    </w:p>
    <w:p>
      <w:pPr>
        <w:autoSpaceDE w:val="0"/>
        <w:autoSpaceDN w:val="0"/>
        <w:adjustRightInd w:val="0"/>
        <w:spacing w:line="360" w:lineRule="auto"/>
        <w:ind w:firstLine="200"/>
        <w:jc w:val="left"/>
        <w:rPr>
          <w:rFonts w:hAnsi="宋体"/>
          <w:b/>
          <w:bCs/>
          <w:szCs w:val="18"/>
        </w:rPr>
      </w:pPr>
      <w:r>
        <w:rPr>
          <w:rFonts w:hint="eastAsia" w:ascii="宋体" w:hAnsi="宋体"/>
          <w:b/>
          <w:bCs/>
          <w:sz w:val="24"/>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ascii="宋体" w:hAnsi="宋体"/>
          <w:color w:val="000000"/>
          <w:sz w:val="24"/>
          <w:szCs w:val="24"/>
        </w:rPr>
        <w:t>1．有任何疑问或问题，请在工作时间（周一至周五，上午8:00-11:30，下午14:30-17:30，节假日休息）与项目联系人联系。</w:t>
      </w:r>
    </w:p>
    <w:p/>
    <w:p>
      <w:pPr>
        <w:pStyle w:val="3"/>
        <w:rPr>
          <w:rFonts w:hAnsi="宋体"/>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Ansi="宋体"/>
        </w:rPr>
      </w:pPr>
      <w:bookmarkStart w:id="2" w:name="_Toc15002"/>
      <w:r>
        <w:rPr>
          <w:rFonts w:hint="eastAsia" w:hAnsi="宋体"/>
        </w:rPr>
        <w:t>第二章  投标人须知</w:t>
      </w:r>
      <w:bookmarkEnd w:id="2"/>
    </w:p>
    <w:p>
      <w:pPr>
        <w:spacing w:before="120" w:after="120" w:line="415" w:lineRule="auto"/>
        <w:jc w:val="center"/>
        <w:rPr>
          <w:rFonts w:ascii="黑体" w:hAnsi="黑体" w:eastAsia="黑体"/>
          <w:b/>
        </w:rPr>
      </w:pPr>
      <w:bookmarkStart w:id="3" w:name="_Toc38879315"/>
      <w:r>
        <w:rPr>
          <w:rFonts w:hint="eastAsia" w:ascii="黑体" w:hAnsi="黑体" w:eastAsia="黑体"/>
          <w:b/>
        </w:rPr>
        <w:t>投标人须知前附表</w:t>
      </w:r>
      <w:bookmarkEnd w:id="3"/>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谈判文件、补疑（如有）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计划工期</w:t>
            </w:r>
            <w:r>
              <w:rPr>
                <w:rFonts w:hint="eastAsia"/>
              </w:rPr>
              <w:t>（20个日历天）</w:t>
            </w:r>
          </w:p>
        </w:tc>
        <w:tc>
          <w:tcPr>
            <w:tcW w:w="6051" w:type="dxa"/>
            <w:vAlign w:val="center"/>
          </w:tcPr>
          <w:p>
            <w:pPr>
              <w:snapToGrid w:val="0"/>
              <w:rPr>
                <w:szCs w:val="24"/>
              </w:rPr>
            </w:pPr>
            <w:r>
              <w:rPr>
                <w:rFonts w:hint="eastAsia"/>
                <w:szCs w:val="24"/>
              </w:rPr>
              <w:t>计划工期：</w:t>
            </w:r>
            <w:r>
              <w:rPr>
                <w:rFonts w:hint="eastAsia"/>
                <w:szCs w:val="24"/>
                <w:u w:val="single"/>
              </w:rPr>
              <w:t xml:space="preserve">  15  </w:t>
            </w:r>
            <w:r>
              <w:rPr>
                <w:rFonts w:hint="eastAsia"/>
                <w:szCs w:val="24"/>
              </w:rPr>
              <w:t>日历天</w:t>
            </w:r>
          </w:p>
          <w:p>
            <w:pPr>
              <w:snapToGrid w:val="0"/>
              <w:rPr>
                <w:szCs w:val="24"/>
                <w:u w:val="single"/>
              </w:rPr>
            </w:pPr>
            <w:r>
              <w:rPr>
                <w:rFonts w:hint="eastAsia"/>
                <w:szCs w:val="24"/>
                <w:u w:val="single"/>
              </w:rPr>
              <w:t>合同签订后，在接到建设单位入场通知15个日历天完成所有施工任务并验收送电通过。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8</w:t>
            </w:r>
          </w:p>
        </w:tc>
        <w:tc>
          <w:tcPr>
            <w:tcW w:w="2471" w:type="dxa"/>
            <w:vAlign w:val="center"/>
          </w:tcPr>
          <w:p>
            <w:pPr>
              <w:snapToGrid w:val="0"/>
              <w:rPr>
                <w:szCs w:val="24"/>
              </w:rPr>
            </w:pPr>
            <w:r>
              <w:rPr>
                <w:rFonts w:hint="eastAsia"/>
                <w:szCs w:val="24"/>
              </w:rPr>
              <w:t>质量要求</w:t>
            </w:r>
          </w:p>
        </w:tc>
        <w:tc>
          <w:tcPr>
            <w:tcW w:w="6051" w:type="dxa"/>
            <w:vAlign w:val="center"/>
          </w:tcPr>
          <w:p>
            <w:pPr>
              <w:snapToGrid w:val="0"/>
              <w:rPr>
                <w:szCs w:val="24"/>
              </w:rPr>
            </w:pPr>
            <w:r>
              <w:rPr>
                <w:rFonts w:hint="eastAsia"/>
                <w:szCs w:val="24"/>
              </w:rPr>
              <w:t>质量标准：</w:t>
            </w:r>
            <w:r>
              <w:rPr>
                <w:rFonts w:hint="eastAsia"/>
                <w:szCs w:val="24"/>
                <w:u w:val="single"/>
              </w:rPr>
              <w:t xml:space="preserve">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9</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10</w:t>
            </w:r>
          </w:p>
        </w:tc>
        <w:tc>
          <w:tcPr>
            <w:tcW w:w="2471" w:type="dxa"/>
            <w:vAlign w:val="center"/>
          </w:tcPr>
          <w:p>
            <w:pPr>
              <w:snapToGrid w:val="0"/>
              <w:rPr>
                <w:szCs w:val="24"/>
              </w:rPr>
            </w:pPr>
            <w:r>
              <w:rPr>
                <w:rFonts w:hint="eastAsia"/>
                <w:szCs w:val="24"/>
              </w:rPr>
              <w:t>投标人不得存在的其他不良状况或不良信用记录</w:t>
            </w:r>
          </w:p>
        </w:tc>
        <w:tc>
          <w:tcPr>
            <w:tcW w:w="6051" w:type="dxa"/>
            <w:vAlign w:val="center"/>
          </w:tcPr>
          <w:p>
            <w:pPr>
              <w:snapToGrid w:val="0"/>
              <w:rPr>
                <w:b/>
                <w:szCs w:val="24"/>
              </w:rPr>
            </w:pPr>
            <w:r>
              <w:rPr>
                <w:rFonts w:hint="eastAsia" w:hAnsi="宋体"/>
                <w:color w:val="000000"/>
                <w:szCs w:val="24"/>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szCs w:val="24"/>
              </w:rPr>
            </w:pPr>
            <w:r>
              <w:rPr>
                <w:rFonts w:hint="eastAsia"/>
                <w:szCs w:val="24"/>
              </w:rPr>
              <w:t>11</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ascii="仿宋" w:hAnsi="仿宋" w:eastAsia="仿宋"/>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sym w:font="Wingdings 2" w:char="00A3"/>
            </w: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12</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13</w:t>
            </w:r>
          </w:p>
        </w:tc>
        <w:tc>
          <w:tcPr>
            <w:tcW w:w="2471" w:type="dxa"/>
            <w:vAlign w:val="center"/>
          </w:tcPr>
          <w:p>
            <w:pPr>
              <w:snapToGrid w:val="0"/>
              <w:rPr>
                <w:szCs w:val="24"/>
              </w:rPr>
            </w:pPr>
            <w:r>
              <w:rPr>
                <w:rFonts w:hint="eastAsia"/>
                <w:szCs w:val="24"/>
              </w:rPr>
              <w:t>构成谈判文件的其他资料</w:t>
            </w:r>
          </w:p>
        </w:tc>
        <w:tc>
          <w:tcPr>
            <w:tcW w:w="6051" w:type="dxa"/>
            <w:vAlign w:val="center"/>
          </w:tcPr>
          <w:p>
            <w:pPr>
              <w:snapToGrid w:val="0"/>
              <w:rPr>
                <w:color w:val="000000"/>
                <w:szCs w:val="24"/>
              </w:rPr>
            </w:pPr>
            <w:r>
              <w:rPr>
                <w:rFonts w:hint="eastAsia" w:ascii="宋体" w:hAnsi="Times New Roman"/>
                <w:color w:val="FF0000"/>
                <w:sz w:val="24"/>
                <w:szCs w:val="20"/>
              </w:rPr>
              <w:t>工程量清单、</w:t>
            </w:r>
            <w:r>
              <w:rPr>
                <w:rFonts w:hint="eastAsia" w:ascii="宋体" w:hAnsi="Times New Roman"/>
                <w:color w:val="FF0000"/>
                <w:sz w:val="24"/>
                <w:szCs w:val="20"/>
                <w:lang w:val="en-US" w:eastAsia="zh-CN"/>
              </w:rPr>
              <w:t>图纸、</w:t>
            </w:r>
            <w:r>
              <w:rPr>
                <w:rFonts w:hint="eastAsia" w:ascii="宋体" w:hAnsi="Times New Roman"/>
                <w:color w:val="FF0000"/>
                <w:sz w:val="24"/>
                <w:szCs w:val="20"/>
              </w:rPr>
              <w:t>答疑（如有）、补遗（如有）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ind w:left="105" w:leftChars="50" w:right="105" w:rightChars="50"/>
              <w:jc w:val="center"/>
              <w:rPr>
                <w:snapToGrid w:val="0"/>
                <w:szCs w:val="24"/>
              </w:rPr>
            </w:pPr>
            <w:r>
              <w:rPr>
                <w:rFonts w:hint="eastAsia"/>
                <w:snapToGrid w:val="0"/>
                <w:szCs w:val="24"/>
              </w:rPr>
              <w:t>14</w:t>
            </w:r>
          </w:p>
        </w:tc>
        <w:tc>
          <w:tcPr>
            <w:tcW w:w="2471" w:type="dxa"/>
            <w:vAlign w:val="center"/>
          </w:tcPr>
          <w:p>
            <w:pPr>
              <w:kinsoku w:val="0"/>
              <w:overflowPunct w:val="0"/>
              <w:autoSpaceDE w:val="0"/>
              <w:autoSpaceDN w:val="0"/>
              <w:adjustRightInd w:val="0"/>
              <w:snapToGrid w:val="0"/>
              <w:ind w:left="105" w:leftChars="50" w:right="105" w:rightChars="50"/>
              <w:jc w:val="center"/>
              <w:rPr>
                <w:snapToGrid w:val="0"/>
                <w:szCs w:val="24"/>
              </w:rPr>
            </w:pPr>
            <w:r>
              <w:rPr>
                <w:rFonts w:hint="eastAsia"/>
                <w:snapToGrid w:val="0"/>
                <w:szCs w:val="24"/>
              </w:rPr>
              <w:t>谈判文件</w:t>
            </w:r>
            <w:r>
              <w:rPr>
                <w:snapToGrid w:val="0"/>
                <w:szCs w:val="24"/>
              </w:rPr>
              <w:t>修改发出的形式</w:t>
            </w:r>
          </w:p>
        </w:tc>
        <w:tc>
          <w:tcPr>
            <w:tcW w:w="6051" w:type="dxa"/>
            <w:vAlign w:val="center"/>
          </w:tcPr>
          <w:p>
            <w:pPr>
              <w:autoSpaceDE w:val="0"/>
              <w:autoSpaceDN w:val="0"/>
              <w:adjustRightInd w:val="0"/>
              <w:snapToGrid w:val="0"/>
              <w:ind w:right="105"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pPr>
          </w:p>
          <w:p>
            <w:pPr>
              <w:snapToGrid w:val="0"/>
              <w:jc w:val="center"/>
              <w:rPr>
                <w:szCs w:val="24"/>
              </w:rPr>
            </w:pPr>
            <w:r>
              <w:rPr>
                <w:rFonts w:hint="eastAsia"/>
                <w:sz w:val="24"/>
              </w:rPr>
              <w:t>15</w:t>
            </w:r>
          </w:p>
        </w:tc>
        <w:tc>
          <w:tcPr>
            <w:tcW w:w="2471" w:type="dxa"/>
            <w:vMerge w:val="restart"/>
            <w:vAlign w:val="center"/>
          </w:tcPr>
          <w:p>
            <w:pPr>
              <w:snapToGrid w:val="0"/>
              <w:jc w:val="center"/>
            </w:pPr>
            <w:r>
              <w:rPr>
                <w:rFonts w:hint="eastAsia"/>
                <w:sz w:val="24"/>
              </w:rPr>
              <w:t>谈判文件的</w:t>
            </w:r>
          </w:p>
          <w:p>
            <w:pPr>
              <w:snapToGrid w:val="0"/>
              <w:jc w:val="center"/>
              <w:rPr>
                <w:szCs w:val="24"/>
              </w:rPr>
            </w:pPr>
            <w:r>
              <w:rPr>
                <w:rFonts w:hint="eastAsia"/>
                <w:sz w:val="24"/>
              </w:rPr>
              <w:t>异议</w:t>
            </w:r>
          </w:p>
        </w:tc>
        <w:tc>
          <w:tcPr>
            <w:tcW w:w="6051" w:type="dxa"/>
            <w:vAlign w:val="center"/>
          </w:tcPr>
          <w:p>
            <w:pPr>
              <w:snapToGrid w:val="0"/>
              <w:rPr>
                <w:rFonts w:hAnsi="宋体"/>
                <w:szCs w:val="24"/>
              </w:rPr>
            </w:pPr>
            <w:r>
              <w:rPr>
                <w:rFonts w:hint="eastAsia" w:ascii="宋体" w:hAnsi="宋体"/>
                <w:sz w:val="24"/>
              </w:rPr>
              <w:t>时间：</w:t>
            </w:r>
            <w:r>
              <w:rPr>
                <w:rFonts w:hint="eastAsia"/>
                <w:sz w:val="24"/>
              </w:rPr>
              <w:t>2023年3月</w:t>
            </w:r>
            <w:r>
              <w:rPr>
                <w:rFonts w:hint="eastAsia"/>
                <w:sz w:val="24"/>
                <w:lang w:val="en-US" w:eastAsia="zh-CN"/>
              </w:rPr>
              <w:t>21</w:t>
            </w:r>
            <w:r>
              <w:rPr>
                <w:rFonts w:hint="eastAsia"/>
                <w:sz w:val="24"/>
              </w:rPr>
              <w:t>日17时30分前</w:t>
            </w:r>
            <w:r>
              <w:rPr>
                <w:rFonts w:hint="eastAsia"/>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szCs w:val="24"/>
              </w:rPr>
            </w:pPr>
          </w:p>
        </w:tc>
        <w:tc>
          <w:tcPr>
            <w:tcW w:w="2471" w:type="dxa"/>
            <w:vMerge w:val="continue"/>
            <w:vAlign w:val="center"/>
          </w:tcPr>
          <w:p>
            <w:pPr>
              <w:snapToGrid w:val="0"/>
              <w:rPr>
                <w:szCs w:val="24"/>
              </w:rPr>
            </w:pPr>
          </w:p>
        </w:tc>
        <w:tc>
          <w:tcPr>
            <w:tcW w:w="6051" w:type="dxa"/>
            <w:vAlign w:val="center"/>
          </w:tcPr>
          <w:p>
            <w:pPr>
              <w:snapToGrid w:val="0"/>
              <w:rPr>
                <w:szCs w:val="24"/>
              </w:rPr>
            </w:pPr>
            <w:r>
              <w:rPr>
                <w:rFonts w:hint="eastAsia"/>
                <w:bCs/>
                <w:snapToGrid w:val="0"/>
                <w:kern w:val="0"/>
                <w:sz w:val="24"/>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16</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bCs/>
                <w:snapToGrid w:val="0"/>
                <w:szCs w:val="24"/>
              </w:rPr>
              <w:sym w:font="Wingdings 2" w:char="00A3"/>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17</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szCs w:val="24"/>
              </w:rPr>
            </w:pPr>
            <w:r>
              <w:rPr>
                <w:rFonts w:hint="eastAsia"/>
                <w:bCs/>
                <w:snapToGrid w:val="0"/>
                <w:szCs w:val="24"/>
              </w:rPr>
              <w:sym w:font="Wingdings 2" w:char="0052"/>
            </w:r>
            <w:r>
              <w:rPr>
                <w:rFonts w:hint="eastAsia"/>
                <w:bCs/>
                <w:snapToGrid w:val="0"/>
                <w:szCs w:val="24"/>
              </w:rPr>
              <w:t>有，</w:t>
            </w:r>
            <w:r>
              <w:rPr>
                <w:rFonts w:hint="eastAsia"/>
                <w:bCs/>
                <w:snapToGrid w:val="0"/>
                <w:color w:val="FF0000"/>
                <w:szCs w:val="24"/>
              </w:rPr>
              <w:t>最高投</w:t>
            </w:r>
            <w:r>
              <w:rPr>
                <w:rFonts w:hint="eastAsia" w:ascii="宋体" w:hAnsi="Times New Roman"/>
                <w:bCs/>
                <w:snapToGrid w:val="0"/>
                <w:color w:val="FF0000"/>
                <w:szCs w:val="24"/>
              </w:rPr>
              <w:t>标限价</w:t>
            </w:r>
            <w:r>
              <w:rPr>
                <w:rFonts w:hint="eastAsia" w:ascii="宋体" w:hAnsi="Times New Roman"/>
                <w:bCs/>
                <w:snapToGrid w:val="0"/>
                <w:color w:val="FF0000"/>
                <w:szCs w:val="24"/>
                <w:u w:val="single"/>
              </w:rPr>
              <w:t xml:space="preserve"> </w:t>
            </w:r>
            <w:r>
              <w:rPr>
                <w:rFonts w:hint="eastAsia" w:ascii="宋体" w:hAnsi="Times New Roman"/>
                <w:bCs/>
                <w:snapToGrid w:val="0"/>
                <w:szCs w:val="24"/>
                <w:u w:val="single"/>
              </w:rPr>
              <w:t xml:space="preserve"> </w:t>
            </w:r>
            <w:r>
              <w:rPr>
                <w:rFonts w:hint="eastAsia"/>
                <w:bCs/>
                <w:snapToGrid w:val="0"/>
                <w:szCs w:val="24"/>
                <w:u w:val="single"/>
              </w:rPr>
              <w:t>15.06万</w:t>
            </w:r>
            <w:r>
              <w:rPr>
                <w:rFonts w:hint="eastAsia" w:ascii="宋体" w:hAnsi="Times New Roman"/>
                <w:bCs/>
                <w:snapToGrid w:val="0"/>
                <w:szCs w:val="24"/>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18</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19</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20</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21</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22</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5"/>
              <w:rPr>
                <w:rFonts w:cs="楷体"/>
                <w:snapToGrid w:val="0"/>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5"/>
            </w:pPr>
            <w:r>
              <w:rPr>
                <w:rFonts w:hint="eastAsia" w:cs="楷体"/>
                <w:snapToGrid w:val="0"/>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24</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ascii="宋体"/>
                <w:snapToGrid w:val="0"/>
                <w:sz w:val="24"/>
                <w:szCs w:val="24"/>
                <w:shd w:val="clear" w:color="auto" w:fill="FFFFFF"/>
              </w:rPr>
              <w:t>1.投标文件由投标人在响应文件递交截止时间前密封递交；</w:t>
            </w:r>
          </w:p>
          <w:p>
            <w:pPr>
              <w:snapToGrid w:val="0"/>
              <w:rPr>
                <w:snapToGrid w:val="0"/>
                <w:szCs w:val="24"/>
                <w:shd w:val="clear" w:color="auto" w:fill="FFFFFF"/>
              </w:rPr>
            </w:pPr>
            <w:r>
              <w:rPr>
                <w:rFonts w:hint="eastAsia" w:ascii="宋体"/>
                <w:snapToGrid w:val="0"/>
                <w:sz w:val="24"/>
                <w:szCs w:val="24"/>
                <w:shd w:val="clear" w:color="auto" w:fill="FFFFFF"/>
              </w:rPr>
              <w:t>2.本项目仅接受线下凭授权委托书或法人身份证明文件现场递交，不接受邮寄等其他递交方式；</w:t>
            </w:r>
          </w:p>
          <w:p>
            <w:pPr>
              <w:snapToGrid w:val="0"/>
              <w:rPr>
                <w:snapToGrid w:val="0"/>
                <w:szCs w:val="24"/>
                <w:shd w:val="clear" w:color="auto" w:fill="FFFFFF"/>
              </w:rPr>
            </w:pPr>
            <w:r>
              <w:rPr>
                <w:rFonts w:hint="eastAsia" w:ascii="宋体"/>
                <w:snapToGrid w:val="0"/>
                <w:sz w:val="24"/>
                <w:szCs w:val="24"/>
                <w:shd w:val="clear" w:color="auto" w:fill="FFFFFF"/>
              </w:rPr>
              <w:t>3.递交时须另行单独提交以下证明材料，否则招标人不予接收。</w:t>
            </w:r>
          </w:p>
          <w:p>
            <w:pPr>
              <w:snapToGrid w:val="0"/>
              <w:rPr>
                <w:snapToGrid w:val="0"/>
                <w:szCs w:val="24"/>
                <w:shd w:val="clear" w:color="auto" w:fill="FFFFFF"/>
              </w:rPr>
            </w:pPr>
            <w:r>
              <w:rPr>
                <w:rFonts w:hint="eastAsia" w:ascii="宋体"/>
                <w:snapToGrid w:val="0"/>
                <w:sz w:val="24"/>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ascii="宋体"/>
                <w:snapToGrid w:val="0"/>
                <w:sz w:val="24"/>
                <w:szCs w:val="24"/>
                <w:shd w:val="clear" w:color="auto" w:fill="FFFFFF"/>
              </w:rPr>
              <w:t>（2）委托代理人递交的，应提供授权委托书和委托代理人的有效身份证件。</w:t>
            </w:r>
          </w:p>
          <w:p>
            <w:pPr>
              <w:snapToGrid w:val="0"/>
              <w:rPr>
                <w:snapToGrid w:val="0"/>
                <w:szCs w:val="24"/>
                <w:shd w:val="clear" w:color="auto" w:fill="FFFFFF"/>
              </w:rPr>
            </w:pPr>
            <w:r>
              <w:rPr>
                <w:rFonts w:hint="eastAsia" w:ascii="宋体"/>
                <w:snapToGrid w:val="0"/>
                <w:sz w:val="24"/>
                <w:szCs w:val="24"/>
                <w:shd w:val="clear" w:color="auto" w:fill="FFFFFF"/>
              </w:rPr>
              <w:t>4.请在响应文件提交截止规定时间内递交文件。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25</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合肥市原省政府办公区北楼一楼134办公室招标部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26</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27</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28</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30</w:t>
            </w:r>
          </w:p>
        </w:tc>
        <w:tc>
          <w:tcPr>
            <w:tcW w:w="2471" w:type="dxa"/>
            <w:vAlign w:val="center"/>
          </w:tcPr>
          <w:p>
            <w:pPr>
              <w:snapToGrid w:val="0"/>
              <w:jc w:val="center"/>
              <w:rPr>
                <w:szCs w:val="24"/>
              </w:rPr>
            </w:pPr>
            <w:r>
              <w:rPr>
                <w:szCs w:val="24"/>
              </w:rPr>
              <w:t>履约保证金</w:t>
            </w:r>
          </w:p>
        </w:tc>
        <w:tc>
          <w:tcPr>
            <w:tcW w:w="6051" w:type="dxa"/>
            <w:vAlign w:val="center"/>
          </w:tcPr>
          <w:tbl>
            <w:tblPr>
              <w:tblStyle w:val="19"/>
              <w:tblW w:w="5000" w:type="pct"/>
              <w:tblInd w:w="0" w:type="dxa"/>
              <w:tblLayout w:type="autofit"/>
              <w:tblCellMar>
                <w:top w:w="0" w:type="dxa"/>
                <w:left w:w="108" w:type="dxa"/>
                <w:bottom w:w="0" w:type="dxa"/>
                <w:right w:w="108" w:type="dxa"/>
              </w:tblCellMar>
            </w:tblPr>
            <w:tblGrid>
              <w:gridCol w:w="1361"/>
              <w:gridCol w:w="4474"/>
            </w:tblGrid>
            <w:tr>
              <w:tblPrEx>
                <w:tblCellMar>
                  <w:top w:w="0" w:type="dxa"/>
                  <w:left w:w="108" w:type="dxa"/>
                  <w:bottom w:w="0" w:type="dxa"/>
                  <w:right w:w="108" w:type="dxa"/>
                </w:tblCellMar>
              </w:tblPrEx>
              <w:tc>
                <w:tcPr>
                  <w:tcW w:w="1166" w:type="pct"/>
                  <w:vAlign w:val="center"/>
                </w:tcPr>
                <w:p>
                  <w:pPr>
                    <w:snapToGrid w:val="0"/>
                    <w:ind w:left="-73" w:leftChars="-35"/>
                    <w:rPr>
                      <w:rFonts w:ascii="楷体" w:hAnsi="楷体" w:eastAsia="楷体"/>
                      <w:szCs w:val="24"/>
                    </w:rPr>
                  </w:pPr>
                  <w:r>
                    <w:rPr>
                      <w:rFonts w:hint="eastAsia"/>
                      <w:szCs w:val="24"/>
                    </w:rPr>
                    <w:t>（1）形式：</w:t>
                  </w:r>
                </w:p>
              </w:tc>
              <w:tc>
                <w:tcPr>
                  <w:tcW w:w="3834" w:type="pct"/>
                </w:tcPr>
                <w:p>
                  <w:pPr>
                    <w:snapToGrid w:val="0"/>
                    <w:rPr>
                      <w:rFonts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免收</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r>
              <w:tblPrEx>
                <w:tblCellMar>
                  <w:top w:w="0" w:type="dxa"/>
                  <w:left w:w="108" w:type="dxa"/>
                  <w:bottom w:w="0" w:type="dxa"/>
                  <w:right w:w="108" w:type="dxa"/>
                </w:tblCellMar>
              </w:tblPrEx>
              <w:tc>
                <w:tcPr>
                  <w:tcW w:w="5000" w:type="pct"/>
                  <w:gridSpan w:val="2"/>
                </w:tcPr>
                <w:p>
                  <w:pPr>
                    <w:snapToGrid w:val="0"/>
                    <w:ind w:left="-73" w:leftChars="-35"/>
                  </w:pPr>
                  <w:r>
                    <w:rPr>
                      <w:rFonts w:hint="eastAsia"/>
                    </w:rPr>
                    <w:t xml:space="preserve">（2）金额：中标金额的 </w:t>
                  </w:r>
                  <w:r>
                    <w:rPr>
                      <w:rFonts w:hint="eastAsia"/>
                      <w:u w:val="single"/>
                    </w:rPr>
                    <w:t xml:space="preserve">  0 ％</w:t>
                  </w:r>
                </w:p>
                <w:p>
                  <w:pPr>
                    <w:snapToGrid w:val="0"/>
                    <w:ind w:left="-73" w:leftChars="-35"/>
                  </w:pPr>
                </w:p>
                <w:p>
                  <w:pPr>
                    <w:pStyle w:val="36"/>
                    <w:ind w:left="0" w:leftChars="0" w:firstLine="0" w:firstLineChars="0"/>
                  </w:pPr>
                  <w:r>
                    <w:rPr>
                      <w:rFonts w:hint="eastAsia"/>
                    </w:rPr>
                    <w:t>（3）履约保证金于项目竣工验收合格后退还</w:t>
                  </w:r>
                </w:p>
              </w:tc>
            </w:tr>
          </w:tbl>
          <w:p>
            <w:pPr>
              <w:snapToGrid w:val="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bCs/>
                <w:snapToGrid w:val="0"/>
                <w:szCs w:val="24"/>
              </w:rPr>
              <w:t>31</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（1）项目经理/项目负责人必须是投标人本单位工作人员，提供虚假资料谋取中标的将报监管部门处理。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项目负责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eastAsia="楷体"/>
                <w:bCs/>
                <w:snapToGrid w:val="0"/>
                <w:szCs w:val="24"/>
              </w:rPr>
              <w:t>32</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构成谈判文件组成部分的“通用合同条款”、“专用合同条款”、“技术标准和要求”和“工程量清单”等章节中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eastAsia="楷体"/>
                <w:bCs/>
                <w:snapToGrid w:val="0"/>
                <w:szCs w:val="24"/>
              </w:rPr>
            </w:pPr>
            <w:r>
              <w:rPr>
                <w:rFonts w:hint="eastAsia" w:eastAsia="楷体"/>
                <w:bCs/>
                <w:snapToGrid w:val="0"/>
                <w:szCs w:val="24"/>
              </w:rPr>
              <w:t>33</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(1)构成本谈判文件的各个组成文件应互为解释，互为说明；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(4)除谈判文件中有特别规定外，仅适用于招标投标阶段的规定，按招标公告、投标人须知、评标办法、投标文件格式的先后顺序解释；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eastAsia="楷体"/>
                <w:bCs/>
                <w:snapToGrid w:val="0"/>
                <w:szCs w:val="24"/>
              </w:rPr>
            </w:pPr>
            <w:bookmarkStart w:id="4" w:name="_Toc11078137"/>
            <w:bookmarkStart w:id="5" w:name="_Toc38879316"/>
            <w:bookmarkStart w:id="6" w:name="_Toc460226720"/>
            <w:bookmarkStart w:id="7" w:name="_Toc421916975"/>
            <w:bookmarkStart w:id="8" w:name="_Toc460226989"/>
            <w:bookmarkStart w:id="9" w:name="_Toc460660062"/>
            <w:bookmarkStart w:id="10" w:name="_Toc283798416"/>
            <w:bookmarkStart w:id="11" w:name="_Toc184635071"/>
            <w:r>
              <w:rPr>
                <w:rFonts w:hint="eastAsia" w:eastAsia="楷体"/>
                <w:bCs/>
                <w:snapToGrid w:val="0"/>
                <w:szCs w:val="24"/>
              </w:rPr>
              <w:t>34</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ascii="宋体" w:hAnsi="Times New Roman"/>
              </w:rPr>
              <w:t>（1）社保局官方网站查询的缴费记录截图；</w:t>
            </w:r>
          </w:p>
          <w:p>
            <w:pPr>
              <w:snapToGrid w:val="0"/>
            </w:pPr>
            <w:r>
              <w:rPr>
                <w:rFonts w:hint="eastAsia" w:ascii="宋体" w:hAnsi="Times New Roman"/>
              </w:rPr>
              <w:t>（2）社保局的书面证明材料；</w:t>
            </w:r>
          </w:p>
          <w:p>
            <w:pPr>
              <w:snapToGrid w:val="0"/>
            </w:pPr>
            <w:r>
              <w:rPr>
                <w:rFonts w:hint="eastAsia" w:ascii="宋体" w:hAnsi="Times New Roman"/>
              </w:rPr>
              <w:t>（3）经投标人委托的第三方人力资源服务机构或与投标人有直接隶属关系的机构可以代缴社保，但须提供有关证明材料并经评标委员会确认。</w:t>
            </w:r>
          </w:p>
          <w:p>
            <w:pPr>
              <w:snapToGrid w:val="0"/>
            </w:pPr>
            <w:r>
              <w:rPr>
                <w:rFonts w:hint="eastAsia" w:ascii="宋体" w:hAnsi="Times New Roman"/>
              </w:rPr>
              <w:t>（4）参与投标的院校，社保证明可以用以下任意一种：</w:t>
            </w:r>
          </w:p>
          <w:p>
            <w:pPr>
              <w:snapToGrid w:val="0"/>
            </w:pPr>
            <w:r>
              <w:rPr>
                <w:rFonts w:hint="eastAsia" w:ascii="宋体" w:hAnsi="Times New Roman"/>
              </w:rPr>
              <w:t>①加盖投标人公章的教师证（须为本单位人员）；</w:t>
            </w:r>
          </w:p>
          <w:p>
            <w:pPr>
              <w:snapToGrid w:val="0"/>
            </w:pPr>
            <w:r>
              <w:rPr>
                <w:rFonts w:hint="eastAsia" w:ascii="宋体" w:hAnsi="Times New Roman"/>
              </w:rPr>
              <w:t>②医保证明材料。</w:t>
            </w:r>
          </w:p>
          <w:p>
            <w:pPr>
              <w:snapToGrid w:val="0"/>
            </w:pPr>
            <w:r>
              <w:rPr>
                <w:rFonts w:hint="eastAsia" w:ascii="宋体" w:hAnsi="Times New Roman"/>
              </w:rPr>
              <w:t>（5）其他经评标委员会认可的证明材料。</w:t>
            </w:r>
          </w:p>
          <w:p>
            <w:pPr>
              <w:snapToGrid w:val="0"/>
            </w:pPr>
            <w:r>
              <w:rPr>
                <w:rFonts w:hint="eastAsia" w:ascii="宋体" w:hAnsi="Times New Roman"/>
              </w:rPr>
              <w:t>（6）法定代表人参与项目的，无需提供社保证明材料，提供身份证明扫描件即可。</w:t>
            </w:r>
          </w:p>
        </w:tc>
      </w:tr>
    </w:tbl>
    <w:p>
      <w:pPr>
        <w:jc w:val="center"/>
        <w:rPr>
          <w:rFonts w:ascii="黑体" w:hAnsi="黑体" w:eastAsia="黑体"/>
          <w:b/>
        </w:rPr>
      </w:pPr>
      <w:r>
        <w:rPr>
          <w:rFonts w:hint="eastAsia" w:ascii="黑体" w:hAnsi="黑体" w:eastAsia="黑体"/>
          <w:b/>
          <w:bCs/>
          <w:sz w:val="32"/>
          <w:szCs w:val="32"/>
        </w:rPr>
        <w:br w:type="page"/>
      </w:r>
      <w:r>
        <w:rPr>
          <w:rFonts w:hint="eastAsia" w:ascii="黑体" w:hAnsi="黑体" w:eastAsia="黑体"/>
          <w:b/>
          <w:bCs/>
          <w:sz w:val="32"/>
          <w:szCs w:val="32"/>
        </w:rPr>
        <w:t>附录1  初审条件(资质最低条件)</w:t>
      </w:r>
      <w:bookmarkEnd w:id="4"/>
      <w:bookmarkEnd w:id="5"/>
      <w:bookmarkEnd w:id="6"/>
      <w:bookmarkEnd w:id="7"/>
      <w:bookmarkEnd w:id="8"/>
      <w:bookmarkEnd w:id="9"/>
      <w:bookmarkEnd w:id="10"/>
    </w:p>
    <w:tbl>
      <w:tblPr>
        <w:tblStyle w:val="19"/>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jc w:val="center"/>
              <w:rPr>
                <w:rFonts w:ascii="宋体" w:hAnsi="宋体"/>
                <w:b/>
                <w:bCs/>
                <w:sz w:val="24"/>
                <w:szCs w:val="24"/>
              </w:rPr>
            </w:pPr>
            <w:r>
              <w:rPr>
                <w:rFonts w:hint="eastAsia" w:ascii="宋体" w:hAnsi="宋体"/>
                <w:b/>
                <w:bCs/>
                <w:sz w:val="24"/>
                <w:szCs w:val="24"/>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41"/>
              <w:adjustRightInd w:val="0"/>
              <w:snapToGrid w:val="0"/>
              <w:spacing w:beforeLines="50" w:line="360" w:lineRule="auto"/>
              <w:ind w:firstLine="480" w:firstLineChars="200"/>
              <w:rPr>
                <w:rFonts w:ascii="Times New Roman" w:hAnsi="Times New Roman"/>
                <w:bCs/>
                <w:snapToGrid w:val="0"/>
                <w:kern w:val="0"/>
                <w:sz w:val="24"/>
                <w:szCs w:val="24"/>
              </w:rPr>
            </w:pPr>
            <w:r>
              <w:rPr>
                <w:rFonts w:hint="eastAsia" w:ascii="Times New Roman" w:hAnsi="Times New Roman"/>
                <w:bCs/>
                <w:snapToGrid w:val="0"/>
                <w:kern w:val="0"/>
                <w:sz w:val="24"/>
                <w:szCs w:val="24"/>
              </w:rPr>
              <w:t>1. 具备有效的营业执照。</w:t>
            </w:r>
          </w:p>
          <w:p>
            <w:pPr>
              <w:pStyle w:val="41"/>
              <w:adjustRightInd w:val="0"/>
              <w:snapToGrid w:val="0"/>
              <w:spacing w:beforeLines="50" w:line="360" w:lineRule="auto"/>
              <w:ind w:firstLine="480" w:firstLineChars="200"/>
              <w:rPr>
                <w:bCs/>
                <w:snapToGrid w:val="0"/>
                <w:sz w:val="24"/>
                <w:szCs w:val="24"/>
              </w:rPr>
            </w:pPr>
            <w:r>
              <w:rPr>
                <w:rFonts w:hint="eastAsia"/>
                <w:bCs/>
                <w:snapToGrid w:val="0"/>
                <w:sz w:val="24"/>
                <w:szCs w:val="24"/>
              </w:rPr>
              <w:t>2. 具备有效的资质证书（见招标公告要求）、具备有效的安全生产许可证。</w:t>
            </w:r>
          </w:p>
          <w:p>
            <w:pPr>
              <w:pStyle w:val="41"/>
              <w:adjustRightInd w:val="0"/>
              <w:snapToGrid w:val="0"/>
              <w:spacing w:beforeLines="50" w:line="360" w:lineRule="auto"/>
              <w:ind w:firstLine="480" w:firstLineChars="200"/>
              <w:rPr>
                <w:bCs/>
                <w:snapToGrid w:val="0"/>
                <w:sz w:val="24"/>
                <w:szCs w:val="24"/>
              </w:rPr>
            </w:pPr>
            <w:r>
              <w:rPr>
                <w:rFonts w:hint="eastAsia"/>
                <w:bCs/>
                <w:snapToGrid w:val="0"/>
                <w:sz w:val="24"/>
                <w:szCs w:val="24"/>
              </w:rPr>
              <w:t>3. 具有有效的业绩（见招标公告要求）</w:t>
            </w:r>
          </w:p>
        </w:tc>
      </w:tr>
    </w:tbl>
    <w:p>
      <w:pPr>
        <w:pStyle w:val="41"/>
        <w:adjustRightInd w:val="0"/>
        <w:snapToGrid w:val="0"/>
        <w:spacing w:line="300" w:lineRule="exact"/>
        <w:rPr>
          <w:rFonts w:ascii="Times New Roman" w:hAnsi="Times New Roman"/>
          <w:bCs/>
          <w:snapToGrid w:val="0"/>
          <w:kern w:val="0"/>
          <w:sz w:val="24"/>
          <w:szCs w:val="24"/>
        </w:rPr>
      </w:pPr>
      <w:r>
        <w:rPr>
          <w:rFonts w:ascii="Times New Roman" w:hAnsi="Times New Roman"/>
          <w:b/>
          <w:sz w:val="24"/>
          <w:szCs w:val="24"/>
        </w:rPr>
        <w:t xml:space="preserve"> </w:t>
      </w:r>
      <w:r>
        <w:rPr>
          <w:rFonts w:ascii="Times New Roman" w:hAnsi="Times New Roman"/>
          <w:bCs/>
          <w:snapToGrid w:val="0"/>
          <w:kern w:val="0"/>
          <w:sz w:val="24"/>
          <w:szCs w:val="24"/>
        </w:rPr>
        <w:t xml:space="preserve"> </w:t>
      </w:r>
      <w:r>
        <w:rPr>
          <w:rFonts w:hint="eastAsia" w:ascii="Times New Roman" w:hAnsi="Times New Roman"/>
          <w:bCs/>
          <w:snapToGrid w:val="0"/>
          <w:kern w:val="0"/>
          <w:sz w:val="24"/>
          <w:szCs w:val="24"/>
        </w:rPr>
        <w:t>注：投标人应提供营业执照、资质证书、安全生产许可证</w:t>
      </w:r>
      <w:bookmarkStart w:id="12" w:name="_Toc460226990"/>
      <w:bookmarkStart w:id="13" w:name="_Toc460226721"/>
      <w:bookmarkStart w:id="14" w:name="_Toc421916976"/>
      <w:bookmarkStart w:id="15" w:name="_Toc283798417"/>
      <w:bookmarkStart w:id="16" w:name="_Toc460660063"/>
      <w:r>
        <w:rPr>
          <w:rFonts w:hint="eastAsia" w:ascii="Times New Roman" w:hAnsi="Times New Roman"/>
          <w:bCs/>
          <w:snapToGrid w:val="0"/>
          <w:kern w:val="0"/>
          <w:sz w:val="24"/>
          <w:szCs w:val="24"/>
        </w:rPr>
        <w:t>。</w:t>
      </w:r>
    </w:p>
    <w:p>
      <w:pPr>
        <w:adjustRightInd w:val="0"/>
        <w:snapToGrid w:val="0"/>
        <w:spacing w:line="400" w:lineRule="exact"/>
        <w:ind w:firstLine="422" w:firstLineChars="200"/>
        <w:jc w:val="center"/>
        <w:rPr>
          <w:rFonts w:ascii="黑体" w:hAnsi="黑体" w:eastAsia="黑体"/>
          <w:b/>
        </w:rPr>
      </w:pPr>
      <w:r>
        <w:rPr>
          <w:rFonts w:ascii="仿宋" w:hAnsi="仿宋" w:eastAsia="仿宋"/>
          <w:b/>
        </w:rPr>
        <w:br w:type="page"/>
      </w:r>
      <w:bookmarkEnd w:id="12"/>
      <w:bookmarkEnd w:id="13"/>
      <w:bookmarkEnd w:id="14"/>
      <w:bookmarkEnd w:id="15"/>
      <w:bookmarkEnd w:id="16"/>
      <w:bookmarkStart w:id="17" w:name="_Toc11078140"/>
      <w:bookmarkStart w:id="18" w:name="_Toc38879319"/>
      <w:bookmarkStart w:id="19" w:name="_Toc460226723"/>
      <w:bookmarkStart w:id="20" w:name="_Toc421916978"/>
      <w:bookmarkStart w:id="21" w:name="_Toc460226992"/>
      <w:r>
        <w:rPr>
          <w:rFonts w:hint="eastAsia" w:ascii="黑体" w:hAnsi="黑体" w:eastAsia="黑体"/>
          <w:b/>
          <w:bCs/>
          <w:sz w:val="32"/>
          <w:szCs w:val="32"/>
        </w:rPr>
        <w:t>附录2  初审条件(信誉最低要求)</w:t>
      </w:r>
      <w:bookmarkEnd w:id="17"/>
      <w:bookmarkEnd w:id="1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jc w:val="center"/>
              <w:rPr>
                <w:rFonts w:ascii="宋体" w:hAnsi="宋体"/>
                <w:b/>
                <w:bCs/>
                <w:sz w:val="24"/>
                <w:szCs w:val="24"/>
              </w:rPr>
            </w:pPr>
            <w:r>
              <w:rPr>
                <w:rFonts w:hint="eastAsia" w:ascii="宋体" w:hAnsi="宋体"/>
                <w:b/>
                <w:bCs/>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cs="宋体"/>
                <w:szCs w:val="24"/>
              </w:rPr>
            </w:pPr>
            <w:r>
              <w:rPr>
                <w:rFonts w:hint="eastAsia" w:hAnsi="宋体"/>
                <w:b/>
                <w:szCs w:val="24"/>
              </w:rPr>
              <w:t>投标人符合下列情形之一：</w:t>
            </w:r>
            <w:r>
              <w:rPr>
                <w:rFonts w:hint="eastAsia" w:hAnsi="宋体" w:cs="宋体"/>
                <w:szCs w:val="24"/>
              </w:rPr>
              <w:t xml:space="preserve"> </w:t>
            </w:r>
          </w:p>
          <w:p>
            <w:pPr>
              <w:widowControl/>
              <w:spacing w:line="360" w:lineRule="auto"/>
              <w:jc w:val="left"/>
              <w:rPr>
                <w:rFonts w:hAnsi="宋体" w:cs="宋体"/>
                <w:szCs w:val="24"/>
              </w:rPr>
            </w:pPr>
            <w:r>
              <w:rPr>
                <w:rFonts w:hint="eastAsia" w:hAnsi="宋体" w:cs="宋体"/>
                <w:szCs w:val="24"/>
              </w:rPr>
              <w:t>（1)开标日前两年内未被合肥市及其所辖</w:t>
            </w:r>
            <w:r>
              <w:rPr>
                <w:rFonts w:hint="eastAsia" w:hAnsi="宋体" w:cs="宋体"/>
                <w:b/>
                <w:szCs w:val="24"/>
              </w:rPr>
              <w:t>县（市）公共资源交易监督管理部门</w:t>
            </w:r>
            <w:r>
              <w:rPr>
                <w:rFonts w:hint="eastAsia" w:hAnsi="宋体" w:cs="宋体"/>
                <w:szCs w:val="24"/>
              </w:rPr>
              <w:t xml:space="preserve">记不良行为记录或记不良行为记录累计未满10分的。 </w:t>
            </w:r>
          </w:p>
          <w:p>
            <w:pPr>
              <w:widowControl/>
              <w:spacing w:line="360" w:lineRule="auto"/>
              <w:jc w:val="left"/>
              <w:rPr>
                <w:rFonts w:hAnsi="宋体" w:cs="宋体"/>
                <w:szCs w:val="24"/>
              </w:rPr>
            </w:pPr>
            <w:r>
              <w:rPr>
                <w:rFonts w:hint="eastAsia" w:hAnsi="宋体" w:cs="宋体"/>
                <w:szCs w:val="24"/>
              </w:rPr>
              <w:t>（2)最近一次被合肥市及其所辖</w:t>
            </w:r>
            <w:r>
              <w:rPr>
                <w:rFonts w:hint="eastAsia" w:hAnsi="宋体" w:cs="宋体"/>
                <w:b/>
                <w:szCs w:val="24"/>
              </w:rPr>
              <w:t>县（市）公共资源交易监督管理部门</w:t>
            </w:r>
            <w:r>
              <w:rPr>
                <w:rFonts w:hint="eastAsia" w:hAnsi="宋体" w:cs="宋体"/>
                <w:szCs w:val="24"/>
              </w:rPr>
              <w:t xml:space="preserve">记不良行为记录累计记分达10分(含10分)到15分且公布日距开标日超过6个月。 </w:t>
            </w:r>
          </w:p>
          <w:p>
            <w:pPr>
              <w:widowControl/>
              <w:spacing w:line="360" w:lineRule="auto"/>
              <w:jc w:val="left"/>
              <w:rPr>
                <w:rFonts w:hAnsi="宋体" w:cs="宋体"/>
                <w:szCs w:val="24"/>
              </w:rPr>
            </w:pPr>
            <w:r>
              <w:rPr>
                <w:rFonts w:hint="eastAsia" w:hAnsi="宋体" w:cs="宋体"/>
                <w:szCs w:val="24"/>
              </w:rPr>
              <w:t>（3)最近一次被合肥市及其所辖</w:t>
            </w:r>
            <w:r>
              <w:rPr>
                <w:rFonts w:hint="eastAsia" w:hAnsi="宋体" w:cs="宋体"/>
                <w:b/>
                <w:szCs w:val="24"/>
              </w:rPr>
              <w:t>县（市）公共资源交易监督管理部门</w:t>
            </w:r>
            <w:r>
              <w:rPr>
                <w:rFonts w:hint="eastAsia" w:hAnsi="宋体" w:cs="宋体"/>
                <w:szCs w:val="24"/>
              </w:rPr>
              <w:t xml:space="preserve">记不良行为记录累计记分达15分(含15分)到20分且公布日距开标日超过12个月。 </w:t>
            </w:r>
          </w:p>
          <w:p>
            <w:pPr>
              <w:spacing w:line="460" w:lineRule="exact"/>
              <w:rPr>
                <w:bCs/>
                <w:szCs w:val="24"/>
              </w:rPr>
            </w:pPr>
            <w:r>
              <w:rPr>
                <w:rFonts w:hint="eastAsia" w:hAnsi="宋体" w:cs="宋体"/>
                <w:szCs w:val="24"/>
              </w:rPr>
              <w:t>（4)最近一次被合肥市及其所辖</w:t>
            </w:r>
            <w:r>
              <w:rPr>
                <w:rFonts w:hint="eastAsia" w:hAnsi="宋体" w:cs="宋体"/>
                <w:b/>
                <w:szCs w:val="24"/>
              </w:rPr>
              <w:t>县（市）公共资源交易监督管理部门</w:t>
            </w:r>
            <w:r>
              <w:rPr>
                <w:rFonts w:hint="eastAsia" w:hAnsi="宋体" w:cs="宋体"/>
                <w:szCs w:val="24"/>
              </w:rPr>
              <w:t>记不良行为记录累计记分达20分(含20分)及以上且公布日距开标日超过24个月。</w:t>
            </w:r>
          </w:p>
        </w:tc>
      </w:tr>
    </w:tbl>
    <w:p>
      <w:pPr>
        <w:pStyle w:val="9"/>
        <w:ind w:left="0"/>
        <w:jc w:val="center"/>
        <w:rPr>
          <w:rFonts w:ascii="黑体" w:hAnsi="黑体" w:eastAsia="黑体" w:cs="Times New Roman"/>
          <w:b/>
          <w:bCs/>
          <w:kern w:val="2"/>
          <w:sz w:val="32"/>
          <w:szCs w:val="32"/>
        </w:rPr>
      </w:pPr>
      <w:r>
        <w:rPr>
          <w:rFonts w:hint="eastAsia" w:ascii="宋体" w:hAnsi="宋体" w:cs="宋体"/>
          <w:i w:val="0"/>
          <w:iCs w:val="0"/>
          <w:sz w:val="24"/>
          <w:szCs w:val="24"/>
        </w:rPr>
        <w:t>注：投标人在投标函中承诺，不需要提供相关证明材料。如投标人承诺与实际不符，招标人有权取消其中标（或中标候选）资格，并将报监管部门处理。</w:t>
      </w:r>
      <w:r>
        <w:rPr>
          <w:sz w:val="24"/>
          <w:szCs w:val="24"/>
        </w:rPr>
        <w:br w:type="page"/>
      </w:r>
      <w:bookmarkStart w:id="22" w:name="_Toc38879320"/>
      <w:bookmarkStart w:id="23" w:name="_Toc11078141"/>
      <w:bookmarkStart w:id="24" w:name="_Toc460660065"/>
      <w:r>
        <w:rPr>
          <w:rFonts w:hint="eastAsia" w:ascii="黑体" w:hAnsi="黑体" w:eastAsia="黑体" w:cs="Times New Roman"/>
          <w:b/>
          <w:bCs/>
          <w:i w:val="0"/>
          <w:iCs w:val="0"/>
          <w:kern w:val="2"/>
          <w:sz w:val="32"/>
          <w:szCs w:val="32"/>
        </w:rPr>
        <w:t>附录3  初审条件（项目经理/项目负责人最低要求）</w:t>
      </w:r>
      <w:bookmarkEnd w:id="19"/>
      <w:bookmarkEnd w:id="20"/>
      <w:bookmarkEnd w:id="21"/>
      <w:bookmarkEnd w:id="22"/>
      <w:bookmarkEnd w:id="23"/>
      <w:bookmarkEnd w:id="2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jc w:val="center"/>
              <w:rPr>
                <w:rFonts w:ascii="宋体" w:hAnsi="宋体"/>
                <w:b/>
                <w:sz w:val="24"/>
                <w:szCs w:val="24"/>
              </w:rPr>
            </w:pPr>
            <w:r>
              <w:rPr>
                <w:rFonts w:hint="eastAsia" w:ascii="宋体" w:hAnsi="宋体"/>
                <w:b/>
                <w:sz w:val="24"/>
                <w:szCs w:val="24"/>
              </w:rPr>
              <w:t>人</w:t>
            </w:r>
            <w:r>
              <w:rPr>
                <w:rFonts w:ascii="宋体" w:hAnsi="宋体"/>
                <w:b/>
                <w:sz w:val="24"/>
                <w:szCs w:val="24"/>
              </w:rPr>
              <w:t xml:space="preserve">  </w:t>
            </w:r>
            <w:r>
              <w:rPr>
                <w:rFonts w:hint="eastAsia" w:ascii="宋体" w:hAnsi="宋体"/>
                <w:b/>
                <w:sz w:val="24"/>
                <w:szCs w:val="24"/>
              </w:rPr>
              <w:t>员</w:t>
            </w:r>
          </w:p>
        </w:tc>
        <w:tc>
          <w:tcPr>
            <w:tcW w:w="367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jc w:val="center"/>
              <w:rPr>
                <w:rFonts w:ascii="宋体" w:hAnsi="宋体"/>
                <w:b/>
                <w:sz w:val="24"/>
                <w:szCs w:val="24"/>
              </w:rPr>
            </w:pPr>
            <w:r>
              <w:rPr>
                <w:rFonts w:hint="eastAsia" w:ascii="宋体" w:hAnsi="宋体"/>
                <w:b/>
                <w:sz w:val="24"/>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41"/>
              <w:widowControl/>
              <w:jc w:val="center"/>
              <w:rPr>
                <w:rFonts w:ascii="Times New Roman" w:hAnsi="Times New Roman" w:cs="宋体"/>
                <w:bCs/>
                <w:kern w:val="0"/>
                <w:sz w:val="24"/>
                <w:szCs w:val="24"/>
              </w:rPr>
            </w:pPr>
            <w:r>
              <w:rPr>
                <w:rFonts w:hint="eastAsia" w:ascii="Times New Roman" w:hAnsi="Times New Roman" w:cs="楷体"/>
                <w:bCs/>
                <w:snapToGrid w:val="0"/>
                <w:kern w:val="0"/>
                <w:sz w:val="24"/>
                <w:szCs w:val="24"/>
              </w:rPr>
              <w:t>项目经理/项目负责人（如须）</w:t>
            </w:r>
          </w:p>
        </w:tc>
        <w:tc>
          <w:tcPr>
            <w:tcW w:w="3670" w:type="pct"/>
            <w:tcBorders>
              <w:top w:val="single" w:color="auto" w:sz="4" w:space="0"/>
              <w:left w:val="single" w:color="auto" w:sz="4" w:space="0"/>
              <w:bottom w:val="single" w:color="auto" w:sz="4" w:space="0"/>
              <w:right w:val="single" w:color="auto" w:sz="4" w:space="0"/>
            </w:tcBorders>
            <w:vAlign w:val="center"/>
          </w:tcPr>
          <w:p>
            <w:pPr>
              <w:pStyle w:val="41"/>
              <w:widowControl/>
              <w:jc w:val="left"/>
              <w:rPr>
                <w:rFonts w:ascii="Times New Roman" w:hAnsi="Times New Roman" w:cs="楷体"/>
                <w:bCs/>
                <w:snapToGrid w:val="0"/>
                <w:kern w:val="0"/>
                <w:sz w:val="24"/>
                <w:szCs w:val="24"/>
              </w:rPr>
            </w:pPr>
            <w:r>
              <w:rPr>
                <w:rFonts w:hint="eastAsia" w:ascii="Times New Roman" w:hAnsi="Times New Roman" w:cs="楷体"/>
                <w:bCs/>
                <w:snapToGrid w:val="0"/>
                <w:kern w:val="0"/>
                <w:sz w:val="24"/>
                <w:szCs w:val="24"/>
              </w:rPr>
              <w:t>（1）项目经理/项目负责人资格条件见招标公告要求，且必须是本单位人员</w:t>
            </w:r>
            <w:r>
              <w:rPr>
                <w:rFonts w:hint="eastAsia" w:ascii="Times New Roman" w:hAnsi="Times New Roman" w:cs="楷体"/>
                <w:b/>
                <w:bCs/>
                <w:snapToGrid w:val="0"/>
                <w:kern w:val="0"/>
                <w:sz w:val="24"/>
                <w:szCs w:val="24"/>
              </w:rPr>
              <w:t>（招标公告中要求的注册证书注册单位应当与投标人名称一致，</w:t>
            </w:r>
            <w:r>
              <w:rPr>
                <w:rFonts w:hint="eastAsia" w:ascii="Times New Roman" w:hAnsi="Times New Roman" w:cs="楷体"/>
                <w:bCs/>
                <w:snapToGrid w:val="0"/>
                <w:kern w:val="0"/>
                <w:sz w:val="24"/>
                <w:szCs w:val="24"/>
              </w:rPr>
              <w:t>提供投标人所属社保机构出具的拟委任的项目经理/项目负责人</w:t>
            </w:r>
            <w:r>
              <w:rPr>
                <w:rFonts w:hint="eastAsia" w:ascii="Times New Roman" w:hAnsi="Times New Roman" w:cs="楷体"/>
                <w:bCs/>
                <w:snapToGrid w:val="0"/>
                <w:kern w:val="0"/>
                <w:sz w:val="24"/>
                <w:szCs w:val="24"/>
                <w:u w:val="single"/>
              </w:rPr>
              <w:t xml:space="preserve"> </w:t>
            </w:r>
            <w:r>
              <w:rPr>
                <w:rFonts w:hint="eastAsia" w:ascii="Times New Roman" w:hAnsi="Times New Roman" w:cs="楷体"/>
                <w:b/>
                <w:bCs/>
                <w:snapToGrid w:val="0"/>
                <w:kern w:val="0"/>
                <w:sz w:val="24"/>
                <w:szCs w:val="24"/>
                <w:highlight w:val="yellow"/>
                <w:u w:val="single"/>
              </w:rPr>
              <w:t>开标之日前近六个月</w:t>
            </w:r>
            <w:r>
              <w:rPr>
                <w:rFonts w:hint="eastAsia" w:ascii="Times New Roman" w:hAnsi="Times New Roman" w:cs="楷体"/>
                <w:bCs/>
                <w:snapToGrid w:val="0"/>
                <w:kern w:val="0"/>
                <w:sz w:val="24"/>
                <w:szCs w:val="24"/>
                <w:u w:val="single"/>
              </w:rPr>
              <w:t xml:space="preserve"> </w:t>
            </w:r>
            <w:r>
              <w:rPr>
                <w:rFonts w:hint="eastAsia" w:ascii="Times New Roman" w:hAnsi="Times New Roman" w:cs="楷体"/>
                <w:bCs/>
                <w:snapToGrid w:val="0"/>
                <w:kern w:val="0"/>
                <w:sz w:val="24"/>
                <w:szCs w:val="24"/>
              </w:rPr>
              <w:t>（社保时间要求）社保缴费证明或其他能够证明拟委任的项目经理/项目负责人参加社保的有效证明材料，项目经理/项目负责人的社会保险的缴纳单位应当是投标人或者投标人不具备独立法人资格的分支机构。</w:t>
            </w:r>
          </w:p>
          <w:p>
            <w:pPr>
              <w:widowControl/>
              <w:jc w:val="left"/>
              <w:rPr>
                <w:rFonts w:cs="楷体"/>
                <w:bCs/>
                <w:snapToGrid w:val="0"/>
                <w:szCs w:val="24"/>
              </w:rPr>
            </w:pPr>
            <w:r>
              <w:rPr>
                <w:rFonts w:cs="楷体"/>
                <w:bCs/>
                <w:snapToGrid w:val="0"/>
                <w:szCs w:val="24"/>
              </w:rPr>
              <w:t>（</w:t>
            </w:r>
            <w:r>
              <w:rPr>
                <w:rFonts w:hint="eastAsia" w:cs="楷体"/>
                <w:bCs/>
                <w:snapToGrid w:val="0"/>
                <w:szCs w:val="24"/>
              </w:rPr>
              <w:t>2</w:t>
            </w:r>
            <w:r>
              <w:rPr>
                <w:rFonts w:cs="楷体"/>
                <w:bCs/>
                <w:snapToGrid w:val="0"/>
                <w:szCs w:val="24"/>
              </w:rPr>
              <w:t>）</w:t>
            </w:r>
            <w:r>
              <w:rPr>
                <w:rFonts w:hint="eastAsia" w:cs="楷体"/>
                <w:bCs/>
                <w:snapToGrid w:val="0"/>
                <w:szCs w:val="24"/>
              </w:rPr>
              <w:t>项目经理/项目负责人业绩具体要求见招标公告。</w:t>
            </w:r>
          </w:p>
          <w:p>
            <w:pPr>
              <w:widowControl/>
              <w:jc w:val="left"/>
              <w:rPr>
                <w:rFonts w:cs="楷体"/>
                <w:bCs/>
                <w:snapToGrid w:val="0"/>
                <w:szCs w:val="24"/>
              </w:rPr>
            </w:pPr>
            <w:r>
              <w:rPr>
                <w:rFonts w:hint="eastAsia" w:cs="楷体"/>
                <w:bCs/>
                <w:snapToGrid w:val="0"/>
                <w:szCs w:val="24"/>
              </w:rPr>
              <w:t>（3）项目经理/项目负责人不得同时担任两个及以上建设工程施工项目负责人，以下情形除外：</w:t>
            </w:r>
          </w:p>
          <w:p>
            <w:pPr>
              <w:widowControl/>
              <w:jc w:val="left"/>
              <w:rPr>
                <w:rFonts w:cs="楷体"/>
                <w:bCs/>
                <w:snapToGrid w:val="0"/>
                <w:szCs w:val="24"/>
              </w:rPr>
            </w:pPr>
            <w:r>
              <w:rPr>
                <w:rFonts w:hint="eastAsia" w:cs="楷体"/>
                <w:bCs/>
                <w:snapToGrid w:val="0"/>
                <w:szCs w:val="24"/>
              </w:rPr>
              <w:t>①法定情形；</w:t>
            </w:r>
          </w:p>
          <w:p>
            <w:pPr>
              <w:widowControl/>
              <w:jc w:val="left"/>
              <w:rPr>
                <w:rFonts w:cs="楷体"/>
                <w:bCs/>
                <w:snapToGrid w:val="0"/>
                <w:szCs w:val="24"/>
              </w:rPr>
            </w:pPr>
            <w:r>
              <w:rPr>
                <w:rFonts w:hint="eastAsia" w:cs="楷体"/>
                <w:bCs/>
                <w:snapToGrid w:val="0"/>
                <w:szCs w:val="24"/>
              </w:rPr>
              <w:t>②虽在其他项目上担任项目经理/项目负责人岗位，但承诺在本项目中标后合同签订前能够从其他项目变更至本项目并全面履约。</w:t>
            </w:r>
          </w:p>
        </w:tc>
      </w:tr>
    </w:tbl>
    <w:p>
      <w:pPr>
        <w:pStyle w:val="41"/>
        <w:adjustRightInd w:val="0"/>
        <w:snapToGrid w:val="0"/>
        <w:spacing w:line="400" w:lineRule="exact"/>
        <w:jc w:val="left"/>
        <w:rPr>
          <w:rFonts w:ascii="黑体" w:eastAsia="黑体"/>
          <w:sz w:val="24"/>
        </w:rPr>
      </w:pPr>
      <w:bookmarkStart w:id="25" w:name="_Toc460660067"/>
      <w:bookmarkStart w:id="26" w:name="_Toc460226994"/>
      <w:bookmarkStart w:id="27" w:name="_Toc460226725"/>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pStyle w:val="41"/>
        <w:adjustRightInd w:val="0"/>
        <w:snapToGrid w:val="0"/>
        <w:spacing w:line="400" w:lineRule="exact"/>
        <w:jc w:val="left"/>
        <w:rPr>
          <w:rFonts w:ascii="黑体" w:eastAsia="黑体"/>
          <w:sz w:val="24"/>
        </w:rPr>
      </w:pPr>
    </w:p>
    <w:p>
      <w:pPr>
        <w:spacing w:line="360" w:lineRule="auto"/>
        <w:rPr>
          <w:rFonts w:hAnsi="宋体"/>
          <w:b/>
          <w:szCs w:val="21"/>
        </w:rPr>
      </w:pPr>
    </w:p>
    <w:p>
      <w:pPr>
        <w:pStyle w:val="41"/>
        <w:adjustRightInd w:val="0"/>
        <w:snapToGrid w:val="0"/>
        <w:spacing w:line="400" w:lineRule="exact"/>
        <w:jc w:val="left"/>
        <w:rPr>
          <w:rFonts w:ascii="Times New Roman" w:hAnsi="Times New Roman"/>
          <w:bCs/>
          <w:snapToGrid w:val="0"/>
          <w:kern w:val="0"/>
          <w:szCs w:val="21"/>
        </w:rPr>
      </w:pPr>
    </w:p>
    <w:p>
      <w:pPr>
        <w:pStyle w:val="41"/>
        <w:adjustRightInd w:val="0"/>
        <w:snapToGrid w:val="0"/>
        <w:spacing w:line="400" w:lineRule="exact"/>
        <w:jc w:val="left"/>
        <w:rPr>
          <w:rFonts w:ascii="Times New Roman" w:hAnsi="Times New Roman"/>
          <w:bCs/>
          <w:snapToGrid w:val="0"/>
          <w:kern w:val="0"/>
          <w:szCs w:val="21"/>
        </w:rPr>
      </w:pPr>
    </w:p>
    <w:p>
      <w:pPr>
        <w:pStyle w:val="41"/>
        <w:adjustRightInd w:val="0"/>
        <w:snapToGrid w:val="0"/>
        <w:spacing w:line="400" w:lineRule="exact"/>
        <w:jc w:val="left"/>
        <w:rPr>
          <w:rFonts w:ascii="Times New Roman" w:hAnsi="Times New Roman"/>
          <w:bCs/>
          <w:snapToGrid w:val="0"/>
          <w:kern w:val="0"/>
          <w:szCs w:val="21"/>
        </w:rPr>
      </w:pPr>
    </w:p>
    <w:p>
      <w:pPr>
        <w:pStyle w:val="41"/>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11"/>
    <w:bookmarkEnd w:id="25"/>
    <w:bookmarkEnd w:id="26"/>
    <w:bookmarkEnd w:id="27"/>
    <w:p>
      <w:pPr>
        <w:pStyle w:val="3"/>
        <w:spacing w:line="500" w:lineRule="exact"/>
        <w:jc w:val="center"/>
        <w:rPr>
          <w:rFonts w:hAnsi="宋体"/>
          <w:sz w:val="24"/>
          <w:szCs w:val="24"/>
        </w:rPr>
      </w:pPr>
      <w:bookmarkStart w:id="28" w:name="_Toc18800"/>
      <w:r>
        <w:rPr>
          <w:rFonts w:hint="eastAsia" w:ascii="宋体" w:hAnsi="宋体"/>
        </w:rPr>
        <w:t>投标人须知正文</w:t>
      </w:r>
      <w:bookmarkEnd w:id="28"/>
    </w:p>
    <w:p>
      <w:pPr>
        <w:pStyle w:val="6"/>
        <w:spacing w:line="500" w:lineRule="exact"/>
        <w:ind w:firstLine="560"/>
        <w:rPr>
          <w:rFonts w:hAnsi="宋体"/>
        </w:rPr>
      </w:pPr>
      <w:bookmarkStart w:id="29" w:name="_Hlt509650126"/>
      <w:bookmarkEnd w:id="29"/>
      <w:bookmarkStart w:id="30" w:name="_Hlt509650955"/>
      <w:bookmarkEnd w:id="30"/>
      <w:bookmarkStart w:id="31" w:name="_Hlt509649722"/>
      <w:bookmarkEnd w:id="31"/>
      <w:bookmarkStart w:id="32" w:name="_Hlt509650686"/>
      <w:bookmarkEnd w:id="32"/>
      <w:bookmarkStart w:id="33" w:name="_Hlt509649998"/>
      <w:bookmarkEnd w:id="33"/>
      <w:bookmarkStart w:id="34" w:name="_Hlt526418143"/>
      <w:bookmarkEnd w:id="34"/>
      <w:bookmarkStart w:id="35" w:name="_Toc50128749"/>
      <w:r>
        <w:rPr>
          <w:rFonts w:hint="eastAsia" w:hAnsi="宋体"/>
        </w:rPr>
        <w:t>一．总    则</w:t>
      </w:r>
      <w:bookmarkEnd w:id="35"/>
    </w:p>
    <w:p>
      <w:pPr>
        <w:spacing w:line="360" w:lineRule="auto"/>
        <w:ind w:firstLine="550"/>
        <w:rPr>
          <w:rFonts w:hAnsi="宋体"/>
          <w:b/>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Ansi="宋体"/>
          <w:szCs w:val="24"/>
        </w:rPr>
      </w:pPr>
      <w:r>
        <w:rPr>
          <w:rFonts w:ascii="宋体" w:hAnsi="宋体"/>
          <w:sz w:val="24"/>
          <w:szCs w:val="24"/>
        </w:rPr>
        <w:t>1.</w:t>
      </w:r>
      <w:r>
        <w:rPr>
          <w:rFonts w:hint="eastAsia" w:ascii="宋体" w:hAnsi="宋体"/>
          <w:sz w:val="24"/>
          <w:szCs w:val="24"/>
        </w:rPr>
        <w:t>1本谈判文件仅适用于本次谈判公告所述项目招标。</w:t>
      </w:r>
    </w:p>
    <w:p>
      <w:pPr>
        <w:spacing w:line="360" w:lineRule="auto"/>
        <w:ind w:firstLine="550"/>
        <w:rPr>
          <w:rFonts w:hAnsi="宋体"/>
          <w:b/>
          <w:szCs w:val="24"/>
        </w:rPr>
      </w:pPr>
      <w:r>
        <w:rPr>
          <w:rFonts w:hint="eastAsia" w:ascii="宋体" w:hAnsi="宋体"/>
          <w:b/>
          <w:sz w:val="24"/>
          <w:szCs w:val="24"/>
        </w:rPr>
        <w:t>2.有关定义</w:t>
      </w:r>
    </w:p>
    <w:p>
      <w:pPr>
        <w:spacing w:line="360" w:lineRule="auto"/>
        <w:ind w:firstLine="550"/>
        <w:rPr>
          <w:rFonts w:hAnsi="宋体"/>
          <w:szCs w:val="24"/>
        </w:rPr>
      </w:pPr>
      <w:r>
        <w:rPr>
          <w:rFonts w:hint="eastAsia" w:ascii="宋体" w:hAnsi="宋体"/>
          <w:sz w:val="24"/>
          <w:szCs w:val="24"/>
        </w:rPr>
        <w:t>2.1招标人：系指本次招标项目的业主方。</w:t>
      </w:r>
    </w:p>
    <w:p>
      <w:pPr>
        <w:spacing w:line="360" w:lineRule="auto"/>
        <w:ind w:firstLine="550"/>
        <w:rPr>
          <w:rFonts w:hAnsi="宋体"/>
          <w:szCs w:val="24"/>
        </w:rPr>
      </w:pPr>
      <w:r>
        <w:rPr>
          <w:rFonts w:hint="eastAsia" w:ascii="宋体" w:hAnsi="宋体"/>
          <w:sz w:val="24"/>
          <w:szCs w:val="24"/>
        </w:rPr>
        <w:t>2.2委托人：系指本次招标项目的委托方。</w:t>
      </w:r>
    </w:p>
    <w:p>
      <w:pPr>
        <w:spacing w:line="360" w:lineRule="auto"/>
        <w:ind w:firstLine="550"/>
        <w:rPr>
          <w:rFonts w:hAnsi="宋体"/>
          <w:szCs w:val="24"/>
        </w:rPr>
      </w:pPr>
      <w:r>
        <w:rPr>
          <w:rFonts w:hint="eastAsia" w:ascii="宋体" w:hAnsi="宋体"/>
          <w:sz w:val="24"/>
          <w:szCs w:val="24"/>
        </w:rPr>
        <w:t>2.4投标人：系指按规定获取了本谈判文件，且已经提交或准备提交本次响应文件的法人或者其他组织。</w:t>
      </w:r>
    </w:p>
    <w:p>
      <w:pPr>
        <w:spacing w:line="360" w:lineRule="auto"/>
        <w:ind w:firstLine="550"/>
        <w:rPr>
          <w:rFonts w:hAnsi="宋体"/>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ascii="宋体" w:hAnsi="宋体"/>
          <w:b/>
          <w:sz w:val="24"/>
          <w:szCs w:val="24"/>
        </w:rPr>
        <w:t>3.投标费用</w:t>
      </w:r>
    </w:p>
    <w:p>
      <w:pPr>
        <w:spacing w:line="360" w:lineRule="auto"/>
        <w:ind w:firstLine="550"/>
        <w:rPr>
          <w:rFonts w:hAnsi="宋体"/>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ascii="宋体" w:hAnsi="宋体"/>
          <w:b/>
          <w:bCs/>
          <w:sz w:val="24"/>
          <w:szCs w:val="24"/>
        </w:rPr>
        <w:t>4.合格的投标人</w:t>
      </w:r>
    </w:p>
    <w:p>
      <w:pPr>
        <w:spacing w:line="360" w:lineRule="auto"/>
        <w:ind w:firstLine="523" w:firstLineChars="218"/>
        <w:rPr>
          <w:rFonts w:hAnsi="宋体"/>
          <w:szCs w:val="24"/>
        </w:rPr>
      </w:pPr>
      <w:r>
        <w:rPr>
          <w:rFonts w:hint="eastAsia" w:ascii="宋体" w:hAnsi="宋体"/>
          <w:sz w:val="24"/>
          <w:szCs w:val="24"/>
        </w:rPr>
        <w:t>4.1合格的投标人应符合谈判文件载明的投标资格。</w:t>
      </w:r>
    </w:p>
    <w:p>
      <w:pPr>
        <w:spacing w:line="360" w:lineRule="auto"/>
        <w:ind w:firstLine="523" w:firstLineChars="218"/>
        <w:rPr>
          <w:rFonts w:hAnsi="宋体"/>
          <w:szCs w:val="24"/>
        </w:rPr>
      </w:pPr>
      <w:r>
        <w:rPr>
          <w:rFonts w:hint="eastAsia" w:ascii="宋体" w:hAnsi="宋体"/>
          <w:sz w:val="24"/>
          <w:szCs w:val="24"/>
        </w:rPr>
        <w:t>4.1.1除非谈判文件认可，否则母、子公司之间的业绩、资质不得互用。</w:t>
      </w:r>
    </w:p>
    <w:p>
      <w:pPr>
        <w:spacing w:line="360" w:lineRule="auto"/>
        <w:ind w:firstLine="523" w:firstLineChars="218"/>
        <w:rPr>
          <w:rFonts w:hAnsi="宋体"/>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ascii="宋体" w:hAnsi="宋体"/>
          <w:sz w:val="24"/>
          <w:szCs w:val="24"/>
        </w:rPr>
        <w:t>违反前两款规定的，相关投标均无效。</w:t>
      </w:r>
    </w:p>
    <w:p>
      <w:pPr>
        <w:spacing w:line="360" w:lineRule="auto"/>
        <w:ind w:firstLine="550"/>
        <w:rPr>
          <w:rFonts w:hAnsi="宋体"/>
          <w:b/>
          <w:szCs w:val="24"/>
        </w:rPr>
      </w:pPr>
      <w:r>
        <w:rPr>
          <w:rFonts w:hint="eastAsia" w:ascii="宋体" w:hAnsi="宋体"/>
          <w:b/>
          <w:sz w:val="24"/>
          <w:szCs w:val="24"/>
        </w:rPr>
        <w:t>5.踏勘现场</w:t>
      </w:r>
    </w:p>
    <w:p>
      <w:pPr>
        <w:spacing w:line="360" w:lineRule="auto"/>
        <w:ind w:firstLine="550"/>
        <w:rPr>
          <w:rFonts w:hAnsi="宋体"/>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ascii="宋体" w:hAnsi="宋体"/>
          <w:sz w:val="24"/>
          <w:szCs w:val="24"/>
        </w:rPr>
        <w:t>5.3除非有特殊要求，谈判文件不单独提供服务地点的自然环境、气候条件、公用设施等情况，投标人被视为熟悉上述与履行合同有关的一切情况。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ascii="宋体" w:hAnsi="宋体"/>
          <w:b/>
          <w:sz w:val="24"/>
          <w:szCs w:val="24"/>
        </w:rPr>
        <w:t>6.知识产权</w:t>
      </w:r>
    </w:p>
    <w:p>
      <w:pPr>
        <w:spacing w:line="360" w:lineRule="auto"/>
        <w:ind w:firstLine="549"/>
        <w:rPr>
          <w:rFonts w:hAnsi="宋体"/>
          <w:bCs/>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Ansi="宋体"/>
          <w:b/>
          <w:szCs w:val="24"/>
        </w:rPr>
      </w:pPr>
      <w:r>
        <w:rPr>
          <w:rFonts w:hint="eastAsia" w:ascii="宋体" w:hAnsi="宋体"/>
          <w:b/>
          <w:sz w:val="24"/>
          <w:szCs w:val="24"/>
        </w:rPr>
        <w:t>7.纪律与保密</w:t>
      </w:r>
    </w:p>
    <w:p>
      <w:pPr>
        <w:spacing w:line="360" w:lineRule="auto"/>
        <w:ind w:firstLine="549"/>
        <w:rPr>
          <w:rFonts w:hAnsi="宋体"/>
        </w:rPr>
      </w:pPr>
      <w:r>
        <w:rPr>
          <w:rFonts w:hint="eastAsia" w:ascii="宋体" w:hAnsi="宋体"/>
          <w:sz w:val="24"/>
        </w:rPr>
        <w:t>7.1投标人的投标行为应遵守中国的有关法律、法规和规章。</w:t>
      </w:r>
    </w:p>
    <w:p>
      <w:pPr>
        <w:spacing w:line="360" w:lineRule="auto"/>
        <w:ind w:firstLine="549"/>
        <w:rPr>
          <w:rFonts w:hAnsi="宋体"/>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rPr>
        <w:t>谈判</w:t>
      </w:r>
      <w:r>
        <w:rPr>
          <w:rFonts w:ascii="宋体" w:hAnsi="宋体"/>
          <w:sz w:val="24"/>
        </w:rPr>
        <w:t>小组成员行贿的手段谋取中标。</w:t>
      </w:r>
    </w:p>
    <w:p>
      <w:pPr>
        <w:spacing w:line="360" w:lineRule="auto"/>
        <w:ind w:firstLine="549"/>
        <w:rPr>
          <w:rFonts w:hAnsi="宋体"/>
        </w:rPr>
      </w:pPr>
      <w:r>
        <w:rPr>
          <w:rFonts w:ascii="宋体" w:hAnsi="宋体"/>
          <w:sz w:val="24"/>
        </w:rPr>
        <w:t>投标人不得以低于成本的报价竞标，也不得以他人名义投标或者以其他方式弄虚作假，骗取中标。</w:t>
      </w:r>
    </w:p>
    <w:p>
      <w:pPr>
        <w:spacing w:line="360" w:lineRule="auto"/>
        <w:ind w:firstLine="549"/>
        <w:rPr>
          <w:rFonts w:hAnsi="宋体"/>
          <w:szCs w:val="24"/>
        </w:rPr>
      </w:pPr>
      <w:r>
        <w:rPr>
          <w:rFonts w:hint="eastAsia" w:ascii="宋体" w:hAnsi="宋体"/>
          <w:sz w:val="24"/>
          <w:szCs w:val="24"/>
        </w:rPr>
        <w:t>7.3在确定中标人之前，投标人不得与招标人就投标价格、投标方案等实质性内容进行谈判，也不得私下接触谈判小组成员。</w:t>
      </w:r>
    </w:p>
    <w:p>
      <w:pPr>
        <w:spacing w:line="360" w:lineRule="auto"/>
        <w:ind w:firstLine="549"/>
        <w:rPr>
          <w:rFonts w:hAnsi="宋体"/>
          <w:szCs w:val="24"/>
        </w:rPr>
      </w:pPr>
      <w:r>
        <w:rPr>
          <w:rFonts w:hint="eastAsia" w:ascii="宋体" w:hAnsi="宋体"/>
          <w:sz w:val="24"/>
          <w:szCs w:val="24"/>
        </w:rPr>
        <w:t>7.4在确定中标人之前，投标人试图在响应文件审查、澄清、比较和评价时对谈判小组、招标人施加任何影响都可能导致其投标无效。</w:t>
      </w:r>
    </w:p>
    <w:p>
      <w:pPr>
        <w:spacing w:line="360" w:lineRule="auto"/>
        <w:ind w:firstLine="549"/>
        <w:rPr>
          <w:rFonts w:hAnsi="宋体"/>
          <w:b/>
          <w:bCs/>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谈判结束后，应招标人要求，投标人应归还所有从招标人处获得的保密资料。</w:t>
      </w:r>
    </w:p>
    <w:p>
      <w:pPr>
        <w:spacing w:line="360" w:lineRule="auto"/>
        <w:ind w:firstLine="549"/>
        <w:rPr>
          <w:rFonts w:hAnsi="宋体"/>
          <w:b/>
          <w:szCs w:val="24"/>
        </w:rPr>
      </w:pPr>
      <w:r>
        <w:rPr>
          <w:rFonts w:hint="eastAsia" w:ascii="宋体" w:hAnsi="宋体"/>
          <w:b/>
          <w:sz w:val="24"/>
          <w:szCs w:val="24"/>
        </w:rPr>
        <w:t>8.联合体谈判</w:t>
      </w:r>
    </w:p>
    <w:p>
      <w:pPr>
        <w:spacing w:line="360" w:lineRule="auto"/>
        <w:ind w:firstLine="549"/>
        <w:rPr>
          <w:rFonts w:hAnsi="宋体"/>
          <w:szCs w:val="24"/>
        </w:rPr>
      </w:pPr>
      <w:r>
        <w:rPr>
          <w:rFonts w:hint="eastAsia" w:ascii="宋体" w:hAnsi="宋体"/>
          <w:sz w:val="24"/>
          <w:szCs w:val="24"/>
        </w:rPr>
        <w:t>8.1除非本项目明确要求不接受联合体形式谈判外，</w:t>
      </w:r>
      <w:r>
        <w:rPr>
          <w:rFonts w:ascii="宋体" w:hAnsi="宋体"/>
          <w:sz w:val="24"/>
          <w:szCs w:val="24"/>
        </w:rPr>
        <w:t>两个以上法人</w:t>
      </w:r>
      <w:r>
        <w:rPr>
          <w:rFonts w:hint="eastAsia" w:ascii="宋体" w:hAnsi="宋体"/>
          <w:sz w:val="24"/>
          <w:szCs w:val="24"/>
        </w:rPr>
        <w:t>（谈判文件如有约定，从其约定）</w:t>
      </w:r>
      <w:r>
        <w:rPr>
          <w:rFonts w:ascii="宋体" w:hAnsi="宋体"/>
          <w:sz w:val="24"/>
          <w:szCs w:val="24"/>
        </w:rPr>
        <w:t>或者其他组织可以组成一个联合体，以一个投标人的身份共同</w:t>
      </w:r>
      <w:r>
        <w:rPr>
          <w:rFonts w:hint="eastAsia" w:ascii="宋体" w:hAnsi="宋体"/>
          <w:sz w:val="24"/>
        </w:rPr>
        <w:t>谈判</w:t>
      </w:r>
      <w:r>
        <w:rPr>
          <w:rFonts w:ascii="宋体" w:hAnsi="宋体"/>
          <w:sz w:val="24"/>
          <w:szCs w:val="24"/>
        </w:rPr>
        <w:t>。</w:t>
      </w:r>
    </w:p>
    <w:p>
      <w:pPr>
        <w:spacing w:line="360" w:lineRule="auto"/>
        <w:ind w:firstLine="549"/>
        <w:rPr>
          <w:rFonts w:hAnsi="宋体"/>
          <w:szCs w:val="24"/>
        </w:rPr>
      </w:pPr>
      <w:r>
        <w:rPr>
          <w:rFonts w:hint="eastAsia" w:ascii="宋体" w:hAnsi="宋体"/>
          <w:sz w:val="24"/>
          <w:szCs w:val="24"/>
        </w:rPr>
        <w:t>8.2以联合体形式参加</w:t>
      </w:r>
      <w:r>
        <w:rPr>
          <w:rFonts w:hint="eastAsia" w:ascii="宋体" w:hAnsi="宋体"/>
          <w:sz w:val="24"/>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谈判</w:t>
      </w:r>
      <w:r>
        <w:rPr>
          <w:rFonts w:ascii="宋体" w:hAnsi="宋体"/>
          <w:sz w:val="24"/>
          <w:szCs w:val="24"/>
        </w:rPr>
        <w:t>项目的相应能力；国家有关规定或者</w:t>
      </w:r>
      <w:r>
        <w:rPr>
          <w:rFonts w:hint="eastAsia" w:ascii="宋体" w:hAnsi="宋体"/>
          <w:sz w:val="24"/>
          <w:szCs w:val="24"/>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谈判</w:t>
      </w:r>
      <w:r>
        <w:rPr>
          <w:rFonts w:ascii="宋体" w:hAnsi="宋体"/>
          <w:sz w:val="24"/>
          <w:szCs w:val="24"/>
        </w:rPr>
        <w:t>或者参加其他联合体</w:t>
      </w:r>
      <w:r>
        <w:rPr>
          <w:rFonts w:hint="eastAsia" w:ascii="宋体" w:hAnsi="宋体"/>
          <w:sz w:val="24"/>
          <w:szCs w:val="24"/>
        </w:rPr>
        <w:t>谈判</w:t>
      </w:r>
      <w:r>
        <w:rPr>
          <w:rFonts w:ascii="宋体" w:hAnsi="宋体"/>
          <w:sz w:val="24"/>
          <w:szCs w:val="24"/>
        </w:rPr>
        <w:t>的，相关</w:t>
      </w:r>
      <w:r>
        <w:rPr>
          <w:rFonts w:hint="eastAsia" w:ascii="宋体" w:hAnsi="宋体"/>
          <w:sz w:val="24"/>
        </w:rPr>
        <w:t>谈判</w:t>
      </w:r>
      <w:r>
        <w:rPr>
          <w:rFonts w:ascii="宋体" w:hAnsi="宋体"/>
          <w:sz w:val="24"/>
          <w:szCs w:val="24"/>
        </w:rPr>
        <w:t>均无效。</w:t>
      </w:r>
    </w:p>
    <w:p>
      <w:pPr>
        <w:spacing w:line="360" w:lineRule="auto"/>
        <w:ind w:firstLine="550"/>
        <w:rPr>
          <w:rFonts w:hAnsi="宋体"/>
          <w:szCs w:val="24"/>
        </w:rPr>
      </w:pPr>
      <w:r>
        <w:rPr>
          <w:rFonts w:hint="eastAsia" w:ascii="宋体" w:hAnsi="宋体"/>
          <w:sz w:val="24"/>
          <w:szCs w:val="24"/>
        </w:rPr>
        <w:t>8.4</w:t>
      </w:r>
      <w:r>
        <w:rPr>
          <w:rFonts w:hint="eastAsia" w:ascii="宋体" w:hAnsi="宋体"/>
          <w:sz w:val="24"/>
        </w:rPr>
        <w:t>联合体谈判的，谈判保证金由联合体牵头方递交，以一方名义递交保证金的，对联合体各方均具有约束力。</w:t>
      </w:r>
    </w:p>
    <w:p>
      <w:pPr>
        <w:spacing w:line="360" w:lineRule="auto"/>
        <w:ind w:firstLine="550"/>
        <w:rPr>
          <w:rFonts w:hAnsi="宋体"/>
          <w:szCs w:val="24"/>
        </w:rPr>
      </w:pPr>
      <w:r>
        <w:rPr>
          <w:rFonts w:hint="eastAsia" w:ascii="宋体" w:hAnsi="宋体"/>
          <w:sz w:val="24"/>
          <w:szCs w:val="24"/>
        </w:rPr>
        <w:t>8.5除谈判文件有明确约定的，联合体参加</w:t>
      </w:r>
      <w:r>
        <w:rPr>
          <w:rFonts w:hint="eastAsia" w:ascii="宋体" w:hAnsi="宋体"/>
          <w:sz w:val="24"/>
        </w:rPr>
        <w:t>谈判</w:t>
      </w:r>
      <w:r>
        <w:rPr>
          <w:rFonts w:hint="eastAsia" w:ascii="宋体" w:hAnsi="宋体"/>
          <w:sz w:val="24"/>
          <w:szCs w:val="24"/>
        </w:rPr>
        <w:t>的，可以由联合体中的任一方获取谈判文件。</w:t>
      </w:r>
    </w:p>
    <w:p>
      <w:pPr>
        <w:spacing w:line="360" w:lineRule="auto"/>
        <w:ind w:firstLine="525"/>
        <w:rPr>
          <w:rFonts w:hAnsi="宋体"/>
          <w:b/>
          <w:bCs/>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Ansi="宋体"/>
          <w:szCs w:val="24"/>
        </w:rPr>
      </w:pPr>
      <w:r>
        <w:rPr>
          <w:rFonts w:hint="eastAsia" w:ascii="宋体" w:hAnsi="宋体"/>
          <w:sz w:val="24"/>
        </w:rPr>
        <w:t>10.1谈判文件中明确要求加盖公章的，投标人必须加盖投标人公章。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Ansi="宋体"/>
          <w:b/>
          <w:bCs/>
        </w:rPr>
      </w:pPr>
      <w:r>
        <w:rPr>
          <w:rFonts w:hint="eastAsia" w:ascii="宋体" w:hAnsi="宋体"/>
          <w:b/>
          <w:bCs/>
          <w:sz w:val="24"/>
        </w:rPr>
        <w:t>10.合同标的转让</w:t>
      </w:r>
    </w:p>
    <w:p>
      <w:pPr>
        <w:spacing w:line="360" w:lineRule="auto"/>
        <w:ind w:firstLine="523" w:firstLineChars="218"/>
        <w:rPr>
          <w:rFonts w:hAnsi="宋体"/>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ascii="宋体" w:hAnsi="宋体"/>
          <w:sz w:val="24"/>
        </w:rPr>
        <w:t>10.3中标人应当就分包项目向招标人负责，接受分包的人就分包项目承担连带责任。</w:t>
      </w:r>
    </w:p>
    <w:p>
      <w:pPr>
        <w:spacing w:line="360" w:lineRule="auto"/>
        <w:ind w:firstLine="550"/>
        <w:rPr>
          <w:rFonts w:hAnsi="宋体"/>
          <w:b/>
          <w:bCs/>
        </w:rPr>
      </w:pPr>
      <w:r>
        <w:rPr>
          <w:rFonts w:hint="eastAsia" w:ascii="宋体" w:hAnsi="宋体"/>
          <w:b/>
          <w:bCs/>
          <w:sz w:val="24"/>
        </w:rPr>
        <w:t>11.谈判信息的发布</w:t>
      </w:r>
    </w:p>
    <w:p>
      <w:pPr>
        <w:spacing w:line="360" w:lineRule="auto"/>
        <w:ind w:firstLine="550"/>
        <w:rPr>
          <w:rFonts w:hAnsi="宋体"/>
        </w:rPr>
      </w:pPr>
      <w:r>
        <w:rPr>
          <w:rFonts w:hint="eastAsia" w:ascii="宋体" w:hAnsi="宋体"/>
          <w:sz w:val="24"/>
        </w:rPr>
        <w:t>11.1与本次谈判活动相关的信息，将在</w:t>
      </w:r>
      <w:r>
        <w:rPr>
          <w:rFonts w:hint="eastAsia" w:ascii="宋体" w:hAnsi="宋体"/>
          <w:sz w:val="24"/>
          <w:szCs w:val="24"/>
        </w:rPr>
        <w:t>招标人官方网站</w:t>
      </w:r>
      <w:r>
        <w:rPr>
          <w:rFonts w:hint="eastAsia" w:ascii="宋体" w:hAnsi="宋体"/>
          <w:sz w:val="24"/>
        </w:rPr>
        <w:t>发布。</w:t>
      </w:r>
    </w:p>
    <w:p>
      <w:pPr>
        <w:pStyle w:val="6"/>
        <w:spacing w:line="500" w:lineRule="exact"/>
        <w:ind w:firstLine="560"/>
        <w:rPr>
          <w:rFonts w:hAnsi="宋体"/>
        </w:rPr>
      </w:pPr>
      <w:bookmarkStart w:id="36" w:name="_Toc50128750"/>
      <w:r>
        <w:rPr>
          <w:rFonts w:hint="eastAsia" w:hAnsi="宋体"/>
        </w:rPr>
        <w:t>二．谈判文件</w:t>
      </w:r>
      <w:bookmarkEnd w:id="36"/>
      <w:bookmarkStart w:id="37" w:name="_Hlt509650361"/>
      <w:bookmarkEnd w:id="37"/>
      <w:bookmarkStart w:id="38" w:name="_Hlt509649791"/>
      <w:bookmarkEnd w:id="38"/>
      <w:bookmarkStart w:id="39" w:name="_Hlt509649930"/>
      <w:bookmarkEnd w:id="39"/>
    </w:p>
    <w:p>
      <w:pPr>
        <w:spacing w:line="360" w:lineRule="auto"/>
        <w:ind w:firstLine="549"/>
        <w:rPr>
          <w:rFonts w:hAnsi="宋体"/>
          <w:b/>
          <w:szCs w:val="24"/>
        </w:rPr>
      </w:pPr>
      <w:bookmarkStart w:id="40" w:name="_Hlt509650734"/>
      <w:bookmarkEnd w:id="40"/>
      <w:r>
        <w:rPr>
          <w:rFonts w:hint="eastAsia" w:ascii="宋体" w:hAnsi="宋体"/>
          <w:b/>
          <w:sz w:val="24"/>
          <w:szCs w:val="24"/>
        </w:rPr>
        <w:t>12.谈判文件构成</w:t>
      </w:r>
    </w:p>
    <w:p>
      <w:pPr>
        <w:spacing w:line="360" w:lineRule="auto"/>
        <w:ind w:firstLine="549"/>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谈判文件包括以下部分：</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.1第一章：谈判邀请（谈判公告）；</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41" w:name="_Hlt509650925"/>
      <w:bookmarkEnd w:id="41"/>
      <w:r>
        <w:rPr>
          <w:rFonts w:hint="eastAsia" w:ascii="宋体" w:hAnsi="宋体"/>
          <w:sz w:val="24"/>
          <w:szCs w:val="24"/>
        </w:rPr>
        <w:t>投标人须知；</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.3第三章：采购需求；</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.4第四章：谈判与评审办法；</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Ansi="宋体"/>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.6第六章：技术标准和要求；</w:t>
      </w:r>
    </w:p>
    <w:p>
      <w:pPr>
        <w:spacing w:line="360" w:lineRule="auto"/>
        <w:ind w:firstLine="457" w:firstLineChars="218"/>
      </w:pPr>
      <w:r>
        <w:rPr>
          <w:rFonts w:hint="eastAsia"/>
        </w:rPr>
        <w:t>12.1.7第七章：</w:t>
      </w:r>
      <w:r>
        <w:rPr>
          <w:rFonts w:hint="eastAsia" w:ascii="宋体" w:hAnsi="宋体"/>
          <w:sz w:val="24"/>
          <w:szCs w:val="24"/>
        </w:rPr>
        <w:t>响应文件格式；</w:t>
      </w:r>
    </w:p>
    <w:p>
      <w:pPr>
        <w:spacing w:line="360" w:lineRule="auto"/>
        <w:ind w:firstLine="523" w:firstLineChars="218"/>
        <w:rPr>
          <w:rFonts w:hAnsi="宋体"/>
          <w:szCs w:val="24"/>
        </w:rPr>
      </w:pPr>
      <w:r>
        <w:rPr>
          <w:rFonts w:hint="eastAsia" w:ascii="宋体" w:hAnsi="宋体"/>
          <w:sz w:val="24"/>
          <w:szCs w:val="24"/>
        </w:rPr>
        <w:t>12.1.8招标人发布的图纸、答疑、补遗、补充通知（如有）等。</w:t>
      </w:r>
    </w:p>
    <w:p>
      <w:pPr>
        <w:spacing w:line="360" w:lineRule="auto"/>
        <w:ind w:firstLine="549"/>
        <w:rPr>
          <w:rFonts w:hAnsi="宋体"/>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投标人应认真阅读谈判文件中所有的事项、格式、条件、条款和规范等要求。</w:t>
      </w:r>
    </w:p>
    <w:p>
      <w:pPr>
        <w:spacing w:line="360" w:lineRule="auto"/>
        <w:ind w:firstLine="550"/>
        <w:rPr>
          <w:rFonts w:hAnsi="宋体"/>
          <w:szCs w:val="24"/>
        </w:rPr>
      </w:pPr>
      <w:r>
        <w:rPr>
          <w:rFonts w:hint="eastAsia" w:ascii="宋体" w:hAnsi="宋体"/>
          <w:sz w:val="24"/>
          <w:szCs w:val="24"/>
        </w:rPr>
        <w:t>12.3投标人应当按照谈判文件的要求编制响应文件。响应文件应对谈判文件提出的要求和条件作出实质性响应。</w:t>
      </w:r>
    </w:p>
    <w:p>
      <w:pPr>
        <w:spacing w:line="360" w:lineRule="auto"/>
        <w:ind w:firstLine="550"/>
        <w:rPr>
          <w:rFonts w:hAnsi="宋体"/>
          <w:szCs w:val="24"/>
        </w:rPr>
      </w:pPr>
      <w:r>
        <w:rPr>
          <w:rFonts w:hint="eastAsia" w:ascii="宋体" w:hAnsi="宋体"/>
          <w:sz w:val="24"/>
          <w:szCs w:val="24"/>
        </w:rPr>
        <w:t>12.4投标人获取谈判文件后，应仔细检查谈判文件的所有内容，如有残缺等问题应在获得谈判文件</w:t>
      </w:r>
      <w:r>
        <w:rPr>
          <w:rFonts w:ascii="宋体" w:hAnsi="宋体"/>
          <w:sz w:val="24"/>
          <w:szCs w:val="24"/>
        </w:rPr>
        <w:t>3</w:t>
      </w:r>
      <w:r>
        <w:rPr>
          <w:rFonts w:hint="eastAsia" w:ascii="宋体" w:hAnsi="宋体"/>
          <w:sz w:val="24"/>
          <w:szCs w:val="24"/>
        </w:rPr>
        <w:t>日内向招标人提出，否则，由此引起的损失由投标人自行承担。</w:t>
      </w:r>
    </w:p>
    <w:p>
      <w:pPr>
        <w:spacing w:line="360" w:lineRule="auto"/>
        <w:ind w:firstLine="549"/>
        <w:rPr>
          <w:rFonts w:hAnsi="宋体"/>
          <w:b/>
          <w:szCs w:val="24"/>
        </w:rPr>
      </w:pPr>
      <w:r>
        <w:rPr>
          <w:rFonts w:hint="eastAsia" w:ascii="宋体" w:hAnsi="宋体"/>
          <w:b/>
          <w:sz w:val="24"/>
          <w:szCs w:val="24"/>
        </w:rPr>
        <w:t>13.答疑及谈判文件的澄清与修改</w:t>
      </w:r>
    </w:p>
    <w:p>
      <w:pPr>
        <w:spacing w:line="360" w:lineRule="auto"/>
        <w:ind w:firstLine="550"/>
        <w:rPr>
          <w:rFonts w:hAnsi="宋体"/>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谈判文件、工程量清单（如有）、最高投标限价（招标控制价）及相关附件等谈判文件的其他任何内容有相关疑问，可以于投标人须知前附表列明的答疑接受时间前，通过电话形式向招标人提出（疑问文件以文档纸质形式（并加盖公章）提供）。</w:t>
      </w:r>
    </w:p>
    <w:p>
      <w:pPr>
        <w:spacing w:line="360" w:lineRule="auto"/>
        <w:ind w:firstLine="550"/>
        <w:rPr>
          <w:rFonts w:hAnsi="宋体"/>
          <w:szCs w:val="24"/>
        </w:rPr>
      </w:pPr>
      <w:r>
        <w:rPr>
          <w:rFonts w:hint="eastAsia" w:ascii="宋体" w:hAnsi="宋体"/>
          <w:sz w:val="24"/>
          <w:szCs w:val="24"/>
        </w:rPr>
        <w:t>13.2如谈判文件存在不一致时，优先顺序如下：（1）谈判公告；（2）投标人须知前附表；（3）采购需求；（4）谈判与评审办法；（5）其他。</w:t>
      </w:r>
    </w:p>
    <w:p>
      <w:pPr>
        <w:spacing w:line="360" w:lineRule="auto"/>
        <w:ind w:firstLine="550"/>
        <w:rPr>
          <w:rFonts w:hAnsi="宋体"/>
          <w:szCs w:val="24"/>
        </w:rPr>
      </w:pPr>
      <w:r>
        <w:rPr>
          <w:rFonts w:hint="eastAsia" w:ascii="宋体" w:hAnsi="宋体"/>
          <w:sz w:val="24"/>
          <w:szCs w:val="24"/>
        </w:rPr>
        <w:t>13.4招标人对谈判文件进行的答疑、澄清、变更或补充，将在招标公告发布网站上及时发布，该公告内容为谈判文件的组成部分，对投标人具有同样约束力效力。当谈判文件、谈判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。投标人应主动上网查询。招标人不承担投标人未及时关注相关信息引发的相关责任。</w:t>
      </w:r>
    </w:p>
    <w:p>
      <w:pPr>
        <w:spacing w:line="360" w:lineRule="auto"/>
        <w:ind w:firstLine="550"/>
        <w:rPr>
          <w:rFonts w:hAnsi="宋体"/>
          <w:szCs w:val="24"/>
        </w:rPr>
      </w:pPr>
      <w:r>
        <w:rPr>
          <w:rFonts w:hint="eastAsia" w:ascii="宋体" w:hAnsi="宋体"/>
          <w:sz w:val="24"/>
          <w:szCs w:val="24"/>
        </w:rPr>
        <w:t>13.5</w:t>
      </w:r>
      <w:r>
        <w:rPr>
          <w:rFonts w:hint="eastAsia" w:ascii="宋体" w:hAnsi="宋体"/>
          <w:sz w:val="24"/>
        </w:rPr>
        <w:t>在响应文件提交截止时间前，招标人可以视招标具体情况，延长响应文件提交截止时间和谈判时间，并及时在网站上发布变更（延期）公告。在上述情况下，招标人和投标人在响应文件提交截止期方面的全部权力、责任和义务，将适用于延长后新的响应文件提交截止期。</w:t>
      </w:r>
    </w:p>
    <w:p>
      <w:pPr>
        <w:pStyle w:val="6"/>
        <w:spacing w:line="500" w:lineRule="exact"/>
        <w:ind w:firstLine="560"/>
        <w:rPr>
          <w:rFonts w:hAnsi="宋体"/>
        </w:rPr>
      </w:pPr>
      <w:bookmarkStart w:id="42" w:name="_Hlt510342861"/>
      <w:bookmarkEnd w:id="42"/>
      <w:bookmarkStart w:id="43" w:name="_Hlt509650697"/>
      <w:bookmarkEnd w:id="43"/>
      <w:bookmarkStart w:id="44" w:name="_Hlt509649724"/>
      <w:bookmarkEnd w:id="44"/>
      <w:bookmarkStart w:id="45" w:name="_Toc50128751"/>
      <w:r>
        <w:rPr>
          <w:rFonts w:hint="eastAsia" w:hAnsi="宋体"/>
        </w:rPr>
        <w:t>三．响应文件的编制</w:t>
      </w:r>
      <w:bookmarkEnd w:id="45"/>
    </w:p>
    <w:p>
      <w:pPr>
        <w:spacing w:line="360" w:lineRule="auto"/>
        <w:ind w:firstLine="550"/>
        <w:rPr>
          <w:rFonts w:hAnsi="宋体"/>
          <w:b/>
          <w:szCs w:val="24"/>
        </w:rPr>
      </w:pPr>
      <w:r>
        <w:rPr>
          <w:rFonts w:hint="eastAsia" w:ascii="宋体" w:hAnsi="宋体"/>
          <w:b/>
          <w:sz w:val="24"/>
          <w:szCs w:val="24"/>
        </w:rPr>
        <w:t>14.响应文件构成与要求</w:t>
      </w:r>
    </w:p>
    <w:p>
      <w:pPr>
        <w:spacing w:line="360" w:lineRule="auto"/>
        <w:ind w:firstLine="550"/>
        <w:rPr>
          <w:rFonts w:hAnsi="宋体"/>
          <w:szCs w:val="24"/>
        </w:rPr>
      </w:pPr>
      <w:bookmarkStart w:id="46" w:name="_Hlt509650345"/>
      <w:bookmarkEnd w:id="46"/>
      <w:r>
        <w:rPr>
          <w:rFonts w:hint="eastAsia" w:ascii="宋体" w:hAnsi="宋体"/>
          <w:sz w:val="24"/>
          <w:szCs w:val="24"/>
        </w:rPr>
        <w:t>14.1响应文件是对谈判文件的实质性响应及承诺文件。</w:t>
      </w:r>
    </w:p>
    <w:p>
      <w:pPr>
        <w:spacing w:line="360" w:lineRule="auto"/>
        <w:ind w:firstLine="550"/>
        <w:jc w:val="left"/>
        <w:rPr>
          <w:rFonts w:hAnsi="宋体"/>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可自行制作格式”，响应文件应使用谈判文件提供的格式。</w:t>
      </w:r>
    </w:p>
    <w:p>
      <w:pPr>
        <w:spacing w:line="360" w:lineRule="auto"/>
        <w:ind w:firstLine="550"/>
        <w:jc w:val="left"/>
        <w:rPr>
          <w:rFonts w:hAnsi="宋体"/>
          <w:szCs w:val="24"/>
        </w:rPr>
      </w:pPr>
      <w:r>
        <w:rPr>
          <w:rFonts w:hint="eastAsia" w:ascii="宋体" w:hAnsi="宋体"/>
          <w:sz w:val="24"/>
          <w:szCs w:val="24"/>
        </w:rPr>
        <w:t>14.3除专用术语外，响应文件以及投标人与招标人就有关谈判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ascii="宋体" w:hAnsi="宋体"/>
          <w:sz w:val="24"/>
          <w:szCs w:val="24"/>
        </w:rPr>
        <w:t>14.4除非谈判文件另有规定，响应文件应使用中华人民共和国法定计量单位。</w:t>
      </w:r>
    </w:p>
    <w:p>
      <w:pPr>
        <w:spacing w:line="360" w:lineRule="auto"/>
        <w:ind w:firstLine="550"/>
        <w:jc w:val="left"/>
        <w:rPr>
          <w:rFonts w:hAnsi="宋体"/>
          <w:szCs w:val="24"/>
        </w:rPr>
      </w:pPr>
      <w:r>
        <w:rPr>
          <w:rFonts w:hint="eastAsia" w:ascii="宋体" w:hAnsi="宋体"/>
          <w:sz w:val="24"/>
          <w:szCs w:val="24"/>
        </w:rPr>
        <w:t>14.5除非谈判文件另有规定，响应文件应使用人民币填报所有报价。允许以多种货币报价的，或涉及合同金额等计算的，均按照中国银行在谈判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ascii="宋体" w:hAnsi="宋体"/>
          <w:sz w:val="24"/>
          <w:szCs w:val="24"/>
        </w:rPr>
        <w:t>14.7电报、电话、传真形式的投标概不接受。</w:t>
      </w:r>
    </w:p>
    <w:p>
      <w:pPr>
        <w:spacing w:line="360" w:lineRule="auto"/>
        <w:ind w:firstLine="550"/>
        <w:jc w:val="left"/>
        <w:rPr>
          <w:rFonts w:hAnsi="宋体"/>
          <w:b/>
          <w:szCs w:val="24"/>
        </w:rPr>
      </w:pPr>
      <w:r>
        <w:rPr>
          <w:rFonts w:hint="eastAsia" w:ascii="宋体" w:hAnsi="宋体"/>
          <w:b/>
          <w:sz w:val="24"/>
          <w:szCs w:val="24"/>
        </w:rPr>
        <w:t>14.8除非谈判文件另有规定，招标人一律不予退还投标人的响应文件。</w:t>
      </w:r>
    </w:p>
    <w:p>
      <w:pPr>
        <w:spacing w:line="360" w:lineRule="auto"/>
        <w:ind w:firstLine="523" w:firstLineChars="218"/>
        <w:rPr>
          <w:rFonts w:hAnsi="宋体"/>
          <w:szCs w:val="24"/>
        </w:rPr>
      </w:pPr>
      <w:r>
        <w:rPr>
          <w:rFonts w:hint="eastAsia" w:ascii="宋体" w:hAnsi="宋体"/>
          <w:sz w:val="24"/>
          <w:szCs w:val="24"/>
        </w:rPr>
        <w:t>14.9 本谈判文件所要求的证书、认证、资质，均应当是有权机构颁发，且在有效期内的。</w:t>
      </w:r>
    </w:p>
    <w:p>
      <w:pPr>
        <w:spacing w:line="360" w:lineRule="auto"/>
        <w:ind w:firstLine="550"/>
        <w:rPr>
          <w:rFonts w:hAnsi="宋体"/>
          <w:b/>
          <w:szCs w:val="24"/>
        </w:rPr>
      </w:pPr>
      <w:r>
        <w:rPr>
          <w:rFonts w:hint="eastAsia" w:ascii="宋体" w:hAnsi="宋体"/>
          <w:b/>
          <w:sz w:val="24"/>
          <w:szCs w:val="24"/>
        </w:rPr>
        <w:t>15.报价</w:t>
      </w:r>
    </w:p>
    <w:p>
      <w:pPr>
        <w:spacing w:line="360" w:lineRule="auto"/>
        <w:ind w:firstLine="550"/>
        <w:rPr>
          <w:rFonts w:hAnsi="宋体"/>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ascii="宋体" w:hAnsi="宋体"/>
          <w:sz w:val="24"/>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除非谈判文件另有规定，投标报价均不得高于谈判文件（公告）列明的最高投标限价（招标控制价）、项目概算。</w:t>
      </w:r>
    </w:p>
    <w:p>
      <w:pPr>
        <w:spacing w:line="360" w:lineRule="auto"/>
        <w:ind w:firstLine="550"/>
        <w:rPr>
          <w:rFonts w:hAnsi="宋体"/>
          <w:szCs w:val="24"/>
        </w:rPr>
      </w:pPr>
      <w:r>
        <w:rPr>
          <w:rFonts w:hint="eastAsia" w:ascii="宋体" w:hAnsi="宋体"/>
          <w:sz w:val="24"/>
          <w:szCs w:val="24"/>
        </w:rPr>
        <w:t>15.4除非谈判文件另有规定，每一标段只允许有一个最终报价，任何有选择的报价或替代方案将导致投标无效。</w:t>
      </w:r>
    </w:p>
    <w:p>
      <w:pPr>
        <w:spacing w:line="360" w:lineRule="auto"/>
        <w:ind w:firstLine="550"/>
        <w:rPr>
          <w:rFonts w:hAnsi="宋体"/>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ascii="宋体" w:hAnsi="宋体"/>
          <w:b/>
          <w:bCs/>
          <w:sz w:val="24"/>
          <w:szCs w:val="24"/>
        </w:rPr>
        <w:t>16.投标内容填写及说明</w:t>
      </w:r>
    </w:p>
    <w:p>
      <w:pPr>
        <w:spacing w:line="360" w:lineRule="auto"/>
        <w:ind w:firstLine="549"/>
        <w:rPr>
          <w:rFonts w:hAnsi="宋体"/>
          <w:szCs w:val="24"/>
        </w:rPr>
      </w:pPr>
      <w:r>
        <w:rPr>
          <w:rFonts w:hint="eastAsia" w:ascii="宋体" w:hAnsi="宋体"/>
          <w:sz w:val="24"/>
          <w:szCs w:val="24"/>
        </w:rPr>
        <w:t>16.1响应文件须对谈判文件载明的投标资格、技术、资信、服务、报价等全部要求和条件做出实质性和完整的响应，如果响应文件填报的内容资料不详，或没有提供谈判文件中所要求的全部资料、证明及数据，将可能导致投标无效。</w:t>
      </w:r>
    </w:p>
    <w:p>
      <w:pPr>
        <w:spacing w:line="360" w:lineRule="auto"/>
        <w:ind w:firstLine="549"/>
        <w:rPr>
          <w:rFonts w:hAnsi="宋体"/>
          <w:szCs w:val="24"/>
        </w:rPr>
      </w:pPr>
      <w:r>
        <w:rPr>
          <w:rFonts w:hint="eastAsia" w:ascii="宋体" w:hAnsi="宋体"/>
          <w:sz w:val="24"/>
          <w:szCs w:val="24"/>
        </w:rPr>
        <w:t>16.2投标人应在响应文件中提交谈判文件要求的有关证明文件，作为其响应文件的一部分。</w:t>
      </w:r>
    </w:p>
    <w:p>
      <w:pPr>
        <w:spacing w:line="360" w:lineRule="auto"/>
        <w:ind w:firstLine="549"/>
        <w:rPr>
          <w:rFonts w:hAnsi="宋体"/>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谈判文件载明的全部初审要求（如谈判资格、技术、资信、服务、报价等），做出实质性响应，如果响应文件填报的内容资料不详，或没有提供谈判文件中所要求的资料、证明及数据，将导致投标无效。</w:t>
      </w:r>
    </w:p>
    <w:p>
      <w:pPr>
        <w:spacing w:line="360" w:lineRule="auto"/>
        <w:ind w:firstLine="549"/>
        <w:rPr>
          <w:rFonts w:hAnsi="宋体"/>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的内容填写报价信息。</w:t>
      </w:r>
    </w:p>
    <w:p>
      <w:pPr>
        <w:spacing w:line="360" w:lineRule="auto"/>
        <w:ind w:firstLine="549"/>
        <w:rPr>
          <w:rFonts w:hAnsi="宋体"/>
          <w:b/>
          <w:szCs w:val="24"/>
        </w:rPr>
      </w:pPr>
      <w:r>
        <w:rPr>
          <w:rFonts w:hint="eastAsia" w:ascii="宋体" w:hAnsi="宋体"/>
          <w:b/>
          <w:sz w:val="24"/>
          <w:szCs w:val="24"/>
        </w:rPr>
        <w:t>17.投标保证金</w:t>
      </w:r>
    </w:p>
    <w:p>
      <w:pPr>
        <w:spacing w:line="360" w:lineRule="auto"/>
        <w:ind w:firstLine="550"/>
        <w:rPr>
          <w:rFonts w:hAnsi="宋体"/>
        </w:rPr>
      </w:pPr>
      <w:r>
        <w:rPr>
          <w:rFonts w:hint="eastAsia" w:ascii="宋体" w:hAnsi="宋体"/>
          <w:sz w:val="24"/>
        </w:rPr>
        <w:t>17.1投标人在递交响应文件的同时，应按投标人须知前附表规定的金额、担保形式和第七章“响应文件格式”规定的投标保证金格式递交投标保证金（如有），并作为其响应文件的组成部分。境内投标人以现金或者支票形式提交的投标保证金，应当从其基本账户转出并在响应文件中附上基本账户开户证明。联合体投标的，其投标保证金由牵头人递交，并应符合投标人须知前附表的规定。</w:t>
      </w:r>
    </w:p>
    <w:p>
      <w:pPr>
        <w:spacing w:line="360" w:lineRule="auto"/>
        <w:ind w:firstLine="550"/>
        <w:rPr>
          <w:rFonts w:hAnsi="宋体"/>
        </w:rPr>
      </w:pPr>
      <w:r>
        <w:rPr>
          <w:rFonts w:hint="eastAsia" w:ascii="宋体" w:hAnsi="宋体"/>
          <w:sz w:val="24"/>
        </w:rPr>
        <w:t>17.2无论采取何种形式的投标保证金，投标保证金有效期均应与投标有效期一致。招标人如果按本章18.4项的规定延长了投标有效期，则投标保证金的有效期也相应延长。</w:t>
      </w:r>
    </w:p>
    <w:p>
      <w:pPr>
        <w:spacing w:line="360" w:lineRule="auto"/>
        <w:ind w:firstLine="550"/>
        <w:rPr>
          <w:rFonts w:hAnsi="宋体"/>
        </w:rPr>
      </w:pPr>
      <w:r>
        <w:rPr>
          <w:rFonts w:hint="eastAsia" w:ascii="宋体" w:hAnsi="宋体"/>
          <w:sz w:val="24"/>
        </w:rPr>
        <w:t>17.3 投标人不按本章17.1要求提交投标保证金的，</w:t>
      </w:r>
      <w:r>
        <w:rPr>
          <w:rFonts w:hint="eastAsia" w:ascii="宋体" w:hAnsi="宋体"/>
          <w:kern w:val="0"/>
          <w:sz w:val="24"/>
        </w:rPr>
        <w:t>谈判小组</w:t>
      </w:r>
      <w:r>
        <w:rPr>
          <w:rFonts w:hint="eastAsia" w:ascii="宋体" w:hAnsi="宋体"/>
          <w:sz w:val="24"/>
        </w:rPr>
        <w:t>将否决其投标。</w:t>
      </w:r>
    </w:p>
    <w:p>
      <w:pPr>
        <w:spacing w:line="360" w:lineRule="auto"/>
        <w:ind w:firstLine="550"/>
        <w:rPr>
          <w:rFonts w:hAnsi="宋体"/>
        </w:rPr>
      </w:pPr>
      <w:r>
        <w:rPr>
          <w:rFonts w:hint="eastAsia" w:ascii="宋体" w:hAnsi="宋体"/>
          <w:sz w:val="24"/>
        </w:rPr>
        <w:t>17.4招标人最迟将在中标通知书发出后5日内向中标候选人以外的其他投标人退还投标保证金，与中标人签订合同后5日内向中标人和其他中标候选人退还投标保证金（无息）。</w:t>
      </w:r>
    </w:p>
    <w:p>
      <w:pPr>
        <w:spacing w:line="360" w:lineRule="auto"/>
        <w:ind w:firstLine="550"/>
        <w:rPr>
          <w:rFonts w:hAnsi="宋体"/>
        </w:rPr>
      </w:pPr>
      <w:r>
        <w:rPr>
          <w:rFonts w:hint="eastAsia" w:ascii="宋体" w:hAnsi="宋体"/>
          <w:sz w:val="24"/>
        </w:rPr>
        <w:t xml:space="preserve">17.5 有下列情形之一的，投标保证金将不予退还： </w:t>
      </w:r>
    </w:p>
    <w:p>
      <w:pPr>
        <w:spacing w:line="360" w:lineRule="auto"/>
        <w:ind w:firstLine="550"/>
        <w:rPr>
          <w:rFonts w:hAnsi="宋体"/>
        </w:rPr>
      </w:pPr>
      <w:r>
        <w:rPr>
          <w:rFonts w:hint="eastAsia" w:ascii="宋体" w:hAnsi="宋体"/>
          <w:sz w:val="24"/>
        </w:rPr>
        <w:t>（1）投标人在规定的投标有效期内撤销其投标文件；</w:t>
      </w:r>
    </w:p>
    <w:p>
      <w:pPr>
        <w:spacing w:line="360" w:lineRule="auto"/>
        <w:ind w:firstLine="550"/>
        <w:rPr>
          <w:rFonts w:hAnsi="宋体"/>
        </w:rPr>
      </w:pPr>
      <w:r>
        <w:rPr>
          <w:rFonts w:hint="eastAsia" w:ascii="宋体" w:hAnsi="宋体"/>
          <w:sz w:val="24"/>
        </w:rPr>
        <w:t>（2）中标人在收到中标通知书后，无正当理由不与招标人订立合同，在签订合同时向招标人提出附加条件，或不按照招标文件要求提交履约保证金；</w:t>
      </w:r>
    </w:p>
    <w:p>
      <w:pPr>
        <w:spacing w:line="360" w:lineRule="auto"/>
        <w:ind w:firstLine="550"/>
        <w:rPr>
          <w:rFonts w:hAnsi="宋体"/>
        </w:rPr>
      </w:pPr>
      <w:r>
        <w:rPr>
          <w:rFonts w:hint="eastAsia" w:ascii="宋体" w:hAnsi="宋体"/>
          <w:sz w:val="24"/>
        </w:rPr>
        <w:t>（3）发生投标人须知前附表规定的其他可以不予退还投标保证金的情形。</w:t>
      </w:r>
    </w:p>
    <w:p>
      <w:pPr>
        <w:spacing w:line="360" w:lineRule="auto"/>
        <w:ind w:firstLine="550"/>
        <w:rPr>
          <w:rFonts w:hAnsi="宋体"/>
        </w:rPr>
      </w:pPr>
      <w:r>
        <w:rPr>
          <w:rFonts w:hint="eastAsia" w:ascii="宋体" w:hAnsi="宋体"/>
          <w:sz w:val="24"/>
        </w:rPr>
        <w:t>注：如投标保证金采用第二类、第三类形式，出现以上情形的，由受益人向开立人申请索赔。</w:t>
      </w:r>
    </w:p>
    <w:p>
      <w:pPr>
        <w:spacing w:line="360" w:lineRule="auto"/>
        <w:ind w:firstLine="550"/>
        <w:rPr>
          <w:rFonts w:hAnsi="宋体"/>
          <w:szCs w:val="24"/>
        </w:rPr>
      </w:pPr>
      <w:r>
        <w:rPr>
          <w:rFonts w:hint="eastAsia" w:ascii="宋体" w:hAnsi="宋体"/>
          <w:sz w:val="24"/>
        </w:rPr>
        <w:t>17.6由于投标人行为导致招标人损失的，相应损失由投标人承担，从投标保证金中扣除。投标保证金扣除后仍不足以弥补损失的，投标人应当对超过部分予以赔偿。</w:t>
      </w:r>
    </w:p>
    <w:p>
      <w:pPr>
        <w:spacing w:line="360" w:lineRule="auto"/>
        <w:ind w:firstLine="550"/>
        <w:rPr>
          <w:rFonts w:hAnsi="宋体"/>
          <w:b/>
          <w:szCs w:val="24"/>
        </w:rPr>
      </w:pPr>
      <w:r>
        <w:rPr>
          <w:rFonts w:hint="eastAsia" w:ascii="宋体" w:hAnsi="宋体"/>
          <w:b/>
          <w:sz w:val="24"/>
          <w:szCs w:val="24"/>
        </w:rPr>
        <w:t>18.投标有效期</w:t>
      </w:r>
    </w:p>
    <w:p>
      <w:pPr>
        <w:spacing w:line="360" w:lineRule="auto"/>
        <w:ind w:firstLine="550"/>
        <w:rPr>
          <w:rFonts w:hAnsi="宋体"/>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Ansi="宋体"/>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Ansi="宋体"/>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投标</w:t>
      </w:r>
      <w:r>
        <w:rPr>
          <w:sz w:val="24"/>
          <w:szCs w:val="24"/>
        </w:rPr>
        <w:t>保证金的有效期，但不得要求或被允许修改其响应文件；投标人拒绝延长的，其投标失效，但投标人有权收回其</w:t>
      </w:r>
      <w:r>
        <w:rPr>
          <w:rFonts w:hint="eastAsia"/>
          <w:sz w:val="24"/>
          <w:szCs w:val="24"/>
        </w:rPr>
        <w:t>投标</w:t>
      </w:r>
      <w:r>
        <w:rPr>
          <w:sz w:val="24"/>
          <w:szCs w:val="24"/>
        </w:rPr>
        <w:t>保证金及</w:t>
      </w:r>
      <w:r>
        <w:rPr>
          <w:rFonts w:hint="eastAsia"/>
          <w:sz w:val="24"/>
          <w:szCs w:val="24"/>
        </w:rPr>
        <w:t>（无息）</w:t>
      </w:r>
    </w:p>
    <w:p>
      <w:pPr>
        <w:spacing w:line="360" w:lineRule="auto"/>
        <w:ind w:firstLine="550"/>
        <w:rPr>
          <w:rFonts w:hAnsi="宋体"/>
          <w:b/>
          <w:szCs w:val="24"/>
        </w:rPr>
      </w:pPr>
      <w:r>
        <w:rPr>
          <w:rFonts w:hint="eastAsia" w:ascii="宋体" w:hAnsi="宋体"/>
          <w:b/>
          <w:sz w:val="24"/>
          <w:szCs w:val="24"/>
        </w:rPr>
        <w:t>19.响应文件份数和签署</w:t>
      </w:r>
    </w:p>
    <w:p>
      <w:pPr>
        <w:pStyle w:val="42"/>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2响应文件应按谈判文件要求加盖投标人公章。</w:t>
      </w:r>
    </w:p>
    <w:p>
      <w:pPr>
        <w:pStyle w:val="6"/>
        <w:ind w:firstLine="560"/>
        <w:rPr>
          <w:rFonts w:hAnsi="宋体"/>
        </w:rPr>
      </w:pPr>
      <w:bookmarkStart w:id="47" w:name="_Hlt509649294"/>
      <w:bookmarkEnd w:id="47"/>
      <w:bookmarkStart w:id="48" w:name="_Hlt509650572"/>
      <w:bookmarkEnd w:id="48"/>
      <w:bookmarkStart w:id="49" w:name="_Toc522466826"/>
      <w:bookmarkStart w:id="50" w:name="_Toc50128752"/>
      <w:r>
        <w:rPr>
          <w:rFonts w:hint="eastAsia" w:hAnsi="宋体"/>
        </w:rPr>
        <w:t>四．响应文件的递交</w:t>
      </w:r>
      <w:bookmarkEnd w:id="49"/>
      <w:bookmarkEnd w:id="50"/>
      <w:bookmarkStart w:id="51" w:name="_Hlt509649414"/>
      <w:bookmarkEnd w:id="51"/>
    </w:p>
    <w:p>
      <w:pPr>
        <w:spacing w:line="360" w:lineRule="auto"/>
        <w:ind w:firstLine="550"/>
        <w:rPr>
          <w:rFonts w:hAnsi="宋体"/>
          <w:b/>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hAnsi="宋体"/>
          <w:szCs w:val="24"/>
        </w:rPr>
      </w:pPr>
      <w:r>
        <w:rPr>
          <w:rFonts w:hint="eastAsia" w:ascii="宋体" w:hAnsi="宋体"/>
          <w:sz w:val="24"/>
          <w:szCs w:val="24"/>
        </w:rPr>
        <w:t>20.1响应文件的递交见投标人须知前附表的相关规定。</w:t>
      </w:r>
    </w:p>
    <w:p>
      <w:pPr>
        <w:spacing w:line="360" w:lineRule="auto"/>
        <w:ind w:firstLine="550"/>
        <w:rPr>
          <w:rFonts w:hAnsi="宋体"/>
          <w:szCs w:val="24"/>
        </w:rPr>
      </w:pPr>
      <w:r>
        <w:rPr>
          <w:rFonts w:hint="eastAsia" w:ascii="宋体" w:hAnsi="宋体"/>
          <w:sz w:val="24"/>
          <w:szCs w:val="24"/>
        </w:rPr>
        <w:t>20.2投标人应当在谈判文件规定的响应文件提交截止时间前递交响应文件。</w:t>
      </w:r>
    </w:p>
    <w:p>
      <w:pPr>
        <w:spacing w:line="360" w:lineRule="auto"/>
        <w:ind w:firstLine="550"/>
        <w:rPr>
          <w:rFonts w:hAnsi="宋体"/>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Ansi="宋体"/>
          <w:b/>
        </w:rPr>
      </w:pPr>
      <w:r>
        <w:rPr>
          <w:rFonts w:hint="eastAsia" w:ascii="宋体" w:hAnsi="宋体"/>
          <w:b/>
          <w:sz w:val="24"/>
        </w:rPr>
        <w:t>21.响应文件的修改和撤回</w:t>
      </w:r>
    </w:p>
    <w:p>
      <w:pPr>
        <w:spacing w:line="360" w:lineRule="auto"/>
        <w:ind w:firstLine="550"/>
        <w:rPr>
          <w:rFonts w:hAnsi="宋体"/>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截止时间前，并以书面形式通知招标人。在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ind w:firstLine="560"/>
        <w:rPr>
          <w:rFonts w:hAnsi="宋体"/>
        </w:rPr>
      </w:pPr>
      <w:bookmarkStart w:id="52" w:name="_Toc459990140"/>
      <w:bookmarkStart w:id="53" w:name="_Toc50128753"/>
      <w:bookmarkStart w:id="54" w:name="_Toc522466827"/>
      <w:r>
        <w:rPr>
          <w:rFonts w:hint="eastAsia" w:hAnsi="宋体"/>
        </w:rPr>
        <w:t>五．</w:t>
      </w:r>
      <w:bookmarkEnd w:id="52"/>
      <w:r>
        <w:rPr>
          <w:rFonts w:hint="eastAsia" w:hAnsi="宋体"/>
        </w:rPr>
        <w:t>响应文件解密及</w:t>
      </w:r>
      <w:bookmarkEnd w:id="53"/>
      <w:bookmarkEnd w:id="54"/>
      <w:r>
        <w:rPr>
          <w:rFonts w:hint="eastAsia" w:hAnsi="宋体"/>
        </w:rPr>
        <w:t>谈判</w:t>
      </w:r>
    </w:p>
    <w:p>
      <w:pPr>
        <w:spacing w:line="360" w:lineRule="auto"/>
        <w:ind w:firstLine="549"/>
        <w:rPr>
          <w:rFonts w:hAnsi="宋体"/>
          <w:b/>
        </w:rPr>
      </w:pPr>
      <w:r>
        <w:rPr>
          <w:rFonts w:hint="eastAsia" w:ascii="宋体" w:hAnsi="宋体"/>
          <w:b/>
          <w:sz w:val="24"/>
        </w:rPr>
        <w:t>23.响应文件的澄清、说明或补正</w:t>
      </w:r>
    </w:p>
    <w:p>
      <w:pPr>
        <w:spacing w:line="360" w:lineRule="auto"/>
        <w:ind w:firstLine="549"/>
        <w:rPr>
          <w:rFonts w:hAnsi="宋体"/>
          <w:bCs/>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1为有助于投标的审查、评价和比较，谈判小组可对投标人的响应文件中含义不明确、对同类问题表述不一致或者有明显文字和计算错误的内容作出不利于投标的推断。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2响应文件中大写金额和小写金额不一致的，以大写金额为准。报价表内容与投标函中信息内容不一致的，以报价表为准。</w:t>
      </w:r>
    </w:p>
    <w:p>
      <w:pPr>
        <w:spacing w:line="360" w:lineRule="auto"/>
        <w:ind w:firstLine="549"/>
        <w:rPr>
          <w:rFonts w:hAnsi="宋体"/>
          <w:b/>
        </w:rPr>
      </w:pPr>
      <w:r>
        <w:rPr>
          <w:rFonts w:hint="eastAsia" w:ascii="宋体" w:hAnsi="宋体"/>
          <w:b/>
          <w:sz w:val="24"/>
        </w:rPr>
        <w:t>24.评审</w:t>
      </w:r>
    </w:p>
    <w:p>
      <w:pPr>
        <w:spacing w:line="360" w:lineRule="auto"/>
        <w:ind w:firstLine="523" w:firstLineChars="218"/>
        <w:rPr>
          <w:rFonts w:hAnsi="宋体"/>
          <w:bCs/>
        </w:rPr>
      </w:pPr>
      <w:r>
        <w:rPr>
          <w:rFonts w:hint="eastAsia" w:ascii="宋体" w:hAnsi="宋体"/>
          <w:sz w:val="24"/>
        </w:rPr>
        <w:t>24.1</w:t>
      </w:r>
      <w:r>
        <w:rPr>
          <w:rFonts w:hint="eastAsia" w:ascii="宋体" w:hAnsi="宋体"/>
          <w:bCs/>
          <w:sz w:val="24"/>
        </w:rPr>
        <w:t>谈判小组将按照谈判文件规定的谈判与评审办法对投标人独立进行评审。</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谈判小组将首先审查响应文件是否实质上响应谈判文件的评审指标要求。实质上响应的投标应与谈判文件的全部条款、条件和规格相符，没有重大偏离或保留。所谓重大偏离或保留是指影响合同的供货范围、质量和性能等；或者在实质上与谈判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ascii="宋体" w:hAnsi="宋体"/>
          <w:bCs/>
          <w:sz w:val="24"/>
        </w:rPr>
        <w:t>有下列情形之一的，谈判小组应当否决其投标：</w:t>
      </w:r>
    </w:p>
    <w:p>
      <w:pPr>
        <w:spacing w:line="360" w:lineRule="auto"/>
        <w:ind w:firstLine="549"/>
        <w:rPr>
          <w:rFonts w:hAnsi="宋体"/>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3.2投标</w:t>
      </w:r>
      <w:r>
        <w:rPr>
          <w:rFonts w:ascii="宋体" w:hAnsi="宋体"/>
          <w:sz w:val="24"/>
        </w:rPr>
        <w:t>联合体没有提交</w:t>
      </w:r>
      <w:r>
        <w:rPr>
          <w:rFonts w:hint="eastAsia" w:ascii="宋体" w:hAnsi="宋体"/>
          <w:sz w:val="24"/>
        </w:rPr>
        <w:t>共同谈判</w:t>
      </w:r>
      <w:r>
        <w:rPr>
          <w:rFonts w:ascii="宋体" w:hAnsi="宋体"/>
          <w:sz w:val="24"/>
        </w:rPr>
        <w:t>协议</w:t>
      </w:r>
      <w:r>
        <w:rPr>
          <w:rFonts w:hint="eastAsia" w:ascii="宋体" w:hAnsi="宋体"/>
          <w:sz w:val="24"/>
        </w:rPr>
        <w:t>（如联合体投标）</w:t>
      </w:r>
      <w:r>
        <w:rPr>
          <w:rFonts w:ascii="宋体" w:hAnsi="宋体"/>
          <w:sz w:val="24"/>
        </w:rPr>
        <w:t>；</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3.3投标人不符合国家或者谈判文件规定的资格条件；</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3.4同一投标人提交两个以上不同的响应文件，但谈判文件要求提交备选投标的除外；</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rPr>
        <w:t>谈判</w:t>
      </w:r>
      <w:r>
        <w:rPr>
          <w:rFonts w:ascii="宋体" w:hAnsi="宋体"/>
          <w:sz w:val="24"/>
        </w:rPr>
        <w:t>文件设定的最高投标限价；</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rPr>
        <w:t>谈判</w:t>
      </w:r>
      <w:r>
        <w:rPr>
          <w:rFonts w:ascii="宋体" w:hAnsi="宋体"/>
          <w:sz w:val="24"/>
        </w:rPr>
        <w:t>文件的实质性要求和条件作出响应；</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4评审时，谈判小组将审查响应文件是否符合谈判文件的评审指标要求。</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Ansi="宋体"/>
        </w:rPr>
      </w:pPr>
      <w:r>
        <w:rPr>
          <w:rFonts w:hint="eastAsia" w:ascii="宋体" w:hAnsi="宋体" w:cs="Tahoma"/>
          <w:sz w:val="24"/>
          <w:szCs w:val="24"/>
        </w:rPr>
        <w:t>24.</w:t>
      </w:r>
      <w:r>
        <w:rPr>
          <w:rFonts w:hint="eastAsia" w:ascii="宋体" w:hAnsi="宋体"/>
          <w:sz w:val="24"/>
        </w:rPr>
        <w:t>6谈判小组决定响应文件的响应性及符合性只根据响应文件本身的内容，而不寻求其他外部证据。</w:t>
      </w:r>
    </w:p>
    <w:p>
      <w:pPr>
        <w:spacing w:line="360" w:lineRule="auto"/>
        <w:ind w:firstLine="549"/>
        <w:rPr>
          <w:rFonts w:hAnsi="宋体"/>
          <w:b/>
          <w:bCs/>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Ansi="宋体"/>
        </w:rPr>
      </w:pPr>
      <w:r>
        <w:rPr>
          <w:rFonts w:hint="eastAsia" w:ascii="宋体" w:hAnsi="宋体"/>
          <w:sz w:val="24"/>
        </w:rPr>
        <w:t>在谈判中，符合专业条件的投标人或对谈判文件作实质响应的投标人不足规定家数的，</w:t>
      </w:r>
      <w:r>
        <w:rPr>
          <w:rFonts w:hint="eastAsia" w:ascii="宋体" w:hAnsi="宋体"/>
          <w:sz w:val="24"/>
          <w:szCs w:val="24"/>
        </w:rPr>
        <w:t>谈判小组</w:t>
      </w:r>
      <w:r>
        <w:rPr>
          <w:rFonts w:hint="eastAsia" w:ascii="宋体" w:hAnsi="宋体"/>
          <w:sz w:val="24"/>
        </w:rPr>
        <w:t>有权对谈判项目作流标处理。流标后，流标原因将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Ansi="宋体"/>
          <w:b/>
          <w:bCs/>
        </w:rPr>
      </w:pPr>
      <w:r>
        <w:rPr>
          <w:rFonts w:hint="eastAsia" w:ascii="宋体" w:hAnsi="宋体"/>
          <w:b/>
          <w:bCs/>
          <w:sz w:val="24"/>
        </w:rPr>
        <w:t>26</w:t>
      </w:r>
      <w:r>
        <w:rPr>
          <w:rFonts w:hint="eastAsia" w:ascii="宋体" w:hAnsi="宋体"/>
          <w:b/>
          <w:sz w:val="24"/>
        </w:rPr>
        <w:t>.</w:t>
      </w:r>
      <w:r>
        <w:rPr>
          <w:rFonts w:hint="eastAsia" w:ascii="宋体" w:hAnsi="宋体"/>
          <w:b/>
          <w:bCs/>
          <w:sz w:val="24"/>
        </w:rPr>
        <w:t>重新谈判</w:t>
      </w:r>
    </w:p>
    <w:p>
      <w:pPr>
        <w:spacing w:line="360" w:lineRule="auto"/>
        <w:ind w:firstLine="480" w:firstLineChars="200"/>
        <w:rPr>
          <w:rFonts w:hAnsi="宋体"/>
        </w:rPr>
      </w:pPr>
      <w:r>
        <w:rPr>
          <w:rFonts w:hint="eastAsia" w:ascii="宋体" w:hAnsi="宋体"/>
          <w:sz w:val="24"/>
        </w:rPr>
        <w:t>26.1项目流标后，招标人可能重新发布谈判公告（谈判邀请），进行重新谈判。</w:t>
      </w:r>
    </w:p>
    <w:p>
      <w:pPr>
        <w:spacing w:line="360" w:lineRule="auto"/>
        <w:ind w:firstLine="480" w:firstLineChars="200"/>
        <w:rPr>
          <w:rFonts w:hAnsi="宋体"/>
        </w:rPr>
      </w:pPr>
      <w:r>
        <w:rPr>
          <w:rFonts w:hint="eastAsia" w:ascii="宋体" w:hAnsi="宋体"/>
          <w:sz w:val="24"/>
        </w:rPr>
        <w:t>26.2重新谈判可能调整前次谈判的各项规定及要求，包括招标方式、项目预算、投标人资格、付款方式、谈判需求、谈判与评审办法等。投标人参与重新谈判，应及时获取新的谈判文件，以新的谈判文件为依据，编制响应文件。</w:t>
      </w:r>
    </w:p>
    <w:p>
      <w:pPr>
        <w:pStyle w:val="6"/>
        <w:ind w:firstLine="560"/>
        <w:rPr>
          <w:rFonts w:hAnsi="宋体"/>
        </w:rPr>
      </w:pPr>
      <w:bookmarkStart w:id="55" w:name="_Toc477793061"/>
      <w:bookmarkStart w:id="56" w:name="_Toc460487454"/>
      <w:bookmarkStart w:id="57" w:name="_Toc522466828"/>
      <w:bookmarkStart w:id="58" w:name="_Toc50128754"/>
      <w:r>
        <w:rPr>
          <w:rFonts w:hint="eastAsia" w:hAnsi="宋体"/>
        </w:rPr>
        <w:t>六．定标与签订合同</w:t>
      </w:r>
      <w:bookmarkEnd w:id="55"/>
      <w:bookmarkEnd w:id="56"/>
      <w:bookmarkEnd w:id="57"/>
      <w:bookmarkEnd w:id="58"/>
    </w:p>
    <w:p>
      <w:pPr>
        <w:spacing w:line="360" w:lineRule="auto"/>
        <w:ind w:firstLine="549"/>
        <w:rPr>
          <w:rFonts w:hAnsi="宋体"/>
          <w:b/>
        </w:rPr>
      </w:pPr>
      <w:r>
        <w:rPr>
          <w:rFonts w:hint="eastAsia" w:ascii="宋体" w:hAnsi="宋体"/>
          <w:b/>
          <w:sz w:val="24"/>
        </w:rPr>
        <w:t>27.定标</w:t>
      </w:r>
    </w:p>
    <w:p>
      <w:pPr>
        <w:spacing w:line="360" w:lineRule="auto"/>
        <w:ind w:firstLine="549"/>
        <w:rPr>
          <w:rFonts w:hAnsi="宋体"/>
        </w:rPr>
      </w:pPr>
      <w:r>
        <w:rPr>
          <w:rFonts w:hint="eastAsia" w:ascii="宋体" w:hAnsi="宋体"/>
          <w:sz w:val="24"/>
        </w:rPr>
        <w:t>27</w:t>
      </w:r>
      <w:r>
        <w:rPr>
          <w:rFonts w:ascii="宋体" w:hAnsi="宋体"/>
          <w:sz w:val="24"/>
        </w:rPr>
        <w:t>.</w:t>
      </w:r>
      <w:r>
        <w:rPr>
          <w:rFonts w:hint="eastAsia" w:ascii="宋体" w:hAnsi="宋体"/>
          <w:sz w:val="24"/>
        </w:rPr>
        <w:t>1谈判小组应当按谈判文件规定的标准和方法提出独立评审意见，推荐中标候选人。</w:t>
      </w:r>
    </w:p>
    <w:p>
      <w:pPr>
        <w:spacing w:line="360" w:lineRule="auto"/>
        <w:ind w:firstLine="549"/>
        <w:rPr>
          <w:rFonts w:hAnsi="宋体"/>
        </w:rPr>
      </w:pPr>
      <w:r>
        <w:rPr>
          <w:rFonts w:hint="eastAsia" w:ascii="宋体" w:hAnsi="宋体"/>
          <w:sz w:val="24"/>
        </w:rPr>
        <w:t>第一中标候选人放弃中标、因不可抗力不能履行合同、不按照谈判文件要求提交履约保证金，或者被查实存在影响中标结果的违法行为等情形，不符合中标条件的，招标人可以按照谈判小组提出的中标候选人名单排序依次确定其他中标候选人为中标人，也可以重新招标。</w:t>
      </w:r>
    </w:p>
    <w:p>
      <w:pPr>
        <w:spacing w:line="360" w:lineRule="auto"/>
        <w:ind w:firstLine="549"/>
        <w:rPr>
          <w:rFonts w:hAnsi="宋体"/>
        </w:rPr>
      </w:pPr>
      <w:r>
        <w:rPr>
          <w:rFonts w:hint="eastAsia" w:ascii="宋体" w:hAnsi="宋体"/>
          <w:sz w:val="24"/>
        </w:rPr>
        <w:t>27.3原则上把合同授予实质上响应谈判文件要求的排名最前的中标候选人。</w:t>
      </w:r>
    </w:p>
    <w:p>
      <w:pPr>
        <w:spacing w:line="360" w:lineRule="auto"/>
        <w:ind w:firstLine="549"/>
        <w:rPr>
          <w:rFonts w:hAnsi="宋体"/>
        </w:rPr>
      </w:pPr>
      <w:r>
        <w:rPr>
          <w:rFonts w:hint="eastAsia" w:ascii="宋体" w:hAnsi="宋体"/>
          <w:sz w:val="24"/>
        </w:rPr>
        <w:t>27.4 最低报价并不是被授予合同的保证。</w:t>
      </w:r>
    </w:p>
    <w:p>
      <w:pPr>
        <w:spacing w:line="360" w:lineRule="auto"/>
        <w:ind w:firstLine="549"/>
        <w:rPr>
          <w:rFonts w:hAnsi="宋体"/>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Ansi="宋体"/>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Ansi="宋体"/>
        </w:rPr>
      </w:pPr>
      <w:r>
        <w:rPr>
          <w:rFonts w:hint="eastAsia" w:ascii="宋体" w:hAnsi="宋体"/>
          <w:sz w:val="24"/>
        </w:rPr>
        <w:t>27.5.1.1投标人之间协商投标报价等响应文件的实质性内容；</w:t>
      </w:r>
    </w:p>
    <w:p>
      <w:pPr>
        <w:spacing w:line="360" w:lineRule="auto"/>
        <w:ind w:left="549"/>
        <w:rPr>
          <w:rFonts w:hAnsi="宋体"/>
        </w:rPr>
      </w:pPr>
      <w:r>
        <w:rPr>
          <w:rFonts w:hint="eastAsia" w:ascii="宋体" w:hAnsi="宋体"/>
          <w:sz w:val="24"/>
        </w:rPr>
        <w:t>27.5.1.2投标人之间约定中标人；</w:t>
      </w:r>
    </w:p>
    <w:p>
      <w:pPr>
        <w:spacing w:line="360" w:lineRule="auto"/>
        <w:ind w:left="549"/>
        <w:rPr>
          <w:rFonts w:hAnsi="宋体"/>
        </w:rPr>
      </w:pPr>
      <w:r>
        <w:rPr>
          <w:rFonts w:hint="eastAsia" w:ascii="宋体" w:hAnsi="宋体"/>
          <w:sz w:val="24"/>
        </w:rPr>
        <w:t>27.5.1.3投标人之间约定部分投标人放弃投标或者中标；</w:t>
      </w:r>
    </w:p>
    <w:p>
      <w:pPr>
        <w:spacing w:line="360" w:lineRule="auto"/>
        <w:ind w:left="549"/>
        <w:rPr>
          <w:rFonts w:hAnsi="宋体"/>
        </w:rPr>
      </w:pPr>
      <w:r>
        <w:rPr>
          <w:rFonts w:hint="eastAsia" w:ascii="宋体" w:hAnsi="宋体"/>
          <w:sz w:val="24"/>
        </w:rPr>
        <w:t>27.5.1.4属于同一集团、协会、商会等组织成员的投标人按照该组织要求协同投标；</w:t>
      </w:r>
    </w:p>
    <w:p>
      <w:pPr>
        <w:spacing w:line="360" w:lineRule="auto"/>
        <w:ind w:left="549"/>
        <w:rPr>
          <w:rFonts w:hAnsi="宋体"/>
        </w:rPr>
      </w:pPr>
      <w:r>
        <w:rPr>
          <w:rFonts w:hint="eastAsia" w:ascii="宋体" w:hAnsi="宋体"/>
          <w:sz w:val="24"/>
        </w:rPr>
        <w:t>27.5.1.5投标人之间为谋取中标或者排斥特定投标人而采取的其他联合行动。</w:t>
      </w:r>
    </w:p>
    <w:p>
      <w:pPr>
        <w:spacing w:line="360" w:lineRule="auto"/>
        <w:ind w:left="549"/>
        <w:rPr>
          <w:rFonts w:hAnsi="宋体"/>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Ansi="宋体"/>
        </w:rPr>
      </w:pPr>
      <w:r>
        <w:rPr>
          <w:rFonts w:hint="eastAsia" w:ascii="宋体" w:hAnsi="宋体"/>
          <w:sz w:val="24"/>
        </w:rPr>
        <w:t>27.5.2.1不同投标人的响应文件由同一单位或者个人编制；</w:t>
      </w:r>
    </w:p>
    <w:p>
      <w:pPr>
        <w:spacing w:line="360" w:lineRule="auto"/>
        <w:ind w:left="549"/>
        <w:rPr>
          <w:rFonts w:hAnsi="宋体"/>
        </w:rPr>
      </w:pPr>
      <w:r>
        <w:rPr>
          <w:rFonts w:hint="eastAsia" w:ascii="宋体" w:hAnsi="宋体"/>
          <w:sz w:val="24"/>
        </w:rPr>
        <w:t>27.5.2.2不同投标人委托同一单位或者个人办理投标事宜；</w:t>
      </w:r>
    </w:p>
    <w:p>
      <w:pPr>
        <w:spacing w:line="360" w:lineRule="auto"/>
        <w:ind w:left="549"/>
        <w:rPr>
          <w:rFonts w:hAnsi="宋体"/>
        </w:rPr>
      </w:pPr>
      <w:r>
        <w:rPr>
          <w:rFonts w:hint="eastAsia" w:ascii="宋体" w:hAnsi="宋体"/>
          <w:sz w:val="24"/>
        </w:rPr>
        <w:t>27.5.2.3不同投标人的响应文件载明的项目管理成员为同一人；</w:t>
      </w:r>
    </w:p>
    <w:p>
      <w:pPr>
        <w:spacing w:line="360" w:lineRule="auto"/>
        <w:ind w:left="549"/>
        <w:rPr>
          <w:rFonts w:hAnsi="宋体"/>
        </w:rPr>
      </w:pPr>
      <w:r>
        <w:rPr>
          <w:rFonts w:hint="eastAsia" w:ascii="宋体" w:hAnsi="宋体"/>
          <w:sz w:val="24"/>
        </w:rPr>
        <w:t>27.5.2.4不同投标人的响应文件异常一致或者投标报价呈规律性差异；</w:t>
      </w:r>
    </w:p>
    <w:p>
      <w:pPr>
        <w:spacing w:line="360" w:lineRule="auto"/>
        <w:ind w:left="549"/>
        <w:rPr>
          <w:rFonts w:hAnsi="宋体"/>
        </w:rPr>
      </w:pPr>
      <w:r>
        <w:rPr>
          <w:rFonts w:hint="eastAsia" w:ascii="宋体" w:hAnsi="宋体"/>
          <w:sz w:val="24"/>
        </w:rPr>
        <w:t>27.5.2.5不同投标人的响应文件相互混装；</w:t>
      </w:r>
    </w:p>
    <w:p>
      <w:pPr>
        <w:spacing w:line="360" w:lineRule="auto"/>
        <w:ind w:left="549"/>
        <w:rPr>
          <w:rFonts w:hAnsi="宋体"/>
        </w:rPr>
      </w:pPr>
      <w:r>
        <w:rPr>
          <w:rFonts w:hint="eastAsia" w:ascii="宋体" w:hAnsi="宋体"/>
          <w:sz w:val="24"/>
        </w:rPr>
        <w:t>27.5.2.6不同投标人的投标保证金从同一单位或者个人的账户转出。</w:t>
      </w:r>
    </w:p>
    <w:p>
      <w:pPr>
        <w:spacing w:line="360" w:lineRule="auto"/>
        <w:ind w:left="549"/>
        <w:rPr>
          <w:rFonts w:hAnsi="宋体"/>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Ansi="宋体"/>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Ansi="宋体"/>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招标人直接或者间接向投标人泄露标底、谈判小组成员等信息；</w:t>
      </w:r>
    </w:p>
    <w:p>
      <w:pPr>
        <w:spacing w:line="360" w:lineRule="auto"/>
        <w:ind w:left="549"/>
        <w:rPr>
          <w:rFonts w:hAnsi="宋体"/>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Ansi="宋体"/>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Ansi="宋体"/>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Ansi="宋体"/>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Ansi="宋体"/>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Ansi="宋体"/>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Ansi="宋体"/>
        </w:rPr>
      </w:pPr>
      <w:r>
        <w:rPr>
          <w:rFonts w:hint="eastAsia" w:ascii="宋体" w:hAnsi="宋体"/>
          <w:sz w:val="24"/>
        </w:rPr>
        <w:t>27.5.5.1使用伪造、变造的许可证件；</w:t>
      </w:r>
    </w:p>
    <w:p>
      <w:pPr>
        <w:spacing w:line="360" w:lineRule="auto"/>
        <w:ind w:left="549"/>
        <w:rPr>
          <w:rFonts w:hAnsi="宋体"/>
        </w:rPr>
      </w:pPr>
      <w:r>
        <w:rPr>
          <w:rFonts w:hint="eastAsia" w:ascii="宋体" w:hAnsi="宋体"/>
          <w:sz w:val="24"/>
        </w:rPr>
        <w:t>27.5.5.2提供虚假的财务状况或者业绩；</w:t>
      </w:r>
    </w:p>
    <w:p>
      <w:pPr>
        <w:spacing w:line="360" w:lineRule="auto"/>
        <w:ind w:left="549"/>
        <w:rPr>
          <w:rFonts w:hAnsi="宋体"/>
        </w:rPr>
      </w:pPr>
      <w:r>
        <w:rPr>
          <w:rFonts w:hint="eastAsia" w:ascii="宋体" w:hAnsi="宋体"/>
          <w:sz w:val="24"/>
        </w:rPr>
        <w:t>27.5.5.3提供虚假的项目负责人或者主要技术人员简历、劳动关系证明；</w:t>
      </w:r>
    </w:p>
    <w:p>
      <w:pPr>
        <w:spacing w:line="360" w:lineRule="auto"/>
        <w:ind w:left="549"/>
        <w:rPr>
          <w:rFonts w:hAnsi="宋体"/>
        </w:rPr>
      </w:pPr>
      <w:r>
        <w:rPr>
          <w:rFonts w:hint="eastAsia" w:ascii="宋体" w:hAnsi="宋体"/>
          <w:sz w:val="24"/>
        </w:rPr>
        <w:t>27.5.5.4提供虚假的信用状况；</w:t>
      </w:r>
    </w:p>
    <w:p>
      <w:pPr>
        <w:spacing w:line="360" w:lineRule="auto"/>
        <w:ind w:left="549"/>
        <w:rPr>
          <w:rFonts w:hAnsi="宋体"/>
        </w:rPr>
      </w:pPr>
      <w:r>
        <w:rPr>
          <w:rFonts w:hint="eastAsia" w:ascii="宋体" w:hAnsi="宋体"/>
          <w:sz w:val="24"/>
        </w:rPr>
        <w:t>27.5.5.5其他弄虚作假的行为。</w:t>
      </w:r>
    </w:p>
    <w:p>
      <w:pPr>
        <w:spacing w:line="360" w:lineRule="auto"/>
        <w:ind w:left="549"/>
        <w:rPr>
          <w:rFonts w:hAnsi="宋体"/>
        </w:rPr>
      </w:pPr>
      <w:r>
        <w:rPr>
          <w:rFonts w:hint="eastAsia" w:ascii="宋体" w:hAnsi="宋体"/>
          <w:sz w:val="24"/>
        </w:rPr>
        <w:t>27.5.6其他违反招投标法律、法规和规章强制性规定的行为。</w:t>
      </w:r>
    </w:p>
    <w:p>
      <w:pPr>
        <w:spacing w:line="360" w:lineRule="auto"/>
        <w:ind w:firstLine="549"/>
        <w:rPr>
          <w:rFonts w:hAnsi="宋体"/>
        </w:rPr>
      </w:pPr>
      <w:r>
        <w:rPr>
          <w:rFonts w:hint="eastAsia" w:ascii="宋体" w:hAnsi="宋体"/>
          <w:sz w:val="24"/>
        </w:rPr>
        <w:t>27.6 定标前，招标人对中标候选人进行约谈（如须）。约谈包括诚信承诺、履约承诺以及原件核查等内容。</w:t>
      </w:r>
    </w:p>
    <w:p>
      <w:pPr>
        <w:spacing w:line="360" w:lineRule="auto"/>
        <w:ind w:firstLine="549"/>
        <w:rPr>
          <w:rFonts w:hAnsi="宋体"/>
        </w:rPr>
      </w:pPr>
      <w:r>
        <w:rPr>
          <w:rFonts w:hint="eastAsia" w:ascii="宋体" w:hAnsi="宋体"/>
          <w:sz w:val="24"/>
        </w:rPr>
        <w:t>27.7评审结果及中标人信息将</w:t>
      </w:r>
      <w:r>
        <w:rPr>
          <w:rFonts w:hint="eastAsia" w:ascii="宋体" w:hAnsi="宋体"/>
          <w:bCs/>
          <w:sz w:val="24"/>
        </w:rPr>
        <w:t>在网上公</w:t>
      </w:r>
      <w:r>
        <w:rPr>
          <w:rFonts w:hint="eastAsia" w:ascii="宋体" w:hAnsi="宋体"/>
          <w:sz w:val="24"/>
        </w:rPr>
        <w:t>示，公示期不少于3日，期满无异议评审结果自动转为中标结果。</w:t>
      </w:r>
    </w:p>
    <w:p>
      <w:pPr>
        <w:spacing w:line="360" w:lineRule="auto"/>
        <w:ind w:firstLine="549"/>
        <w:rPr>
          <w:rFonts w:hAnsi="宋体"/>
          <w:b/>
        </w:rPr>
      </w:pPr>
      <w:r>
        <w:rPr>
          <w:rFonts w:hint="eastAsia" w:ascii="宋体" w:hAnsi="宋体"/>
          <w:b/>
          <w:sz w:val="24"/>
        </w:rPr>
        <w:t>28.中标通知书</w:t>
      </w:r>
    </w:p>
    <w:p>
      <w:pPr>
        <w:pStyle w:val="43"/>
        <w:snapToGrid w:val="0"/>
        <w:ind w:left="707" w:leftChars="228" w:hanging="228" w:hangingChars="95"/>
      </w:pPr>
      <w:r>
        <w:rPr>
          <w:rFonts w:hint="eastAsia"/>
        </w:rPr>
        <w:t>28</w:t>
      </w:r>
      <w:r>
        <w:t>.1</w:t>
      </w:r>
      <w:r>
        <w:rPr>
          <w:rFonts w:hint="eastAsia"/>
        </w:rPr>
        <w:t>招标人将以中标通知书形式通知中标人，其投标已被接受。</w:t>
      </w:r>
    </w:p>
    <w:p>
      <w:pPr>
        <w:pStyle w:val="43"/>
        <w:snapToGrid w:val="0"/>
        <w:ind w:left="707"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ascii="宋体" w:hAnsi="宋体"/>
          <w:kern w:val="0"/>
          <w:sz w:val="24"/>
        </w:rPr>
        <w:t>28.3中</w:t>
      </w:r>
      <w:r>
        <w:rPr>
          <w:rFonts w:hint="eastAsia" w:ascii="宋体" w:hAnsi="宋体"/>
          <w:sz w:val="24"/>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ascii="宋体" w:hAnsi="宋体"/>
          <w:b/>
          <w:sz w:val="24"/>
          <w:szCs w:val="24"/>
        </w:rPr>
        <w:t>30.履约保证金</w:t>
      </w:r>
    </w:p>
    <w:p>
      <w:pPr>
        <w:spacing w:line="360" w:lineRule="auto"/>
        <w:ind w:firstLine="549"/>
        <w:rPr>
          <w:rFonts w:hAnsi="宋体"/>
          <w:dstrike/>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Ansi="宋体"/>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如果中标人未按规定交纳履约保证金的，视为放弃中标，其谈判保证金不予退还，给招标人造成的损失超过谈判保证金数额的，中标人还应当对超过部分予以赔偿。在此情况下招标人可以按照</w:t>
      </w:r>
      <w:r>
        <w:rPr>
          <w:rFonts w:hint="eastAsia" w:ascii="宋体" w:hAnsi="宋体"/>
          <w:kern w:val="0"/>
          <w:sz w:val="24"/>
        </w:rPr>
        <w:t>谈判小组</w:t>
      </w:r>
      <w:r>
        <w:rPr>
          <w:rFonts w:hint="eastAsia" w:ascii="宋体" w:hAnsi="宋体"/>
          <w:sz w:val="24"/>
        </w:rPr>
        <w:t>提出的中标候选人名单排序依次确定其他中标候选人为中标人，也可以重新招标。</w:t>
      </w:r>
    </w:p>
    <w:p>
      <w:pPr>
        <w:spacing w:line="360" w:lineRule="auto"/>
        <w:ind w:firstLine="549"/>
        <w:rPr>
          <w:rFonts w:hAnsi="宋体"/>
          <w:b/>
          <w:szCs w:val="24"/>
        </w:rPr>
      </w:pPr>
      <w:r>
        <w:rPr>
          <w:rFonts w:hint="eastAsia" w:ascii="宋体" w:hAnsi="宋体"/>
          <w:b/>
          <w:sz w:val="24"/>
          <w:szCs w:val="24"/>
        </w:rPr>
        <w:t>31.签订合同</w:t>
      </w:r>
    </w:p>
    <w:p>
      <w:pPr>
        <w:spacing w:line="360" w:lineRule="auto"/>
        <w:ind w:firstLine="549"/>
        <w:rPr>
          <w:rFonts w:hAnsi="宋体"/>
          <w:szCs w:val="24"/>
        </w:rPr>
      </w:pPr>
      <w:r>
        <w:rPr>
          <w:rFonts w:hint="eastAsia" w:ascii="宋体" w:hAnsi="宋体"/>
          <w:sz w:val="24"/>
          <w:szCs w:val="24"/>
        </w:rPr>
        <w:t>31.1中标人应在中标通知书发出之日起三十日内（具体时间、地点见中标通知书）与招标人签订合同。谈判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ascii="宋体" w:hAnsi="宋体"/>
          <w:sz w:val="24"/>
          <w:szCs w:val="24"/>
        </w:rPr>
        <w:t>32.2 招标双方必须严格按照谈判文件、响应文件及有关承诺签订合同，不得擅自变更。合同的标的、价款、质量、履行期限等主要条款应当与谈判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ascii="宋体" w:hAnsi="宋体"/>
          <w:sz w:val="24"/>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Ansi="宋体"/>
          <w:bCs/>
        </w:rPr>
      </w:pPr>
      <w:r>
        <w:rPr>
          <w:rFonts w:hint="eastAsia" w:ascii="宋体" w:hAnsi="宋体"/>
          <w:b/>
          <w:bCs/>
          <w:sz w:val="24"/>
          <w:szCs w:val="24"/>
        </w:rPr>
        <w:t>32</w:t>
      </w:r>
      <w:r>
        <w:rPr>
          <w:rFonts w:hint="eastAsia" w:ascii="宋体" w:hAnsi="宋体"/>
          <w:bCs/>
          <w:sz w:val="24"/>
        </w:rPr>
        <w:t>.1若投标人对评审结果有异议，可在中标公示期内以书面形式在工作时间向招标人提出。</w:t>
      </w:r>
    </w:p>
    <w:p>
      <w:pPr>
        <w:spacing w:line="360" w:lineRule="auto"/>
        <w:ind w:firstLine="525" w:firstLineChars="218"/>
        <w:rPr>
          <w:rFonts w:hAnsi="宋体"/>
          <w:bCs/>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Ansi="宋体"/>
          <w:bCs/>
        </w:rPr>
      </w:pPr>
      <w:r>
        <w:rPr>
          <w:rFonts w:hint="eastAsia" w:ascii="宋体" w:hAnsi="宋体"/>
          <w:bCs/>
          <w:sz w:val="24"/>
        </w:rPr>
        <w:t>32.2.1异议人的名称、地址、有效联系方式；</w:t>
      </w:r>
    </w:p>
    <w:p>
      <w:pPr>
        <w:spacing w:line="360" w:lineRule="auto"/>
        <w:ind w:firstLine="523" w:firstLineChars="218"/>
        <w:rPr>
          <w:rFonts w:hAnsi="宋体"/>
          <w:bCs/>
        </w:rPr>
      </w:pPr>
      <w:r>
        <w:rPr>
          <w:rFonts w:hint="eastAsia" w:ascii="宋体" w:hAnsi="宋体"/>
          <w:bCs/>
          <w:sz w:val="24"/>
        </w:rPr>
        <w:t>32.2.2项目名称、项目编号、标段号（如有）；</w:t>
      </w:r>
    </w:p>
    <w:p>
      <w:pPr>
        <w:spacing w:line="360" w:lineRule="auto"/>
        <w:ind w:firstLine="523" w:firstLineChars="218"/>
        <w:rPr>
          <w:rFonts w:hAnsi="宋体"/>
          <w:bCs/>
        </w:rPr>
      </w:pPr>
      <w:r>
        <w:rPr>
          <w:rFonts w:hint="eastAsia" w:ascii="宋体" w:hAnsi="宋体"/>
          <w:bCs/>
          <w:sz w:val="24"/>
        </w:rPr>
        <w:t>32.2.3被异议人名称；</w:t>
      </w:r>
    </w:p>
    <w:p>
      <w:pPr>
        <w:spacing w:line="360" w:lineRule="auto"/>
        <w:ind w:firstLine="523" w:firstLineChars="218"/>
        <w:rPr>
          <w:rFonts w:hAnsi="宋体"/>
          <w:bCs/>
        </w:rPr>
      </w:pPr>
      <w:r>
        <w:rPr>
          <w:rFonts w:hint="eastAsia" w:ascii="宋体" w:hAnsi="宋体"/>
          <w:bCs/>
          <w:sz w:val="24"/>
        </w:rPr>
        <w:t>32.2.4具体的异议事项、基本事实及必要的证明材料；</w:t>
      </w:r>
    </w:p>
    <w:p>
      <w:pPr>
        <w:spacing w:line="360" w:lineRule="auto"/>
        <w:ind w:firstLine="523" w:firstLineChars="218"/>
        <w:rPr>
          <w:rFonts w:hAnsi="宋体"/>
          <w:bCs/>
        </w:rPr>
      </w:pPr>
      <w:r>
        <w:rPr>
          <w:rFonts w:hint="eastAsia" w:ascii="宋体" w:hAnsi="宋体"/>
          <w:bCs/>
          <w:sz w:val="24"/>
        </w:rPr>
        <w:t>32.2.5明确的请求及主张；</w:t>
      </w:r>
    </w:p>
    <w:p>
      <w:pPr>
        <w:spacing w:line="360" w:lineRule="auto"/>
        <w:ind w:firstLine="523" w:firstLineChars="218"/>
        <w:rPr>
          <w:rFonts w:hAnsi="宋体"/>
          <w:bCs/>
        </w:rPr>
      </w:pPr>
      <w:r>
        <w:rPr>
          <w:rFonts w:hint="eastAsia" w:ascii="宋体" w:hAnsi="宋体"/>
          <w:bCs/>
          <w:sz w:val="24"/>
        </w:rPr>
        <w:t>32.2.6提起异议的日期。</w:t>
      </w:r>
    </w:p>
    <w:p>
      <w:pPr>
        <w:spacing w:line="360" w:lineRule="auto"/>
        <w:ind w:firstLine="523" w:firstLineChars="218"/>
        <w:rPr>
          <w:rFonts w:hAnsi="宋体"/>
          <w:bCs/>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ascii="宋体" w:hAnsi="宋体"/>
          <w:bCs/>
          <w:sz w:val="24"/>
        </w:rPr>
        <w:t>异议人需要修改、补充异议材料的，应当在异议期内提交修改或补充材料。</w:t>
      </w:r>
    </w:p>
    <w:p>
      <w:pPr>
        <w:spacing w:line="360" w:lineRule="auto"/>
        <w:ind w:firstLine="549"/>
        <w:rPr>
          <w:rFonts w:hAnsi="宋体"/>
          <w:b/>
        </w:rPr>
      </w:pPr>
      <w:r>
        <w:rPr>
          <w:rFonts w:hint="eastAsia" w:ascii="宋体" w:hAnsi="宋体"/>
          <w:b/>
          <w:sz w:val="24"/>
        </w:rPr>
        <w:t>34.未尽事宜</w:t>
      </w:r>
    </w:p>
    <w:p>
      <w:pPr>
        <w:spacing w:line="360" w:lineRule="auto"/>
        <w:ind w:firstLine="549"/>
        <w:rPr>
          <w:rFonts w:hAnsi="宋体"/>
        </w:rPr>
      </w:pPr>
      <w:r>
        <w:rPr>
          <w:rFonts w:hint="eastAsia" w:ascii="宋体" w:hAnsi="宋体"/>
          <w:sz w:val="24"/>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ascii="宋体" w:hAnsi="宋体"/>
          <w:b/>
          <w:sz w:val="24"/>
        </w:rPr>
        <w:t>35.解释权</w:t>
      </w:r>
    </w:p>
    <w:p>
      <w:pPr>
        <w:pStyle w:val="3"/>
        <w:jc w:val="left"/>
        <w:rPr>
          <w:rFonts w:hAnsi="宋体"/>
          <w:b w:val="0"/>
          <w:bCs/>
          <w:kern w:val="0"/>
          <w:sz w:val="24"/>
          <w:szCs w:val="20"/>
        </w:rPr>
      </w:pPr>
      <w:bookmarkStart w:id="59" w:name="_Toc8751"/>
      <w:r>
        <w:rPr>
          <w:rFonts w:hint="eastAsia" w:ascii="宋体" w:hAnsi="宋体"/>
          <w:b w:val="0"/>
          <w:kern w:val="0"/>
          <w:sz w:val="24"/>
          <w:szCs w:val="20"/>
        </w:rPr>
        <w:t>本谈判文件的解释权属于招标人。</w:t>
      </w:r>
      <w:bookmarkEnd w:id="59"/>
    </w:p>
    <w:p>
      <w:pPr>
        <w:pStyle w:val="3"/>
        <w:jc w:val="center"/>
      </w:pPr>
      <w:r>
        <w:rPr>
          <w:rFonts w:hint="eastAsia" w:ascii="宋体" w:hAnsi="Times New Roman"/>
          <w:bCs/>
        </w:rPr>
        <w:br w:type="page"/>
      </w:r>
      <w:bookmarkStart w:id="60" w:name="_Toc1439"/>
      <w:r>
        <w:rPr>
          <w:rFonts w:hint="eastAsia" w:ascii="宋体" w:hAnsi="Times New Roman"/>
          <w:bCs/>
        </w:rPr>
        <w:t>第三章 招标</w:t>
      </w:r>
      <w:r>
        <w:rPr>
          <w:rFonts w:hint="eastAsia"/>
        </w:rPr>
        <w:t>需求</w:t>
      </w:r>
      <w:bookmarkEnd w:id="60"/>
    </w:p>
    <w:p>
      <w:pPr>
        <w:widowControl/>
        <w:spacing w:line="360" w:lineRule="auto"/>
        <w:ind w:firstLine="482" w:firstLineChars="200"/>
        <w:rPr>
          <w:rFonts w:hAnsi="宋体" w:cs="宋体"/>
          <w:b/>
        </w:rPr>
      </w:pPr>
      <w:r>
        <w:rPr>
          <w:rFonts w:hint="eastAsia" w:ascii="宋体" w:hAnsi="宋体" w:cs="宋体"/>
          <w:b/>
          <w:sz w:val="24"/>
        </w:rPr>
        <w:t>一、项目名称</w:t>
      </w:r>
    </w:p>
    <w:p>
      <w:pPr>
        <w:widowControl/>
        <w:tabs>
          <w:tab w:val="left" w:pos="6720"/>
        </w:tabs>
        <w:spacing w:line="360" w:lineRule="auto"/>
        <w:ind w:left="480"/>
        <w:rPr>
          <w:rFonts w:hAnsi="宋体" w:cs="宋体"/>
          <w:b/>
        </w:rPr>
      </w:pPr>
      <w:r>
        <w:rPr>
          <w:rFonts w:hint="eastAsia" w:ascii="宋体" w:hAnsi="宋体" w:cs="宋体"/>
          <w:bCs/>
          <w:sz w:val="24"/>
        </w:rPr>
        <w:t>新安商城巷小吃街供电线路改造工程</w:t>
      </w:r>
    </w:p>
    <w:p>
      <w:pPr>
        <w:widowControl/>
        <w:numPr>
          <w:ilvl w:val="0"/>
          <w:numId w:val="2"/>
        </w:numPr>
        <w:tabs>
          <w:tab w:val="left" w:pos="6720"/>
        </w:tabs>
        <w:spacing w:line="360" w:lineRule="auto"/>
        <w:ind w:firstLine="482" w:firstLineChars="200"/>
        <w:rPr>
          <w:rFonts w:hAnsi="宋体" w:cs="宋体"/>
          <w:b/>
        </w:rPr>
      </w:pPr>
      <w:r>
        <w:rPr>
          <w:rFonts w:hint="eastAsia" w:ascii="宋体" w:hAnsi="宋体" w:cs="宋体"/>
          <w:b/>
          <w:sz w:val="24"/>
        </w:rPr>
        <w:t>基本情况</w:t>
      </w:r>
    </w:p>
    <w:p>
      <w:pPr>
        <w:pStyle w:val="36"/>
        <w:ind w:left="0" w:leftChars="0" w:firstLine="480"/>
        <w:rPr>
          <w:rFonts w:cs="宋体"/>
        </w:rPr>
      </w:pPr>
      <w:r>
        <w:rPr>
          <w:rFonts w:hint="eastAsia" w:cs="宋体"/>
          <w:kern w:val="0"/>
          <w:sz w:val="24"/>
        </w:rPr>
        <w:t>新安商城巷小吃街因经营需要，对街巷内24个亭铺进行供电线路铺设及设施设备安装。</w:t>
      </w:r>
    </w:p>
    <w:p>
      <w:pPr>
        <w:pStyle w:val="36"/>
        <w:ind w:left="0" w:leftChars="0"/>
        <w:rPr>
          <w:rFonts w:cs="宋体"/>
        </w:rPr>
      </w:pPr>
      <w:r>
        <w:rPr>
          <w:rFonts w:hint="eastAsia" w:cs="宋体"/>
        </w:rPr>
        <w:drawing>
          <wp:inline distT="0" distB="0" distL="114300" distR="114300">
            <wp:extent cx="5394960" cy="4047490"/>
            <wp:effectExtent l="0" t="0" r="15240" b="10160"/>
            <wp:docPr id="14" name="图片 1" descr="e6660dbd92f122763f878a045b0cd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e6660dbd92f122763f878a045b0cd4e"/>
                    <pic:cNvPicPr>
                      <a:picLocks noChangeAspect="1"/>
                    </pic:cNvPicPr>
                  </pic:nvPicPr>
                  <pic:blipFill>
                    <a:blip r:embed="rId9" cstate="print"/>
                    <a:stretch>
                      <a:fillRect/>
                    </a:stretch>
                  </pic:blipFill>
                  <pic:spPr>
                    <a:xfrm>
                      <a:off x="0" y="0"/>
                      <a:ext cx="5394960" cy="4047490"/>
                    </a:xfrm>
                    <a:prstGeom prst="rect">
                      <a:avLst/>
                    </a:prstGeom>
                  </pic:spPr>
                </pic:pic>
              </a:graphicData>
            </a:graphic>
          </wp:inline>
        </w:drawing>
      </w:r>
    </w:p>
    <w:p>
      <w:pPr>
        <w:widowControl/>
        <w:spacing w:line="360" w:lineRule="auto"/>
        <w:ind w:firstLine="482" w:firstLineChars="200"/>
        <w:rPr>
          <w:rFonts w:hAnsi="宋体" w:cs="宋体"/>
          <w:bCs/>
        </w:rPr>
      </w:pPr>
      <w:r>
        <w:rPr>
          <w:rFonts w:hint="eastAsia" w:ascii="宋体" w:hAnsi="宋体" w:cs="宋体"/>
          <w:b/>
          <w:sz w:val="24"/>
        </w:rPr>
        <w:t>三、项目预算：</w:t>
      </w:r>
      <w:r>
        <w:rPr>
          <w:rFonts w:hint="eastAsia" w:ascii="宋体" w:hAnsi="宋体" w:cs="宋体"/>
          <w:bCs/>
          <w:sz w:val="24"/>
        </w:rPr>
        <w:t>15.06万</w:t>
      </w:r>
    </w:p>
    <w:p>
      <w:pPr>
        <w:widowControl/>
        <w:spacing w:line="360" w:lineRule="auto"/>
        <w:ind w:firstLine="482" w:firstLineChars="200"/>
        <w:rPr>
          <w:rFonts w:hAnsi="宋体" w:cs="宋体"/>
          <w:b/>
        </w:rPr>
      </w:pPr>
      <w:r>
        <w:rPr>
          <w:rFonts w:hint="eastAsia" w:ascii="宋体" w:hAnsi="宋体" w:cs="宋体"/>
          <w:b/>
          <w:sz w:val="24"/>
        </w:rPr>
        <w:t>四、项目工期、质量要求及质保期</w:t>
      </w:r>
    </w:p>
    <w:p>
      <w:pPr>
        <w:pStyle w:val="36"/>
        <w:ind w:left="0" w:leftChars="0" w:firstLine="480"/>
        <w:rPr>
          <w:rFonts w:cs="宋体"/>
          <w:lang w:val="zh-CN"/>
        </w:rPr>
      </w:pPr>
      <w:r>
        <w:rPr>
          <w:rFonts w:hint="eastAsia" w:cs="宋体"/>
          <w:kern w:val="0"/>
          <w:sz w:val="24"/>
          <w:lang w:val="zh-CN"/>
        </w:rPr>
        <w:t>工期：工程期为合同签订后，在接到入场通知15个日历天完成所有施工任务并验收合格，质保期为两年</w:t>
      </w:r>
      <w:r>
        <w:rPr>
          <w:rFonts w:hint="eastAsia" w:cs="宋体"/>
          <w:kern w:val="0"/>
          <w:sz w:val="24"/>
        </w:rPr>
        <w:t>。</w:t>
      </w:r>
    </w:p>
    <w:p>
      <w:pPr>
        <w:pStyle w:val="36"/>
        <w:ind w:left="0" w:leftChars="0" w:firstLine="480"/>
        <w:rPr>
          <w:rFonts w:cs="宋体"/>
        </w:rPr>
      </w:pPr>
      <w:r>
        <w:rPr>
          <w:rFonts w:hint="eastAsia" w:cs="宋体"/>
          <w:kern w:val="0"/>
          <w:sz w:val="24"/>
          <w:lang w:val="zh-CN"/>
        </w:rPr>
        <w:t>质量要求：合格标准，满足国家行业规范及供电部门要求。</w:t>
      </w:r>
      <w:r>
        <w:rPr>
          <w:rFonts w:hint="eastAsia" w:cs="宋体"/>
          <w:kern w:val="0"/>
          <w:sz w:val="24"/>
        </w:rPr>
        <w:t>本清单范围内的电缆、管线等主材应为国标产品。一切质量要求均符合现行国家有关工程施工验收规范和标准，及省市相关标准，没有国家及省市相关标准执行行业标准。因中标人原因造成的一切质量问题，一切后果由中标人承担。</w:t>
      </w:r>
    </w:p>
    <w:p>
      <w:pPr>
        <w:pStyle w:val="18"/>
        <w:rPr>
          <w:lang w:val="zh-CN"/>
        </w:rPr>
      </w:pPr>
    </w:p>
    <w:p>
      <w:pPr>
        <w:pStyle w:val="36"/>
        <w:ind w:left="0" w:leftChars="0" w:firstLine="480"/>
        <w:rPr>
          <w:rFonts w:cs="宋体"/>
          <w:lang w:val="zh-CN"/>
        </w:rPr>
      </w:pPr>
      <w:r>
        <w:rPr>
          <w:rFonts w:hint="eastAsia" w:cs="宋体"/>
          <w:kern w:val="0"/>
          <w:sz w:val="24"/>
          <w:lang w:val="zh-CN"/>
        </w:rPr>
        <w:t>质保期：两年。</w:t>
      </w:r>
    </w:p>
    <w:p>
      <w:pPr>
        <w:widowControl/>
        <w:spacing w:line="360" w:lineRule="auto"/>
        <w:ind w:firstLine="482" w:firstLineChars="200"/>
        <w:rPr>
          <w:rFonts w:hAnsi="宋体" w:cs="宋体"/>
          <w:b/>
          <w:szCs w:val="24"/>
        </w:rPr>
      </w:pPr>
      <w:r>
        <w:rPr>
          <w:rFonts w:hint="eastAsia" w:ascii="宋体" w:hAnsi="宋体" w:cs="宋体"/>
          <w:b/>
          <w:sz w:val="24"/>
          <w:szCs w:val="24"/>
        </w:rPr>
        <w:t>五、报价方式</w:t>
      </w:r>
    </w:p>
    <w:p>
      <w:pPr>
        <w:tabs>
          <w:tab w:val="left" w:pos="360"/>
          <w:tab w:val="left" w:pos="540"/>
          <w:tab w:val="left" w:pos="3600"/>
          <w:tab w:val="left" w:pos="3780"/>
          <w:tab w:val="left" w:pos="8460"/>
          <w:tab w:val="left" w:pos="9180"/>
        </w:tabs>
        <w:adjustRightInd w:val="0"/>
        <w:snapToGrid w:val="0"/>
        <w:spacing w:line="360" w:lineRule="auto"/>
        <w:ind w:firstLine="480" w:firstLineChars="200"/>
        <w:rPr>
          <w:rFonts w:hAnsi="宋体"/>
          <w:b/>
          <w:bCs/>
          <w:szCs w:val="24"/>
        </w:rPr>
      </w:pPr>
      <w:r>
        <w:rPr>
          <w:rFonts w:hint="eastAsia" w:ascii="宋体" w:hAnsi="宋体" w:cs="宋体"/>
          <w:sz w:val="24"/>
          <w:szCs w:val="24"/>
        </w:rPr>
        <w:t>（1）本项目采取总价报价。根据招标人提供清单内容，各投标人自行前往现场踏勘。投标人根据现场情况，结合招标清单，进行投标报价，</w:t>
      </w:r>
      <w:r>
        <w:rPr>
          <w:rFonts w:hint="eastAsia" w:ascii="宋体" w:hAnsi="宋体" w:cs="宋体"/>
          <w:b/>
          <w:bCs/>
          <w:sz w:val="24"/>
          <w:szCs w:val="24"/>
          <w:highlight w:val="yellow"/>
        </w:rPr>
        <w:t>报价时须提供清单组价依据</w:t>
      </w:r>
      <w:r>
        <w:rPr>
          <w:rFonts w:hint="eastAsia" w:ascii="宋体" w:hAnsi="宋体" w:cs="宋体"/>
          <w:b/>
          <w:bCs/>
          <w:sz w:val="24"/>
          <w:szCs w:val="24"/>
        </w:rPr>
        <w:t>，</w:t>
      </w:r>
      <w:r>
        <w:rPr>
          <w:rFonts w:hint="eastAsia" w:ascii="宋体" w:hAnsi="宋体"/>
          <w:b/>
          <w:bCs/>
          <w:sz w:val="24"/>
          <w:szCs w:val="24"/>
        </w:rPr>
        <w:t>投标人报价不得超过控制价，否则投标无效。</w:t>
      </w:r>
    </w:p>
    <w:p>
      <w:pPr>
        <w:tabs>
          <w:tab w:val="left" w:pos="360"/>
          <w:tab w:val="left" w:pos="540"/>
          <w:tab w:val="left" w:pos="3600"/>
          <w:tab w:val="left" w:pos="3780"/>
          <w:tab w:val="left" w:pos="8460"/>
          <w:tab w:val="left" w:pos="9180"/>
        </w:tabs>
        <w:adjustRightInd w:val="0"/>
        <w:snapToGrid w:val="0"/>
        <w:spacing w:line="360" w:lineRule="auto"/>
        <w:ind w:firstLine="480" w:firstLineChars="200"/>
        <w:rPr>
          <w:rFonts w:hAnsi="宋体" w:cs="宋体"/>
          <w:bCs/>
          <w:szCs w:val="24"/>
        </w:rPr>
      </w:pPr>
      <w:r>
        <w:rPr>
          <w:rFonts w:hint="eastAsia" w:ascii="宋体" w:hAnsi="宋体" w:cs="宋体"/>
          <w:sz w:val="24"/>
          <w:szCs w:val="24"/>
        </w:rPr>
        <w:t>（2）</w:t>
      </w:r>
      <w:r>
        <w:rPr>
          <w:rFonts w:hint="eastAsia" w:ascii="宋体" w:hAnsi="宋体" w:cs="宋体"/>
          <w:bCs/>
          <w:sz w:val="24"/>
          <w:szCs w:val="24"/>
        </w:rPr>
        <w:t>投标人的报价费应包含设备材料的采购、施工、验收、调试、送电、移交及质保期内免费维修保养服务、税费工程施工、人工费、材料费、机械费、措施费、综合费、规费、税金、施工期内的风险金等全部费用，</w:t>
      </w:r>
      <w:r>
        <w:rPr>
          <w:rFonts w:hint="eastAsia" w:ascii="宋体" w:hAnsi="宋体" w:cs="宋体"/>
          <w:sz w:val="24"/>
          <w:szCs w:val="24"/>
        </w:rPr>
        <w:t>采购人不负责提供中标人的办公场所</w:t>
      </w:r>
      <w:r>
        <w:rPr>
          <w:rFonts w:hint="eastAsia" w:ascii="宋体" w:hAnsi="宋体" w:cs="宋体"/>
          <w:sz w:val="24"/>
          <w:szCs w:val="24"/>
          <w:lang w:eastAsia="zh-CN"/>
        </w:rPr>
        <w:t>，</w:t>
      </w:r>
      <w:r>
        <w:rPr>
          <w:rFonts w:hint="eastAsia" w:ascii="宋体" w:hAnsi="宋体" w:cs="宋体"/>
          <w:bCs/>
          <w:sz w:val="24"/>
          <w:szCs w:val="24"/>
        </w:rPr>
        <w:t>所投报价还应含有所投工程的保险及全部工程内容的所有评审费用、配合、现场服务及交付后约定期限内免费后续服务等为完成工程任务所需的一切应有费用。投标人报价时，结合自身综合实力及本项目的特点和技术要求等，综合考虑，合理报价，并谨慎报价。</w:t>
      </w:r>
    </w:p>
    <w:p>
      <w:pPr>
        <w:tabs>
          <w:tab w:val="left" w:pos="360"/>
          <w:tab w:val="left" w:pos="540"/>
          <w:tab w:val="left" w:pos="3600"/>
          <w:tab w:val="left" w:pos="3780"/>
          <w:tab w:val="left" w:pos="8460"/>
          <w:tab w:val="left" w:pos="9180"/>
        </w:tabs>
        <w:adjustRightInd w:val="0"/>
        <w:snapToGrid w:val="0"/>
        <w:spacing w:line="360" w:lineRule="auto"/>
        <w:ind w:firstLine="480" w:firstLineChars="200"/>
      </w:pPr>
      <w:r>
        <w:rPr>
          <w:rFonts w:hint="eastAsia" w:ascii="宋体" w:hAnsi="宋体" w:cs="宋体"/>
          <w:bCs/>
          <w:sz w:val="24"/>
          <w:szCs w:val="24"/>
        </w:rPr>
        <w:t>（3）</w:t>
      </w:r>
      <w:r>
        <w:rPr>
          <w:rFonts w:hint="eastAsia" w:ascii="宋体" w:hAnsi="宋体"/>
          <w:b/>
          <w:bCs/>
          <w:sz w:val="24"/>
          <w:szCs w:val="24"/>
        </w:rPr>
        <w:t>本项目为固定总价合同，清单数量可能存在一定偏差，投标单位自行探勘现场，中标后需完成分部分项所列工作内容，数量不予调整请各投标单位综合考虑风险。</w:t>
      </w:r>
    </w:p>
    <w:p>
      <w:pPr>
        <w:widowControl/>
        <w:spacing w:line="360" w:lineRule="auto"/>
        <w:ind w:firstLine="482" w:firstLineChars="200"/>
        <w:rPr>
          <w:rFonts w:hAnsi="宋体" w:cs="宋体"/>
          <w:b/>
        </w:rPr>
      </w:pPr>
      <w:r>
        <w:rPr>
          <w:rFonts w:hint="eastAsia" w:ascii="宋体" w:hAnsi="宋体" w:cs="宋体"/>
          <w:b/>
          <w:sz w:val="24"/>
        </w:rPr>
        <w:t>六、付款方式</w:t>
      </w:r>
    </w:p>
    <w:p>
      <w:pPr>
        <w:widowControl/>
        <w:spacing w:line="360" w:lineRule="auto"/>
        <w:ind w:firstLine="480" w:firstLineChars="200"/>
        <w:rPr>
          <w:rFonts w:hAnsi="宋体" w:cs="宋体"/>
          <w:bCs/>
        </w:rPr>
      </w:pPr>
      <w:r>
        <w:rPr>
          <w:rFonts w:hint="eastAsia" w:ascii="宋体" w:hAnsi="宋体" w:cs="宋体"/>
          <w:bCs/>
          <w:sz w:val="24"/>
        </w:rPr>
        <w:t>本次招标完成后招标人将与中标认签订施工合同，按现场施工工程量清单进行施工。完成所有施工，经甲方验收合格并移交后支付合同总价款的80%，全部工程经决算审计后付至决算总价的97%，余款质保期满后付清（无息）。</w:t>
      </w:r>
    </w:p>
    <w:p>
      <w:pPr>
        <w:widowControl/>
        <w:spacing w:line="360" w:lineRule="auto"/>
        <w:ind w:firstLine="422" w:firstLineChars="200"/>
        <w:rPr>
          <w:rFonts w:hAnsi="宋体" w:cs="宋体"/>
          <w:b/>
          <w:szCs w:val="24"/>
        </w:rPr>
      </w:pPr>
    </w:p>
    <w:p>
      <w:pPr>
        <w:pStyle w:val="17"/>
        <w:ind w:firstLine="240"/>
        <w:rPr>
          <w:rFonts w:ascii="宋体" w:hAnsi="宋体"/>
          <w:szCs w:val="24"/>
        </w:rPr>
      </w:pPr>
      <w:r>
        <w:rPr>
          <w:rFonts w:hint="eastAsia" w:ascii="宋体" w:hAnsi="宋体"/>
          <w:sz w:val="24"/>
          <w:szCs w:val="24"/>
        </w:rPr>
        <w:br w:type="page"/>
      </w:r>
    </w:p>
    <w:p>
      <w:pPr>
        <w:pStyle w:val="3"/>
        <w:jc w:val="center"/>
        <w:rPr>
          <w:rFonts w:hAnsi="宋体"/>
        </w:rPr>
      </w:pPr>
      <w:bookmarkStart w:id="61" w:name="_Toc27774"/>
      <w:bookmarkStart w:id="62" w:name="_Toc18932"/>
      <w:bookmarkStart w:id="63" w:name="_Toc448"/>
      <w:r>
        <w:rPr>
          <w:rFonts w:hint="eastAsia" w:ascii="黑体" w:hAnsi="黑体" w:eastAsia="黑体"/>
          <w:b w:val="0"/>
        </w:rPr>
        <w:t>第四章  谈判与评审办法</w:t>
      </w:r>
      <w:bookmarkEnd w:id="61"/>
      <w:bookmarkEnd w:id="62"/>
    </w:p>
    <w:p>
      <w:pPr>
        <w:spacing w:line="360" w:lineRule="auto"/>
        <w:ind w:firstLine="549"/>
      </w:pPr>
      <w:r>
        <w:rPr>
          <w:rFonts w:hint="eastAsia" w:ascii="宋体" w:hAnsi="Times New Roman"/>
          <w:kern w:val="0"/>
          <w:sz w:val="24"/>
          <w:szCs w:val="20"/>
        </w:rPr>
        <w:t>1.为了做好</w:t>
      </w:r>
      <w:r>
        <w:rPr>
          <w:rFonts w:hint="eastAsia" w:hAnsi="宋体"/>
          <w:u w:val="single"/>
        </w:rPr>
        <w:t>新安商城巷小吃街供电线路改造工程</w:t>
      </w:r>
      <w:r>
        <w:rPr>
          <w:rFonts w:hint="eastAsia" w:ascii="宋体" w:hAnsi="Times New Roman"/>
          <w:kern w:val="0"/>
          <w:sz w:val="24"/>
          <w:szCs w:val="20"/>
        </w:rPr>
        <w:t>（项目编号：</w:t>
      </w:r>
      <w:r>
        <w:rPr>
          <w:rFonts w:hint="eastAsia" w:ascii="宋体" w:hAnsi="Times New Roman"/>
          <w:kern w:val="0"/>
          <w:sz w:val="24"/>
          <w:szCs w:val="20"/>
          <w:u w:val="single"/>
        </w:rPr>
        <w:t>2023GW000</w:t>
      </w:r>
      <w:r>
        <w:rPr>
          <w:rFonts w:hint="eastAsia" w:ascii="宋体" w:hAnsi="Times New Roman"/>
          <w:kern w:val="0"/>
          <w:sz w:val="24"/>
          <w:szCs w:val="20"/>
          <w:u w:val="single"/>
          <w:lang w:val="en-US" w:eastAsia="zh-CN"/>
        </w:rPr>
        <w:t>5</w:t>
      </w:r>
      <w:r>
        <w:rPr>
          <w:rFonts w:hint="eastAsia" w:ascii="宋体" w:hAnsi="Times New Roman"/>
          <w:kern w:val="0"/>
          <w:sz w:val="24"/>
          <w:szCs w:val="20"/>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pPr>
      <w:r>
        <w:rPr>
          <w:rFonts w:hint="eastAsia" w:ascii="宋体" w:hAnsi="Times New Roman"/>
          <w:kern w:val="0"/>
          <w:sz w:val="24"/>
          <w:szCs w:val="20"/>
        </w:rPr>
        <w:t>2.本次项目谈判与评审采用有效最低价法作为对投标人响应文件的比较方法。</w:t>
      </w:r>
    </w:p>
    <w:p>
      <w:pPr>
        <w:spacing w:line="360" w:lineRule="auto"/>
        <w:ind w:firstLine="549"/>
      </w:pPr>
      <w:r>
        <w:rPr>
          <w:rFonts w:hint="eastAsia" w:ascii="宋体" w:hAnsi="Times New Roman"/>
          <w:kern w:val="0"/>
          <w:sz w:val="24"/>
          <w:szCs w:val="20"/>
        </w:rPr>
        <w:t>3.本项目将依法组建谈判小组，负责本项目的谈判与评审工作。</w:t>
      </w:r>
    </w:p>
    <w:p>
      <w:pPr>
        <w:spacing w:line="360" w:lineRule="auto"/>
        <w:ind w:firstLine="549"/>
      </w:pPr>
      <w:r>
        <w:rPr>
          <w:rFonts w:hint="eastAsia" w:ascii="宋体" w:hAnsi="Times New Roman"/>
          <w:kern w:val="0"/>
          <w:sz w:val="24"/>
          <w:szCs w:val="20"/>
        </w:rPr>
        <w:t>4.谈判小组按照“客观公正，实事求是”的原则，评价参加本次谈判的投标人所提供的产品或服务价格、性能、质量、服务及对谈判文件的符合性及响应性。</w:t>
      </w:r>
    </w:p>
    <w:p>
      <w:pPr>
        <w:spacing w:line="360" w:lineRule="auto"/>
        <w:ind w:firstLine="549"/>
      </w:pPr>
      <w:r>
        <w:rPr>
          <w:rFonts w:hint="eastAsia" w:ascii="宋体" w:hAnsi="Times New Roman"/>
          <w:kern w:val="0"/>
          <w:sz w:val="24"/>
          <w:szCs w:val="20"/>
        </w:rPr>
        <w:t>5.谈判小组应认真研究谈判文件，至少应了解和熟悉以下内容：</w:t>
      </w:r>
    </w:p>
    <w:p>
      <w:pPr>
        <w:spacing w:line="360" w:lineRule="auto"/>
        <w:ind w:firstLine="549"/>
      </w:pPr>
      <w:r>
        <w:rPr>
          <w:rFonts w:hint="eastAsia" w:ascii="宋体" w:hAnsi="Times New Roman"/>
          <w:kern w:val="0"/>
          <w:sz w:val="24"/>
          <w:szCs w:val="20"/>
        </w:rPr>
        <w:t>5.1 谈判的目标；</w:t>
      </w:r>
    </w:p>
    <w:p>
      <w:pPr>
        <w:spacing w:line="360" w:lineRule="auto"/>
        <w:ind w:firstLine="549"/>
      </w:pPr>
      <w:r>
        <w:rPr>
          <w:rFonts w:hint="eastAsia" w:ascii="宋体" w:hAnsi="Times New Roman"/>
          <w:kern w:val="0"/>
          <w:sz w:val="24"/>
          <w:szCs w:val="20"/>
        </w:rPr>
        <w:t>5.2 谈判项目的范围和性质；</w:t>
      </w:r>
    </w:p>
    <w:p>
      <w:pPr>
        <w:spacing w:line="360" w:lineRule="auto"/>
        <w:ind w:firstLine="549"/>
      </w:pPr>
      <w:r>
        <w:rPr>
          <w:rFonts w:hint="eastAsia" w:ascii="宋体" w:hAnsi="Times New Roman"/>
          <w:kern w:val="0"/>
          <w:sz w:val="24"/>
          <w:szCs w:val="20"/>
        </w:rPr>
        <w:t>5.3 谈判文件中规定的主要技术要求、标准和商务条款；</w:t>
      </w:r>
    </w:p>
    <w:p>
      <w:pPr>
        <w:spacing w:line="360" w:lineRule="auto"/>
        <w:ind w:firstLine="549"/>
      </w:pPr>
      <w:r>
        <w:rPr>
          <w:rFonts w:hint="eastAsia" w:ascii="宋体" w:hAnsi="Times New Roman"/>
          <w:kern w:val="0"/>
          <w:sz w:val="24"/>
          <w:szCs w:val="20"/>
        </w:rPr>
        <w:t>5.4 谈判文件规定的评审标准、评审方法和在评审过程中考虑的相关因素。</w:t>
      </w:r>
    </w:p>
    <w:p>
      <w:pPr>
        <w:spacing w:line="360" w:lineRule="auto"/>
        <w:ind w:firstLine="549"/>
      </w:pPr>
      <w:r>
        <w:rPr>
          <w:rFonts w:hint="eastAsia" w:ascii="宋体" w:hAnsi="Times New Roman"/>
          <w:kern w:val="0"/>
          <w:sz w:val="24"/>
          <w:szCs w:val="20"/>
        </w:rPr>
        <w:t>6.有效投标应符合以下原则：</w:t>
      </w:r>
    </w:p>
    <w:p>
      <w:pPr>
        <w:spacing w:line="360" w:lineRule="auto"/>
        <w:ind w:firstLine="549"/>
      </w:pPr>
      <w:r>
        <w:rPr>
          <w:rFonts w:hint="eastAsia" w:ascii="宋体" w:hAnsi="Times New Roman"/>
          <w:kern w:val="0"/>
          <w:sz w:val="24"/>
          <w:szCs w:val="20"/>
        </w:rPr>
        <w:t>6.1 满足谈判文件的实质性要求；</w:t>
      </w:r>
    </w:p>
    <w:p>
      <w:pPr>
        <w:spacing w:line="360" w:lineRule="auto"/>
        <w:ind w:firstLine="549"/>
      </w:pPr>
      <w:r>
        <w:rPr>
          <w:rFonts w:hint="eastAsia" w:ascii="宋体" w:hAnsi="Times New Roman"/>
          <w:kern w:val="0"/>
          <w:sz w:val="24"/>
          <w:szCs w:val="20"/>
        </w:rPr>
        <w:t>6.2 无重大偏离、保留或招标人不能接受的附加条件；</w:t>
      </w:r>
    </w:p>
    <w:p>
      <w:pPr>
        <w:spacing w:line="360" w:lineRule="auto"/>
        <w:ind w:firstLine="549"/>
      </w:pPr>
      <w:r>
        <w:rPr>
          <w:rFonts w:hint="eastAsia" w:ascii="宋体" w:hAnsi="Times New Roman"/>
          <w:kern w:val="0"/>
          <w:sz w:val="24"/>
          <w:szCs w:val="20"/>
        </w:rPr>
        <w:t>6.3 通过投标有效性评审；</w:t>
      </w:r>
    </w:p>
    <w:p>
      <w:pPr>
        <w:spacing w:line="360" w:lineRule="auto"/>
        <w:ind w:firstLine="549"/>
      </w:pPr>
      <w:r>
        <w:rPr>
          <w:rFonts w:hint="eastAsia" w:ascii="宋体" w:hAnsi="Times New Roman"/>
          <w:kern w:val="0"/>
          <w:sz w:val="24"/>
          <w:szCs w:val="20"/>
        </w:rPr>
        <w:t>6.4 谈判小组依据谈判文件认定的其他原则。</w:t>
      </w:r>
    </w:p>
    <w:p>
      <w:pPr>
        <w:spacing w:line="360" w:lineRule="auto"/>
        <w:ind w:firstLine="549"/>
      </w:pPr>
      <w:r>
        <w:rPr>
          <w:rFonts w:hint="eastAsia" w:ascii="宋体" w:hAnsi="Times New Roman"/>
          <w:kern w:val="0"/>
          <w:sz w:val="24"/>
          <w:szCs w:val="20"/>
        </w:rPr>
        <w:t>7.谈判小组对所有响应文件均采用相同程序和标准，进行评定。</w:t>
      </w:r>
    </w:p>
    <w:p>
      <w:pPr>
        <w:spacing w:line="360" w:lineRule="auto"/>
        <w:ind w:firstLine="549"/>
      </w:pPr>
      <w:r>
        <w:rPr>
          <w:rFonts w:hint="eastAsia" w:ascii="宋体" w:hAnsi="Times New Roman"/>
          <w:kern w:val="0"/>
          <w:sz w:val="24"/>
          <w:szCs w:val="20"/>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pPr>
      <w:r>
        <w:rPr>
          <w:rFonts w:hint="eastAsia" w:ascii="宋体" w:hAnsi="Times New Roman"/>
          <w:kern w:val="0"/>
          <w:sz w:val="24"/>
          <w:szCs w:val="20"/>
        </w:rPr>
        <w:t>对于推断判定的结论（如通过或不通过），谈判小组应提出充足的理由，根据谈判文件给定的评审指标进行判定，并予以书面记录。</w:t>
      </w:r>
    </w:p>
    <w:p>
      <w:pPr>
        <w:spacing w:line="360" w:lineRule="auto"/>
        <w:ind w:firstLine="549"/>
      </w:pPr>
      <w:r>
        <w:rPr>
          <w:rFonts w:hint="eastAsia" w:ascii="宋体" w:hAnsi="Times New Roman"/>
          <w:kern w:val="0"/>
          <w:sz w:val="24"/>
          <w:szCs w:val="20"/>
        </w:rPr>
        <w:t>谈判小组独立评审后，对投标人某项评审指标如有不同意见，按照少数服从多数的原则，确定该项评审指标的最终结论。</w:t>
      </w:r>
    </w:p>
    <w:p>
      <w:pPr>
        <w:numPr>
          <w:ilvl w:val="0"/>
          <w:numId w:val="3"/>
        </w:numPr>
        <w:spacing w:line="360" w:lineRule="auto"/>
        <w:ind w:firstLine="549"/>
        <w:rPr>
          <w:rFonts w:hAnsi="宋体"/>
          <w:b/>
          <w:szCs w:val="24"/>
        </w:rPr>
      </w:pPr>
      <w:r>
        <w:rPr>
          <w:rFonts w:hint="eastAsia" w:ascii="宋体" w:hAnsi="宋体"/>
          <w:b/>
          <w:sz w:val="24"/>
          <w:szCs w:val="24"/>
        </w:rPr>
        <w:t>谈判与评审程序</w:t>
      </w:r>
    </w:p>
    <w:p>
      <w:pPr>
        <w:spacing w:line="360" w:lineRule="auto"/>
        <w:rPr>
          <w:b/>
          <w:bCs/>
        </w:rPr>
      </w:pPr>
      <w:r>
        <w:rPr>
          <w:rFonts w:hint="eastAsia"/>
          <w:b/>
          <w:bCs/>
        </w:rPr>
        <w:t>9.1 有效性评审</w:t>
      </w:r>
    </w:p>
    <w:p>
      <w:pPr>
        <w:spacing w:line="360" w:lineRule="auto"/>
      </w:pPr>
      <w:r>
        <w:rPr>
          <w:rFonts w:hint="eastAsia"/>
        </w:rPr>
        <w:t>谈判小组按下表内容进行投标有效性评审：</w:t>
      </w:r>
    </w:p>
    <w:p>
      <w:pPr>
        <w:adjustRightInd w:val="0"/>
        <w:snapToGrid w:val="0"/>
        <w:spacing w:line="360" w:lineRule="auto"/>
        <w:ind w:right="-10" w:firstLine="420" w:firstLineChars="175"/>
      </w:pPr>
      <w:r>
        <w:rPr>
          <w:rFonts w:hint="eastAsia" w:ascii="宋体" w:hAnsi="宋体"/>
          <w:sz w:val="24"/>
        </w:rPr>
        <w:t>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476"/>
        <w:gridCol w:w="2182"/>
        <w:gridCol w:w="774"/>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5"/>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8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ascii="宋体" w:hAnsi="宋体"/>
                <w:sz w:val="24"/>
                <w:szCs w:val="24"/>
              </w:rPr>
              <w:t>序号</w:t>
            </w:r>
          </w:p>
        </w:tc>
        <w:tc>
          <w:tcPr>
            <w:tcW w:w="1420" w:type="pct"/>
            <w:tcBorders>
              <w:bottom w:val="single" w:color="auto" w:sz="4" w:space="0"/>
            </w:tcBorders>
            <w:vAlign w:val="center"/>
          </w:tcPr>
          <w:p>
            <w:pPr>
              <w:pStyle w:val="35"/>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ascii="宋体"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ascii="宋体" w:hAnsi="宋体"/>
                <w:sz w:val="24"/>
                <w:szCs w:val="24"/>
              </w:rPr>
              <w:t>指标要求</w:t>
            </w:r>
          </w:p>
        </w:tc>
        <w:tc>
          <w:tcPr>
            <w:tcW w:w="44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ascii="宋体" w:hAnsi="宋体"/>
                <w:sz w:val="24"/>
                <w:szCs w:val="24"/>
              </w:rPr>
              <w:t>是否通过</w:t>
            </w:r>
          </w:p>
        </w:tc>
        <w:tc>
          <w:tcPr>
            <w:tcW w:w="149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8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ascii="宋体" w:hAnsi="宋体"/>
                <w:sz w:val="24"/>
                <w:szCs w:val="24"/>
              </w:rPr>
              <w:t>1</w:t>
            </w:r>
          </w:p>
        </w:tc>
        <w:tc>
          <w:tcPr>
            <w:tcW w:w="1420"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合法有效</w:t>
            </w:r>
          </w:p>
        </w:tc>
        <w:tc>
          <w:tcPr>
            <w:tcW w:w="444"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ascii="宋体" w:hAnsi="宋体"/>
                <w:sz w:val="24"/>
                <w:szCs w:val="24"/>
              </w:rPr>
              <w:t>提供有效的营业执照（或事业单位法人证书）的复印件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8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ascii="宋体" w:hAnsi="宋体"/>
                <w:sz w:val="24"/>
                <w:szCs w:val="24"/>
              </w:rPr>
              <w:t>2</w:t>
            </w:r>
          </w:p>
        </w:tc>
        <w:tc>
          <w:tcPr>
            <w:tcW w:w="1420"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资质证书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4" w:type="pct"/>
            <w:tcBorders>
              <w:bottom w:val="single" w:color="auto" w:sz="4" w:space="0"/>
            </w:tcBorders>
            <w:vAlign w:val="center"/>
          </w:tcPr>
          <w:p>
            <w:pPr>
              <w:numPr>
                <w:ilvl w:val="0"/>
                <w:numId w:val="4"/>
              </w:numPr>
              <w:adjustRightInd w:val="0"/>
              <w:snapToGrid w:val="0"/>
              <w:spacing w:line="420" w:lineRule="exact"/>
              <w:ind w:right="-11"/>
              <w:jc w:val="center"/>
              <w:rPr>
                <w:rFonts w:hAnsi="宋体"/>
                <w:szCs w:val="18"/>
              </w:rPr>
            </w:pPr>
            <w:r>
              <w:rPr>
                <w:rFonts w:hint="eastAsia" w:ascii="宋体" w:hAnsi="宋体"/>
                <w:sz w:val="24"/>
                <w:szCs w:val="18"/>
              </w:rPr>
              <w:t>具有电力工程施工总承包叁级或输变电专业承包叁级及以上资质，</w:t>
            </w:r>
          </w:p>
          <w:p>
            <w:pPr>
              <w:numPr>
                <w:ilvl w:val="0"/>
                <w:numId w:val="4"/>
              </w:numPr>
              <w:adjustRightInd w:val="0"/>
              <w:snapToGrid w:val="0"/>
              <w:spacing w:line="420" w:lineRule="exact"/>
              <w:ind w:right="-11"/>
              <w:jc w:val="center"/>
              <w:rPr>
                <w:rFonts w:hAnsi="宋体"/>
                <w:szCs w:val="24"/>
              </w:rPr>
            </w:pPr>
            <w:r>
              <w:rPr>
                <w:rFonts w:hint="eastAsia" w:ascii="宋体" w:hAnsi="宋体"/>
                <w:sz w:val="24"/>
                <w:szCs w:val="24"/>
              </w:rPr>
              <w:t>具有承装（修、 试） 电力设施许可证承装类五级及以上资质</w:t>
            </w:r>
          </w:p>
          <w:p>
            <w:pPr>
              <w:adjustRightInd w:val="0"/>
              <w:snapToGrid w:val="0"/>
              <w:spacing w:line="420" w:lineRule="exact"/>
              <w:ind w:right="-11"/>
              <w:rPr>
                <w:rFonts w:hAnsi="宋体"/>
                <w:szCs w:val="24"/>
              </w:rPr>
            </w:pPr>
            <w:r>
              <w:rPr>
                <w:rFonts w:hint="eastAsia" w:ascii="宋体" w:hAnsi="宋体"/>
                <w:sz w:val="24"/>
                <w:szCs w:val="24"/>
              </w:rPr>
              <w:t>提供有效的资质证书复印件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8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ascii="宋体" w:hAnsi="宋体"/>
                <w:sz w:val="24"/>
                <w:szCs w:val="24"/>
              </w:rPr>
              <w:t>3</w:t>
            </w:r>
          </w:p>
        </w:tc>
        <w:tc>
          <w:tcPr>
            <w:tcW w:w="1420"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安全生产许可证</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4"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ascii="宋体" w:hAnsi="宋体"/>
                <w:sz w:val="24"/>
                <w:szCs w:val="24"/>
              </w:rPr>
              <w:t>提供有效的安全生产许可证复印件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8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ascii="宋体" w:hAnsi="宋体"/>
                <w:sz w:val="24"/>
                <w:szCs w:val="24"/>
              </w:rPr>
              <w:t>4</w:t>
            </w:r>
          </w:p>
        </w:tc>
        <w:tc>
          <w:tcPr>
            <w:tcW w:w="1420" w:type="pct"/>
            <w:tcBorders>
              <w:bottom w:val="single" w:color="auto" w:sz="4" w:space="0"/>
            </w:tcBorders>
            <w:vAlign w:val="center"/>
          </w:tcPr>
          <w:p>
            <w:pPr>
              <w:spacing w:line="420" w:lineRule="exact"/>
              <w:ind w:right="-11"/>
              <w:jc w:val="center"/>
              <w:rPr>
                <w:rFonts w:hAnsi="宋体"/>
                <w:szCs w:val="24"/>
              </w:rPr>
            </w:pPr>
            <w:r>
              <w:rPr>
                <w:rFonts w:hint="eastAsia" w:hAnsi="宋体"/>
                <w:sz w:val="24"/>
                <w:szCs w:val="24"/>
              </w:rPr>
              <w:t>企业业绩</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4" w:type="pct"/>
            <w:tcBorders>
              <w:bottom w:val="single" w:color="auto" w:sz="4" w:space="0"/>
            </w:tcBorders>
            <w:vAlign w:val="center"/>
          </w:tcPr>
          <w:p>
            <w:pPr>
              <w:pStyle w:val="2"/>
            </w:pPr>
            <w:r>
              <w:rPr>
                <w:rFonts w:hint="eastAsia"/>
              </w:rPr>
              <w:t>自2019年完成过单项合同金额在20万及以上的供配电工程施工业绩。</w:t>
            </w:r>
          </w:p>
          <w:p>
            <w:pPr>
              <w:pStyle w:val="2"/>
            </w:pPr>
            <w:r>
              <w:rPr>
                <w:rFonts w:hint="eastAsia"/>
              </w:rPr>
              <w:t>需提供合同协议书及竣工验收证明(日期以合同时间为准)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388" w:type="pct"/>
            <w:vAlign w:val="center"/>
          </w:tcPr>
          <w:p>
            <w:pPr>
              <w:adjustRightInd w:val="0"/>
              <w:snapToGrid w:val="0"/>
              <w:spacing w:line="360" w:lineRule="auto"/>
              <w:ind w:right="-10"/>
              <w:jc w:val="center"/>
              <w:rPr>
                <w:rFonts w:hAnsi="宋体"/>
                <w:szCs w:val="24"/>
              </w:rPr>
            </w:pPr>
            <w:r>
              <w:rPr>
                <w:rFonts w:hint="eastAsia" w:hAnsi="宋体"/>
                <w:sz w:val="24"/>
                <w:szCs w:val="24"/>
              </w:rPr>
              <w:t>5</w:t>
            </w:r>
          </w:p>
        </w:tc>
        <w:tc>
          <w:tcPr>
            <w:tcW w:w="1420" w:type="pct"/>
            <w:vAlign w:val="center"/>
          </w:tcPr>
          <w:p>
            <w:pPr>
              <w:spacing w:line="420" w:lineRule="exact"/>
              <w:ind w:right="-11"/>
              <w:jc w:val="center"/>
              <w:rPr>
                <w:rFonts w:hAnsi="宋体"/>
                <w:szCs w:val="24"/>
              </w:rPr>
            </w:pPr>
            <w:r>
              <w:rPr>
                <w:rFonts w:hint="eastAsia" w:ascii="宋体" w:hAnsi="宋体"/>
                <w:sz w:val="24"/>
                <w:szCs w:val="24"/>
              </w:rPr>
              <w:t>项目经理/项目负责人资格</w:t>
            </w:r>
          </w:p>
        </w:tc>
        <w:tc>
          <w:tcPr>
            <w:tcW w:w="1251" w:type="pct"/>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int="eastAsia" w:eastAsia="宋体"/>
                <w:lang w:eastAsia="zh-CN"/>
              </w:rPr>
            </w:pPr>
            <w:r>
              <w:rPr>
                <w:rFonts w:hint="eastAsia"/>
              </w:rPr>
              <w:t>（1）具备机电工程专业二级建造师注册证书</w:t>
            </w:r>
          </w:p>
          <w:p>
            <w:pPr>
              <w:adjustRightInd w:val="0"/>
              <w:snapToGrid w:val="0"/>
              <w:spacing w:line="420" w:lineRule="exact"/>
              <w:ind w:right="-11"/>
              <w:jc w:val="center"/>
            </w:pPr>
            <w:r>
              <w:rPr>
                <w:rFonts w:hint="eastAsia"/>
              </w:rPr>
              <w:t>（2）安全生产考核合格证（B证）</w:t>
            </w:r>
          </w:p>
          <w:p>
            <w:pPr>
              <w:pStyle w:val="2"/>
            </w:pPr>
            <w:r>
              <w:rPr>
                <w:rFonts w:hint="eastAsia"/>
              </w:rPr>
              <w:t>（3）距投标截止时间为止不少于六个月的社保证明材料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6</w:t>
            </w:r>
          </w:p>
        </w:tc>
        <w:tc>
          <w:tcPr>
            <w:tcW w:w="1420" w:type="pct"/>
            <w:vAlign w:val="center"/>
          </w:tcPr>
          <w:p>
            <w:pPr>
              <w:spacing w:line="420" w:lineRule="exact"/>
              <w:ind w:right="-11"/>
              <w:jc w:val="center"/>
              <w:rPr>
                <w:rFonts w:hAnsi="宋体"/>
                <w:szCs w:val="24"/>
              </w:rPr>
            </w:pPr>
            <w:r>
              <w:rPr>
                <w:rFonts w:hint="eastAsia" w:ascii="宋体" w:hAnsi="宋体"/>
                <w:sz w:val="24"/>
                <w:szCs w:val="24"/>
              </w:rPr>
              <w:t>投标函</w:t>
            </w:r>
          </w:p>
        </w:tc>
        <w:tc>
          <w:tcPr>
            <w:tcW w:w="1251" w:type="pct"/>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7</w:t>
            </w:r>
          </w:p>
        </w:tc>
        <w:tc>
          <w:tcPr>
            <w:tcW w:w="1420" w:type="pct"/>
            <w:vAlign w:val="center"/>
          </w:tcPr>
          <w:p>
            <w:pPr>
              <w:spacing w:line="420" w:lineRule="exact"/>
              <w:ind w:right="-11"/>
              <w:jc w:val="center"/>
              <w:rPr>
                <w:rFonts w:hAnsi="宋体"/>
                <w:szCs w:val="24"/>
              </w:rPr>
            </w:pPr>
            <w:r>
              <w:rPr>
                <w:rFonts w:hint="eastAsia" w:ascii="宋体" w:hAnsi="宋体"/>
                <w:sz w:val="24"/>
                <w:szCs w:val="24"/>
              </w:rPr>
              <w:t>投标授权书</w:t>
            </w:r>
          </w:p>
        </w:tc>
        <w:tc>
          <w:tcPr>
            <w:tcW w:w="1251" w:type="pct"/>
            <w:vAlign w:val="center"/>
          </w:tcPr>
          <w:p>
            <w:pPr>
              <w:spacing w:line="420" w:lineRule="exact"/>
              <w:ind w:right="-11"/>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r>
              <w:rPr>
                <w:rFonts w:hint="eastAsia" w:ascii="宋体" w:hAnsi="宋体"/>
                <w:sz w:val="24"/>
                <w:szCs w:val="24"/>
              </w:rPr>
              <w:t>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8</w:t>
            </w:r>
          </w:p>
        </w:tc>
        <w:tc>
          <w:tcPr>
            <w:tcW w:w="1420" w:type="pct"/>
            <w:vAlign w:val="center"/>
          </w:tcPr>
          <w:p>
            <w:pPr>
              <w:spacing w:after="50" w:line="360" w:lineRule="auto"/>
              <w:ind w:right="-10"/>
              <w:jc w:val="center"/>
              <w:rPr>
                <w:rFonts w:hAnsi="宋体"/>
                <w:szCs w:val="24"/>
              </w:rPr>
            </w:pPr>
            <w:r>
              <w:rPr>
                <w:rFonts w:hint="eastAsia" w:ascii="宋体" w:hAnsi="宋体"/>
                <w:sz w:val="24"/>
                <w:szCs w:val="24"/>
              </w:rPr>
              <w:t>投标人信用承诺</w:t>
            </w:r>
          </w:p>
        </w:tc>
        <w:tc>
          <w:tcPr>
            <w:tcW w:w="1251" w:type="pct"/>
            <w:vAlign w:val="center"/>
          </w:tcPr>
          <w:p>
            <w:pPr>
              <w:spacing w:after="50" w:line="360" w:lineRule="auto"/>
              <w:ind w:right="-10"/>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360" w:lineRule="auto"/>
              <w:ind w:right="-10"/>
              <w:jc w:val="center"/>
              <w:rPr>
                <w:rFonts w:hAnsi="宋体"/>
                <w:szCs w:val="24"/>
              </w:rPr>
            </w:pPr>
          </w:p>
        </w:tc>
        <w:tc>
          <w:tcPr>
            <w:tcW w:w="1494"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详见第七章投标文件格式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9</w:t>
            </w:r>
          </w:p>
        </w:tc>
        <w:tc>
          <w:tcPr>
            <w:tcW w:w="1420" w:type="pct"/>
            <w:vAlign w:val="center"/>
          </w:tcPr>
          <w:p>
            <w:pPr>
              <w:spacing w:after="50" w:line="360" w:lineRule="auto"/>
              <w:ind w:right="-10"/>
              <w:jc w:val="center"/>
              <w:rPr>
                <w:rFonts w:hAnsi="宋体"/>
                <w:szCs w:val="24"/>
              </w:rPr>
            </w:pPr>
            <w:r>
              <w:rPr>
                <w:rFonts w:hint="eastAsia" w:ascii="宋体" w:hAnsi="宋体"/>
                <w:sz w:val="24"/>
                <w:szCs w:val="24"/>
              </w:rPr>
              <w:t>开标一览表</w:t>
            </w:r>
          </w:p>
        </w:tc>
        <w:tc>
          <w:tcPr>
            <w:tcW w:w="1251" w:type="pct"/>
            <w:vAlign w:val="center"/>
          </w:tcPr>
          <w:p>
            <w:pPr>
              <w:spacing w:after="50" w:line="360" w:lineRule="auto"/>
              <w:ind w:right="-10"/>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r>
              <w:rPr>
                <w:rFonts w:hint="eastAsia" w:ascii="宋体" w:hAnsi="宋体"/>
                <w:sz w:val="24"/>
                <w:szCs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10</w:t>
            </w:r>
          </w:p>
        </w:tc>
        <w:tc>
          <w:tcPr>
            <w:tcW w:w="1420" w:type="pct"/>
            <w:vAlign w:val="center"/>
          </w:tcPr>
          <w:p>
            <w:pPr>
              <w:spacing w:after="50" w:line="360" w:lineRule="auto"/>
              <w:ind w:right="-10"/>
              <w:jc w:val="center"/>
              <w:rPr>
                <w:rFonts w:hAnsi="宋体"/>
                <w:szCs w:val="24"/>
              </w:rPr>
            </w:pPr>
            <w:r>
              <w:rPr>
                <w:rFonts w:hint="eastAsia" w:ascii="宋体" w:hAnsi="宋体"/>
                <w:sz w:val="24"/>
                <w:szCs w:val="24"/>
              </w:rPr>
              <w:t>投标报价</w:t>
            </w:r>
          </w:p>
        </w:tc>
        <w:tc>
          <w:tcPr>
            <w:tcW w:w="1251" w:type="pct"/>
            <w:vAlign w:val="center"/>
          </w:tcPr>
          <w:p>
            <w:pPr>
              <w:spacing w:after="50" w:line="360" w:lineRule="auto"/>
              <w:ind w:right="-10"/>
              <w:jc w:val="center"/>
              <w:rPr>
                <w:rFonts w:hAnsi="宋体"/>
                <w:szCs w:val="24"/>
              </w:rPr>
            </w:pPr>
            <w:r>
              <w:rPr>
                <w:rFonts w:hint="eastAsia" w:ascii="宋体" w:hAnsi="宋体"/>
                <w:sz w:val="24"/>
                <w:szCs w:val="24"/>
              </w:rPr>
              <w:t>符合谈判文件要求</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11</w:t>
            </w:r>
          </w:p>
        </w:tc>
        <w:tc>
          <w:tcPr>
            <w:tcW w:w="1420" w:type="pct"/>
            <w:vAlign w:val="center"/>
          </w:tcPr>
          <w:p>
            <w:pPr>
              <w:spacing w:line="420" w:lineRule="exact"/>
              <w:ind w:right="-11"/>
              <w:jc w:val="center"/>
              <w:rPr>
                <w:rFonts w:hAnsi="宋体"/>
                <w:szCs w:val="24"/>
              </w:rPr>
            </w:pPr>
            <w:r>
              <w:rPr>
                <w:rFonts w:hint="eastAsia" w:ascii="宋体" w:hAnsi="宋体"/>
                <w:sz w:val="24"/>
                <w:szCs w:val="24"/>
              </w:rPr>
              <w:t>标书响应情况</w:t>
            </w:r>
          </w:p>
        </w:tc>
        <w:tc>
          <w:tcPr>
            <w:tcW w:w="1251" w:type="pct"/>
            <w:vAlign w:val="center"/>
          </w:tcPr>
          <w:p>
            <w:pPr>
              <w:spacing w:line="420" w:lineRule="exact"/>
              <w:ind w:right="-11"/>
              <w:jc w:val="center"/>
              <w:rPr>
                <w:rFonts w:hAnsi="宋体"/>
                <w:szCs w:val="24"/>
              </w:rPr>
            </w:pPr>
            <w:r>
              <w:rPr>
                <w:rFonts w:hint="eastAsia" w:ascii="宋体" w:hAnsi="宋体"/>
                <w:sz w:val="24"/>
                <w:szCs w:val="24"/>
              </w:rPr>
              <w:t>质量响应、工期响应</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360" w:lineRule="auto"/>
              <w:ind w:right="-10"/>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ascii="宋体" w:hAnsi="宋体"/>
                <w:sz w:val="24"/>
                <w:szCs w:val="24"/>
              </w:rPr>
              <w:t>12</w:t>
            </w:r>
          </w:p>
        </w:tc>
        <w:tc>
          <w:tcPr>
            <w:tcW w:w="1420" w:type="pct"/>
            <w:vAlign w:val="center"/>
          </w:tcPr>
          <w:p>
            <w:pPr>
              <w:spacing w:line="420" w:lineRule="exact"/>
              <w:ind w:right="-11"/>
              <w:jc w:val="center"/>
              <w:rPr>
                <w:rFonts w:hAnsi="宋体"/>
                <w:szCs w:val="24"/>
              </w:rPr>
            </w:pPr>
            <w:r>
              <w:rPr>
                <w:rFonts w:hint="eastAsia" w:ascii="宋体" w:hAnsi="宋体"/>
                <w:sz w:val="24"/>
                <w:szCs w:val="24"/>
              </w:rPr>
              <w:t>标书规范性</w:t>
            </w:r>
          </w:p>
        </w:tc>
        <w:tc>
          <w:tcPr>
            <w:tcW w:w="1251" w:type="pct"/>
            <w:vAlign w:val="center"/>
          </w:tcPr>
          <w:p>
            <w:pPr>
              <w:pStyle w:val="35"/>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ascii="宋体" w:hAnsi="宋体"/>
                <w:szCs w:val="24"/>
              </w:rPr>
              <w:t>无严重的编排混乱、内容不全或字迹模糊辨认不清、前后矛盾情况，对评标无实质性影响的</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Align w:val="center"/>
          </w:tcPr>
          <w:p>
            <w:pPr>
              <w:adjustRightInd w:val="0"/>
              <w:snapToGrid w:val="0"/>
              <w:spacing w:line="360" w:lineRule="auto"/>
              <w:ind w:right="-10"/>
              <w:jc w:val="center"/>
              <w:rPr>
                <w:rFonts w:hAnsi="宋体"/>
                <w:szCs w:val="24"/>
              </w:rPr>
            </w:pPr>
            <w:r>
              <w:rPr>
                <w:rFonts w:hint="eastAsia" w:hAnsi="宋体"/>
                <w:sz w:val="24"/>
                <w:szCs w:val="24"/>
              </w:rPr>
              <w:t>13</w:t>
            </w:r>
          </w:p>
        </w:tc>
        <w:tc>
          <w:tcPr>
            <w:tcW w:w="1420" w:type="pct"/>
            <w:vAlign w:val="center"/>
          </w:tcPr>
          <w:p>
            <w:pPr>
              <w:spacing w:line="420" w:lineRule="exact"/>
              <w:ind w:right="-11"/>
              <w:jc w:val="center"/>
              <w:rPr>
                <w:rFonts w:hAnsi="宋体"/>
                <w:szCs w:val="24"/>
              </w:rPr>
            </w:pPr>
            <w:r>
              <w:rPr>
                <w:rFonts w:hint="eastAsia" w:ascii="宋体" w:hAnsi="宋体"/>
                <w:sz w:val="24"/>
                <w:szCs w:val="24"/>
              </w:rPr>
              <w:t>其他要求</w:t>
            </w:r>
          </w:p>
        </w:tc>
        <w:tc>
          <w:tcPr>
            <w:tcW w:w="1251" w:type="pct"/>
            <w:vAlign w:val="center"/>
          </w:tcPr>
          <w:p>
            <w:pPr>
              <w:spacing w:line="420" w:lineRule="exact"/>
              <w:ind w:right="-11"/>
              <w:jc w:val="center"/>
              <w:rPr>
                <w:rFonts w:hAnsi="宋体"/>
                <w:szCs w:val="24"/>
              </w:rPr>
            </w:pPr>
            <w:r>
              <w:rPr>
                <w:rFonts w:hint="eastAsia" w:ascii="宋体" w:hAnsi="宋体"/>
                <w:sz w:val="24"/>
                <w:szCs w:val="24"/>
              </w:rPr>
              <w:t>上述指标中未列出，但国家相关法律法规或谈判文件有明确规定的</w:t>
            </w:r>
          </w:p>
        </w:tc>
        <w:tc>
          <w:tcPr>
            <w:tcW w:w="444" w:type="pct"/>
            <w:vAlign w:val="center"/>
          </w:tcPr>
          <w:p>
            <w:pPr>
              <w:adjustRightInd w:val="0"/>
              <w:snapToGrid w:val="0"/>
              <w:spacing w:line="420" w:lineRule="exact"/>
              <w:ind w:right="-11"/>
              <w:jc w:val="center"/>
              <w:rPr>
                <w:rFonts w:hAnsi="宋体"/>
                <w:szCs w:val="24"/>
              </w:rPr>
            </w:pPr>
          </w:p>
        </w:tc>
        <w:tc>
          <w:tcPr>
            <w:tcW w:w="1494"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420" w:lineRule="exact"/>
              <w:ind w:right="-11"/>
              <w:jc w:val="left"/>
              <w:rPr>
                <w:rFonts w:hAnsi="宋体"/>
                <w:szCs w:val="24"/>
              </w:rPr>
            </w:pPr>
            <w:r>
              <w:rPr>
                <w:rFonts w:hint="eastAsia" w:ascii="宋体" w:hAnsi="宋体"/>
                <w:sz w:val="24"/>
                <w:szCs w:val="24"/>
              </w:rPr>
              <w:t>有效性评审指标通过标准：投标人必须通过上述全部指标。</w:t>
            </w:r>
          </w:p>
          <w:p>
            <w:pPr>
              <w:adjustRightInd w:val="0"/>
              <w:snapToGrid w:val="0"/>
              <w:spacing w:line="360" w:lineRule="auto"/>
              <w:ind w:right="-10"/>
              <w:rPr>
                <w:rFonts w:hAnsi="宋体"/>
                <w:szCs w:val="24"/>
              </w:rPr>
            </w:pPr>
            <w:r>
              <w:rPr>
                <w:rFonts w:hint="eastAsia" w:ascii="宋体" w:hAnsi="宋体"/>
                <w:sz w:val="24"/>
                <w:szCs w:val="24"/>
              </w:rPr>
              <w:t>谈判小组根据表中所列各项指标对投标人是否为有效标进行评审，未列入上表中的指标不得作为否决投标依据。符合评审指标通过标准的，为有效投标。未通过评审的投标人将不参与谈判。</w:t>
            </w:r>
          </w:p>
        </w:tc>
      </w:tr>
      <w:bookmarkEnd w:id="63"/>
    </w:tbl>
    <w:p>
      <w:pPr>
        <w:adjustRightInd w:val="0"/>
        <w:snapToGrid w:val="0"/>
        <w:spacing w:line="360" w:lineRule="auto"/>
        <w:ind w:right="-10" w:firstLine="422" w:firstLineChars="175"/>
        <w:rPr>
          <w:rFonts w:hAnsi="宋体"/>
          <w:b/>
        </w:rPr>
      </w:pPr>
      <w:bookmarkStart w:id="64" w:name="_Hlk514734883"/>
      <w:bookmarkStart w:id="65" w:name="_Toc28799375"/>
      <w:r>
        <w:rPr>
          <w:rFonts w:hint="eastAsia" w:ascii="宋体" w:hAnsi="宋体"/>
          <w:b/>
          <w:sz w:val="24"/>
        </w:rPr>
        <w:t>9.2 谈判</w:t>
      </w:r>
    </w:p>
    <w:bookmarkEnd w:id="64"/>
    <w:p>
      <w:pPr>
        <w:spacing w:line="360" w:lineRule="auto"/>
        <w:ind w:firstLine="480" w:firstLineChars="200"/>
        <w:rPr>
          <w:rFonts w:hAnsi="宋体"/>
          <w:bCs/>
          <w:color w:val="000000"/>
        </w:rPr>
      </w:pPr>
      <w:r>
        <w:rPr>
          <w:rFonts w:hint="eastAsia" w:ascii="宋体" w:hAnsi="宋体"/>
          <w:bCs/>
          <w:color w:val="000000"/>
          <w:sz w:val="24"/>
        </w:rPr>
        <w:t>9.2.1谈判小组将按</w:t>
      </w:r>
      <w:r>
        <w:rPr>
          <w:rFonts w:hint="eastAsia"/>
          <w:sz w:val="24"/>
        </w:rPr>
        <w:t>投标文件递交的先后</w:t>
      </w:r>
      <w:r>
        <w:rPr>
          <w:rFonts w:hint="eastAsia" w:ascii="宋体" w:hAnsi="宋体"/>
          <w:bCs/>
          <w:color w:val="000000"/>
          <w:sz w:val="24"/>
        </w:rPr>
        <w:t>顺序分别与有效投标人就投标报价、服务方案等内容进行评审。</w:t>
      </w:r>
    </w:p>
    <w:p>
      <w:pPr>
        <w:spacing w:line="360" w:lineRule="auto"/>
        <w:ind w:firstLine="482" w:firstLineChars="200"/>
        <w:rPr>
          <w:rFonts w:hAnsi="宋体"/>
          <w:b/>
        </w:rPr>
      </w:pPr>
      <w:r>
        <w:rPr>
          <w:rFonts w:hint="eastAsia" w:ascii="宋体" w:hAnsi="宋体"/>
          <w:b/>
          <w:color w:val="000000"/>
          <w:sz w:val="24"/>
        </w:rPr>
        <w:t>9.2.2 为保证谈判活动顺利进行，</w:t>
      </w:r>
      <w:r>
        <w:rPr>
          <w:rFonts w:hint="eastAsia"/>
          <w:b/>
          <w:sz w:val="24"/>
        </w:rPr>
        <w:t>因开标硬件设施限制，本次谈判，投标人只需一次报价（以报价表中报价为准），无需进行二轮及多轮报价，</w:t>
      </w:r>
      <w:r>
        <w:rPr>
          <w:rFonts w:hint="eastAsia" w:ascii="宋体" w:hAnsi="宋体"/>
          <w:b/>
          <w:sz w:val="24"/>
        </w:rPr>
        <w:t>投标人最终评审报价是评审及签订合同的依据。</w:t>
      </w:r>
    </w:p>
    <w:p>
      <w:pPr>
        <w:adjustRightInd w:val="0"/>
        <w:snapToGrid w:val="0"/>
        <w:spacing w:line="360" w:lineRule="auto"/>
        <w:ind w:right="-10" w:firstLine="482" w:firstLineChars="200"/>
        <w:rPr>
          <w:rFonts w:hAnsi="宋体"/>
        </w:rPr>
      </w:pPr>
      <w:r>
        <w:rPr>
          <w:rFonts w:hint="eastAsia" w:ascii="宋体" w:hAnsi="宋体"/>
          <w:b/>
          <w:sz w:val="24"/>
          <w:szCs w:val="24"/>
        </w:rPr>
        <w:t>9.3确定中标候选人</w:t>
      </w:r>
    </w:p>
    <w:p>
      <w:pPr>
        <w:adjustRightInd w:val="0"/>
        <w:snapToGrid w:val="0"/>
        <w:spacing w:line="360" w:lineRule="auto"/>
        <w:ind w:right="-10" w:firstLine="480" w:firstLineChars="200"/>
        <w:rPr>
          <w:rFonts w:hAnsi="宋体"/>
          <w:bCs/>
        </w:rPr>
      </w:pPr>
      <w:r>
        <w:rPr>
          <w:rFonts w:hint="eastAsia" w:ascii="宋体" w:hAnsi="宋体"/>
          <w:bCs/>
          <w:sz w:val="24"/>
        </w:rPr>
        <w:t>9.3.1 对通过评审的有效投标人，按其最终报价由低到高的顺序选出中标候选人。</w:t>
      </w:r>
    </w:p>
    <w:p>
      <w:pPr>
        <w:adjustRightInd w:val="0"/>
        <w:snapToGrid w:val="0"/>
        <w:spacing w:line="360" w:lineRule="auto"/>
        <w:ind w:right="-10" w:firstLine="480" w:firstLineChars="200"/>
        <w:rPr>
          <w:rFonts w:hAnsi="宋体"/>
          <w:bCs/>
        </w:rPr>
      </w:pPr>
      <w:r>
        <w:rPr>
          <w:rFonts w:hint="eastAsia" w:ascii="宋体" w:hAnsi="宋体"/>
          <w:bCs/>
          <w:sz w:val="24"/>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Ansi="宋体"/>
          <w:bCs/>
        </w:rPr>
      </w:pPr>
      <w:r>
        <w:rPr>
          <w:rFonts w:hint="eastAsia" w:ascii="宋体" w:hAnsi="宋体"/>
          <w:bCs/>
          <w:sz w:val="24"/>
        </w:rPr>
        <w:t>10.谈判小组在评审过程中发现的问题，应当及时作出处理或者提出处理建议，并作书面记录。</w:t>
      </w:r>
    </w:p>
    <w:p>
      <w:pPr>
        <w:adjustRightInd w:val="0"/>
        <w:snapToGrid w:val="0"/>
        <w:spacing w:line="360" w:lineRule="auto"/>
        <w:ind w:right="-10" w:firstLine="480" w:firstLineChars="200"/>
        <w:rPr>
          <w:rFonts w:hAnsi="宋体"/>
          <w:bCs/>
        </w:rPr>
      </w:pPr>
      <w:r>
        <w:rPr>
          <w:rFonts w:hint="eastAsia" w:ascii="宋体" w:hAnsi="宋体"/>
          <w:bCs/>
          <w:sz w:val="24"/>
        </w:rPr>
        <w:t>11. 在评审过程中，谈判小组发现投标人的报价或者某些分项报价可能低于成本或者高于谈判文件设定的最高投标限价的，谈判小组将以不利于投标人的原则进行推断，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Ansi="宋体"/>
          <w:bCs/>
        </w:rPr>
      </w:pPr>
      <w:r>
        <w:rPr>
          <w:rFonts w:hint="eastAsia" w:ascii="宋体" w:hAnsi="宋体"/>
          <w:bCs/>
          <w:sz w:val="24"/>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Ansi="宋体"/>
          <w:bCs/>
        </w:rPr>
      </w:pPr>
      <w:r>
        <w:rPr>
          <w:rFonts w:hint="eastAsia" w:ascii="宋体" w:hAnsi="宋体"/>
          <w:bCs/>
          <w:sz w:val="24"/>
        </w:rPr>
        <w:t>13.评审后，谈判小组应写出评审报告并签字。评审报告是谈判小组根据全体评审成员签字的原始评审记录和评审结果编写的报告，谈判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80" w:firstLineChars="200"/>
        <w:rPr>
          <w:rFonts w:hAnsi="宋体"/>
          <w:bCs/>
        </w:rPr>
      </w:pPr>
      <w:r>
        <w:rPr>
          <w:rFonts w:hint="eastAsia" w:ascii="宋体" w:hAnsi="宋体"/>
          <w:bCs/>
          <w:sz w:val="24"/>
        </w:rPr>
        <w:t>14.谈判小组和评审工作人员应严格遵守国家的法律、法规和规章制度；严格按照本次谈判文件进行评审；公正廉洁、不徇私情，不得损害国家利益；保护招、投标人的合法权益。</w:t>
      </w:r>
    </w:p>
    <w:p>
      <w:pPr>
        <w:rPr>
          <w:rFonts w:hAnsi="宋体"/>
        </w:rPr>
      </w:pPr>
    </w:p>
    <w:p>
      <w:pPr>
        <w:pStyle w:val="3"/>
        <w:jc w:val="center"/>
      </w:pPr>
      <w:bookmarkStart w:id="66" w:name="_Toc14374"/>
      <w:r>
        <w:rPr>
          <w:rFonts w:hint="eastAsia" w:ascii="宋体" w:hAnsi="Times New Roman"/>
          <w:bCs/>
        </w:rPr>
        <w:t>第五章 合同条款及格式</w:t>
      </w:r>
      <w:bookmarkEnd w:id="65"/>
      <w:r>
        <w:rPr>
          <w:rFonts w:hint="eastAsia" w:ascii="宋体" w:hAnsi="Times New Roman"/>
          <w:bCs/>
        </w:rPr>
        <w:t>（另行提供）</w:t>
      </w:r>
      <w:bookmarkEnd w:id="66"/>
    </w:p>
    <w:p>
      <w:pPr>
        <w:jc w:val="center"/>
        <w:rPr>
          <w:rFonts w:ascii="黑体" w:hAnsi="黑体" w:eastAsia="黑体"/>
          <w:bCs/>
          <w:kern w:val="44"/>
          <w:sz w:val="32"/>
          <w:szCs w:val="44"/>
        </w:rPr>
      </w:pPr>
    </w:p>
    <w:p>
      <w:pPr>
        <w:pStyle w:val="3"/>
        <w:jc w:val="center"/>
      </w:pPr>
      <w:bookmarkStart w:id="67" w:name="_Toc25452"/>
      <w:r>
        <w:rPr>
          <w:rFonts w:hint="eastAsia" w:ascii="宋体" w:hAnsi="Times New Roman"/>
          <w:bCs/>
        </w:rPr>
        <w:t>第六章技术标准和要求</w:t>
      </w:r>
      <w:bookmarkEnd w:id="67"/>
    </w:p>
    <w:p>
      <w:pPr>
        <w:rPr>
          <w:rFonts w:hAnsi="宋体"/>
          <w:b/>
          <w:color w:val="000000"/>
          <w:szCs w:val="24"/>
        </w:rPr>
      </w:pPr>
      <w:r>
        <w:rPr>
          <w:rFonts w:hint="eastAsia" w:hAnsi="宋体"/>
          <w:b/>
          <w:color w:val="000000"/>
          <w:szCs w:val="24"/>
        </w:rPr>
        <w:t>1. 本招标工程项目施工、验收须达到设计文件的要求和国家及有关部委、安徽省、项目所在市现行的工程建设标准、规范、规定的要求（文件标准之间相互冲突的，以标准较高者为准）。</w:t>
      </w:r>
    </w:p>
    <w:p>
      <w:pPr>
        <w:rPr>
          <w:rFonts w:hAnsi="宋体"/>
          <w:b/>
          <w:color w:val="000000"/>
          <w:szCs w:val="24"/>
        </w:rPr>
      </w:pPr>
      <w:r>
        <w:rPr>
          <w:rFonts w:hint="eastAsia" w:hAnsi="宋体"/>
          <w:b/>
          <w:color w:val="000000"/>
          <w:szCs w:val="24"/>
        </w:rPr>
        <w:t>2. 其他技术标准和要求：详见招标项目施工图纸及相关补疑（如有）。</w:t>
      </w:r>
    </w:p>
    <w:p>
      <w:pPr>
        <w:pStyle w:val="36"/>
        <w:ind w:firstLine="422"/>
        <w:rPr>
          <w:b/>
          <w:color w:val="000000"/>
        </w:rPr>
      </w:pPr>
    </w:p>
    <w:p>
      <w:pPr>
        <w:pStyle w:val="36"/>
        <w:ind w:firstLine="422"/>
        <w:rPr>
          <w:b/>
          <w:color w:val="000000"/>
        </w:rPr>
      </w:pPr>
    </w:p>
    <w:p>
      <w:pPr>
        <w:pStyle w:val="36"/>
        <w:ind w:firstLine="422"/>
        <w:rPr>
          <w:b/>
          <w:color w:val="000000"/>
        </w:rPr>
      </w:pPr>
    </w:p>
    <w:p>
      <w:pPr>
        <w:pStyle w:val="36"/>
        <w:ind w:firstLine="422"/>
        <w:rPr>
          <w:b/>
          <w:color w:val="000000"/>
        </w:rPr>
      </w:pPr>
    </w:p>
    <w:p>
      <w:pPr>
        <w:pStyle w:val="36"/>
        <w:ind w:firstLine="422"/>
        <w:rPr>
          <w:b/>
          <w:color w:val="000000"/>
        </w:rPr>
      </w:pPr>
    </w:p>
    <w:p>
      <w:pPr>
        <w:pStyle w:val="3"/>
        <w:jc w:val="center"/>
      </w:pPr>
      <w:r>
        <w:rPr>
          <w:rFonts w:hint="eastAsia" w:ascii="宋体" w:hAnsi="Times New Roman"/>
          <w:bCs/>
        </w:rPr>
        <w:br w:type="page"/>
      </w:r>
      <w:bookmarkStart w:id="68" w:name="_Toc11959"/>
      <w:r>
        <w:rPr>
          <w:rFonts w:hint="eastAsia" w:ascii="宋体" w:hAnsi="Times New Roman"/>
          <w:bCs/>
        </w:rPr>
        <w:t>第七章 响应文件格式</w:t>
      </w:r>
      <w:bookmarkEnd w:id="68"/>
    </w:p>
    <w:p>
      <w:pPr>
        <w:jc w:val="center"/>
        <w:rPr>
          <w:rFonts w:ascii="黑体" w:eastAsia="黑体"/>
          <w:sz w:val="32"/>
          <w:szCs w:val="32"/>
        </w:rPr>
      </w:pPr>
    </w:p>
    <w:p>
      <w:pPr>
        <w:jc w:val="center"/>
        <w:rPr>
          <w:rFonts w:ascii="黑体" w:eastAsia="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施工招标</w:t>
      </w:r>
    </w:p>
    <w:p>
      <w:pPr>
        <w:jc w:val="center"/>
        <w:rPr>
          <w:rFonts w:ascii="黑体" w:eastAsia="黑体"/>
          <w:sz w:val="28"/>
          <w:szCs w:val="28"/>
        </w:rPr>
      </w:pPr>
    </w:p>
    <w:p>
      <w:pPr>
        <w:jc w:val="center"/>
        <w:rPr>
          <w:rFonts w:ascii="黑体" w:eastAsia="黑体"/>
          <w:sz w:val="28"/>
          <w:szCs w:val="28"/>
        </w:rPr>
      </w:pPr>
    </w:p>
    <w:p>
      <w:pPr>
        <w:pStyle w:val="4"/>
        <w:jc w:val="center"/>
        <w:rPr>
          <w:rFonts w:ascii="黑体" w:hAnsi="黑体" w:eastAsia="黑体"/>
          <w:b w:val="0"/>
          <w:sz w:val="44"/>
          <w:szCs w:val="44"/>
        </w:rPr>
      </w:pPr>
      <w:bookmarkStart w:id="69" w:name="_Toc6513"/>
      <w:bookmarkStart w:id="70" w:name="_Toc26391"/>
      <w:r>
        <w:rPr>
          <w:rFonts w:hint="eastAsia" w:ascii="黑体" w:hAnsi="黑体" w:eastAsia="黑体"/>
          <w:b w:val="0"/>
          <w:sz w:val="44"/>
          <w:szCs w:val="44"/>
        </w:rPr>
        <w:t>响应文件</w:t>
      </w:r>
      <w:bookmarkEnd w:id="69"/>
    </w:p>
    <w:bookmarkEnd w:id="7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4"/>
        <w:spacing w:before="120" w:after="120" w:line="400" w:lineRule="exact"/>
        <w:jc w:val="center"/>
        <w:rPr>
          <w:rFonts w:ascii="黑体" w:eastAsia="黑体"/>
          <w:sz w:val="28"/>
          <w:szCs w:val="28"/>
        </w:rPr>
      </w:pPr>
      <w:r>
        <w:rPr>
          <w:rFonts w:ascii="黑体" w:eastAsia="黑体"/>
          <w:sz w:val="28"/>
          <w:szCs w:val="28"/>
        </w:rPr>
        <w:br w:type="page"/>
      </w:r>
      <w:bookmarkStart w:id="71" w:name="_Toc6048"/>
      <w:r>
        <w:rPr>
          <w:rFonts w:hint="eastAsia" w:ascii="黑体" w:eastAsia="黑体"/>
          <w:sz w:val="28"/>
          <w:szCs w:val="28"/>
        </w:rPr>
        <w:t>目  录</w:t>
      </w:r>
      <w:bookmarkEnd w:id="71"/>
    </w:p>
    <w:p/>
    <w:p/>
    <w:p>
      <w:pPr>
        <w:spacing w:line="600" w:lineRule="exact"/>
        <w:rPr>
          <w:rFonts w:hAnsi="宋体"/>
          <w:szCs w:val="21"/>
        </w:rPr>
      </w:pPr>
      <w:bookmarkStart w:id="7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ascii="宋体" w:hAnsi="宋体"/>
          <w:szCs w:val="21"/>
        </w:rPr>
        <w:t>六、投标人业绩</w:t>
      </w:r>
    </w:p>
    <w:p>
      <w:pPr>
        <w:spacing w:line="600" w:lineRule="exact"/>
        <w:rPr>
          <w:rFonts w:hAnsi="宋体"/>
          <w:szCs w:val="21"/>
        </w:rPr>
      </w:pPr>
      <w:r>
        <w:rPr>
          <w:rFonts w:hint="eastAsia" w:ascii="宋体" w:hAnsi="宋体"/>
          <w:szCs w:val="21"/>
        </w:rPr>
        <w:t>七、奖项、荣誉（如有）</w:t>
      </w:r>
    </w:p>
    <w:p>
      <w:pPr>
        <w:spacing w:line="600" w:lineRule="exact"/>
        <w:rPr>
          <w:rFonts w:hAnsi="宋体"/>
          <w:szCs w:val="21"/>
        </w:rPr>
      </w:pPr>
      <w:r>
        <w:rPr>
          <w:rFonts w:hint="eastAsia" w:ascii="宋体" w:hAnsi="宋体"/>
          <w:szCs w:val="21"/>
        </w:rPr>
        <w:t>八、项目管理机构</w:t>
      </w:r>
    </w:p>
    <w:p>
      <w:pPr>
        <w:spacing w:line="600" w:lineRule="exact"/>
        <w:rPr>
          <w:rFonts w:hAnsi="宋体"/>
          <w:szCs w:val="21"/>
        </w:rPr>
      </w:pPr>
      <w:r>
        <w:rPr>
          <w:rFonts w:hint="eastAsia" w:ascii="宋体" w:hAnsi="宋体"/>
          <w:szCs w:val="21"/>
        </w:rPr>
        <w:t>九、主要施工方案及施工技术</w:t>
      </w:r>
    </w:p>
    <w:p>
      <w:pPr>
        <w:spacing w:line="600" w:lineRule="exact"/>
        <w:rPr>
          <w:rFonts w:hAnsi="宋体"/>
          <w:szCs w:val="21"/>
        </w:rPr>
      </w:pPr>
      <w:r>
        <w:rPr>
          <w:rFonts w:hint="eastAsia" w:ascii="宋体" w:hAnsi="宋体"/>
          <w:szCs w:val="21"/>
        </w:rPr>
        <w:t>十、后期服务方案</w:t>
      </w:r>
    </w:p>
    <w:p>
      <w:pPr>
        <w:spacing w:line="600" w:lineRule="exact"/>
        <w:rPr>
          <w:rFonts w:hAnsi="宋体"/>
          <w:szCs w:val="21"/>
        </w:rPr>
      </w:pPr>
      <w:r>
        <w:rPr>
          <w:rFonts w:hint="eastAsia" w:ascii="宋体" w:hAnsi="宋体"/>
          <w:szCs w:val="21"/>
        </w:rPr>
        <w:t>十一、其他材料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1"/>
      </w:pPr>
      <w:bookmarkStart w:id="73" w:name="_Toc13673"/>
      <w:r>
        <w:rPr>
          <w:rFonts w:hint="eastAsia" w:ascii="宋体" w:hAnsi="Times New Roman"/>
          <w:sz w:val="24"/>
        </w:rPr>
        <w:t>一、开标一览表</w:t>
      </w:r>
      <w:bookmarkEnd w:id="7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ascii="宋体" w:hAnsi="宋体"/>
                <w:bCs/>
                <w:sz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ascii="宋体" w:hAnsi="宋体"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ascii="宋体" w:hAnsi="宋体"/>
                <w:bCs/>
                <w:sz w:val="24"/>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ascii="宋体" w:hAnsi="宋体"/>
                <w:bCs/>
                <w:sz w:val="24"/>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ascii="宋体" w:hAnsi="宋体"/>
                <w:bCs/>
                <w:sz w:val="24"/>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ascii="宋体" w:hAnsi="宋体"/>
                <w:bCs/>
                <w:sz w:val="24"/>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ascii="宋体" w:hAnsi="宋体"/>
          <w:bCs/>
          <w:sz w:val="24"/>
        </w:rPr>
        <w:t xml:space="preserve">投标人签章（盖单位公章）：          </w:t>
      </w:r>
    </w:p>
    <w:p>
      <w:pPr>
        <w:spacing w:before="100" w:beforeAutospacing="1" w:after="100" w:afterAutospacing="1" w:line="360" w:lineRule="auto"/>
        <w:rPr>
          <w:rFonts w:hAnsi="宋体"/>
          <w:bCs/>
        </w:rPr>
      </w:pPr>
      <w:r>
        <w:rPr>
          <w:rFonts w:hint="eastAsia" w:ascii="宋体" w:hAnsi="宋体"/>
          <w:bCs/>
          <w:sz w:val="24"/>
        </w:rPr>
        <w:t>日期：</w:t>
      </w:r>
    </w:p>
    <w:p>
      <w:pPr>
        <w:spacing w:before="100" w:beforeAutospacing="1" w:after="100" w:afterAutospacing="1" w:line="360" w:lineRule="auto"/>
        <w:rPr>
          <w:rFonts w:hAnsi="宋体"/>
          <w:bCs/>
        </w:rPr>
      </w:pPr>
      <w:r>
        <w:rPr>
          <w:rFonts w:hint="eastAsia" w:ascii="宋体" w:hAnsi="宋体"/>
          <w:bCs/>
          <w:sz w:val="24"/>
        </w:rPr>
        <w:t xml:space="preserve">                                 </w:t>
      </w:r>
    </w:p>
    <w:p>
      <w:pPr>
        <w:jc w:val="left"/>
        <w:rPr>
          <w:bCs/>
          <w:szCs w:val="21"/>
        </w:rPr>
      </w:pPr>
      <w:r>
        <w:rPr>
          <w:rFonts w:hint="eastAsia" w:ascii="宋体" w:hAnsi="宋体"/>
          <w:bCs/>
          <w:sz w:val="24"/>
        </w:rPr>
        <w:t>备注：表中最终投标报价即为优惠后报价，并作为评审及定标依据。任何有选择或有条件的最终投标报价，或者对应某一报价项填写了多个报价的，均为无效报价（谈判文件另有规定的，除外）。</w:t>
      </w:r>
    </w:p>
    <w:p>
      <w:pPr>
        <w:jc w:val="center"/>
      </w:pPr>
    </w:p>
    <w:p/>
    <w:p>
      <w:pPr>
        <w:jc w:val="center"/>
      </w:pPr>
    </w:p>
    <w:p>
      <w:pPr>
        <w:jc w:val="center"/>
      </w:pPr>
    </w:p>
    <w:p>
      <w:pPr>
        <w:jc w:val="center"/>
        <w:outlineLvl w:val="1"/>
      </w:pPr>
      <w:bookmarkStart w:id="74" w:name="_Toc22717"/>
      <w:r>
        <w:rPr>
          <w:rFonts w:hint="eastAsia" w:ascii="宋体" w:hAnsi="Times New Roman"/>
          <w:sz w:val="24"/>
        </w:rPr>
        <w:t>二、投标人基本情况表</w:t>
      </w:r>
      <w:bookmarkEnd w:id="74"/>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 xml:space="preserve">电 </w:t>
            </w:r>
            <w:r>
              <w:rPr>
                <w:rFonts w:hint="eastAsia" w:hAnsi="宋体"/>
                <w:spacing w:val="1"/>
              </w:rPr>
              <w:t xml:space="preserve"> </w:t>
            </w:r>
            <w:r>
              <w:rPr>
                <w:rFonts w:hint="eastAsia" w:hAnsi="宋体"/>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项目经理/项目负责人（或注册建造师）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Ansi="宋体"/>
              </w:rPr>
              <w:t>投标人关联</w:t>
            </w:r>
          </w:p>
          <w:p>
            <w:pPr>
              <w:autoSpaceDE w:val="0"/>
              <w:autoSpaceDN w:val="0"/>
              <w:adjustRightInd w:val="0"/>
              <w:snapToGrid w:val="0"/>
              <w:jc w:val="center"/>
              <w:rPr>
                <w:szCs w:val="21"/>
              </w:rPr>
            </w:pPr>
            <w:r>
              <w:rPr>
                <w:rFonts w:hAnsi="宋体"/>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20" w:firstLineChars="200"/>
              <w:jc w:val="left"/>
              <w:rPr>
                <w:szCs w:val="21"/>
              </w:rPr>
            </w:pPr>
            <w:r>
              <w:rPr>
                <w:rFonts w:hint="eastAsia"/>
                <w:szCs w:val="21"/>
              </w:rPr>
              <w:t>投标人应提供关联企业情况，包括：</w:t>
            </w:r>
          </w:p>
          <w:p>
            <w:pPr>
              <w:topLinePunct/>
              <w:ind w:firstLine="42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rPr>
            </w:pPr>
            <w:r>
              <w:rPr>
                <w:rFonts w:hint="eastAsia"/>
                <w:szCs w:val="21"/>
              </w:rPr>
              <w:t>（2）投标人投资（控股）或管理的下属企业名称、持有股权（出资额）比例；</w:t>
            </w:r>
          </w:p>
          <w:p>
            <w:pPr>
              <w:topLinePunct/>
              <w:ind w:firstLine="42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rPr>
      </w:pPr>
    </w:p>
    <w:p>
      <w:pPr>
        <w:autoSpaceDE w:val="0"/>
        <w:autoSpaceDN w:val="0"/>
        <w:adjustRightInd w:val="0"/>
        <w:spacing w:line="300" w:lineRule="exact"/>
        <w:jc w:val="left"/>
        <w:rPr>
          <w:rFonts w:hAnsi="宋体"/>
          <w:b/>
          <w:bCs/>
        </w:rPr>
      </w:pPr>
      <w:r>
        <w:rPr>
          <w:rFonts w:hint="eastAsia" w:hAnsi="宋体"/>
          <w:b/>
          <w:bCs/>
        </w:rPr>
        <w:t>注：</w:t>
      </w:r>
      <w:r>
        <w:rPr>
          <w:rFonts w:hint="eastAsia" w:hAnsi="宋体" w:cs="宋体"/>
          <w:b/>
          <w:bCs/>
          <w:szCs w:val="21"/>
        </w:rPr>
        <w:t>投标人应根据谈判文件相关评审要求在本表后附营业执照或</w:t>
      </w:r>
      <w:r>
        <w:rPr>
          <w:rFonts w:hint="eastAsia" w:ascii="宋体" w:hAnsi="宋体"/>
          <w:b/>
          <w:bCs/>
          <w:sz w:val="24"/>
          <w:szCs w:val="24"/>
        </w:rPr>
        <w:t>事业单位法人证书、</w:t>
      </w:r>
      <w:r>
        <w:rPr>
          <w:rFonts w:hint="eastAsia" w:hAnsi="宋体"/>
          <w:b/>
          <w:bCs/>
        </w:rPr>
        <w:t>资质证书、安全生产许可证等材料。</w:t>
      </w:r>
    </w:p>
    <w:p>
      <w:pPr>
        <w:jc w:val="center"/>
      </w:pPr>
    </w:p>
    <w:p>
      <w:pPr>
        <w:jc w:val="center"/>
      </w:pPr>
    </w:p>
    <w:bookmarkEnd w:id="72"/>
    <w:p>
      <w:pPr>
        <w:pStyle w:val="5"/>
        <w:jc w:val="center"/>
        <w:rPr>
          <w:rFonts w:ascii="宋体" w:hAnsi="Times New Roman" w:eastAsia="宋体"/>
          <w:bCs w:val="0"/>
        </w:rPr>
      </w:pPr>
      <w:bookmarkStart w:id="75" w:name="_Toc26533"/>
      <w:bookmarkStart w:id="76" w:name="_Toc421917001"/>
      <w:bookmarkStart w:id="77" w:name="_Toc390411621"/>
      <w:bookmarkStart w:id="78" w:name="_Toc460227108"/>
      <w:bookmarkStart w:id="79" w:name="_Toc460660223"/>
      <w:bookmarkStart w:id="80" w:name="_Toc224103496"/>
      <w:r>
        <w:rPr>
          <w:rFonts w:hint="eastAsia" w:ascii="宋体" w:hAnsi="Times New Roman" w:eastAsia="宋体"/>
          <w:bCs w:val="0"/>
        </w:rPr>
        <w:t>三、投标函</w:t>
      </w:r>
      <w:bookmarkEnd w:id="75"/>
    </w:p>
    <w:p>
      <w:pPr>
        <w:adjustRightInd w:val="0"/>
        <w:snapToGrid w:val="0"/>
        <w:spacing w:beforeLines="20" w:afterLines="20" w:line="400" w:lineRule="exact"/>
        <w:rPr>
          <w:rFonts w:hAnsi="宋体"/>
          <w:u w:val="single"/>
        </w:rPr>
      </w:pPr>
      <w:r>
        <w:rPr>
          <w:rFonts w:hint="eastAsia" w:eastAsia="黑体"/>
          <w:snapToGrid w:val="0"/>
          <w:szCs w:val="21"/>
          <w:u w:val="single"/>
        </w:rPr>
        <w:t xml:space="preserve">       </w:t>
      </w:r>
      <w:r>
        <w:rPr>
          <w:snapToGrid w:val="0"/>
          <w:szCs w:val="21"/>
        </w:rPr>
        <w:t>（招标人名称）</w:t>
      </w:r>
      <w:r>
        <w:rPr>
          <w:rFonts w:hint="eastAsia"/>
          <w:snapToGrid w:val="0"/>
          <w:szCs w:val="21"/>
        </w:rPr>
        <w:t>：</w:t>
      </w:r>
    </w:p>
    <w:p>
      <w:pPr>
        <w:numPr>
          <w:ilvl w:val="0"/>
          <w:numId w:val="5"/>
        </w:numPr>
        <w:tabs>
          <w:tab w:val="left" w:pos="7560"/>
        </w:tabs>
        <w:adjustRightInd w:val="0"/>
        <w:snapToGrid w:val="0"/>
        <w:spacing w:beforeLines="20" w:afterLines="20" w:line="400" w:lineRule="exact"/>
        <w:ind w:firstLine="420" w:firstLineChars="200"/>
        <w:jc w:val="left"/>
        <w:rPr>
          <w:rFonts w:hAnsi="宋体"/>
        </w:rPr>
      </w:pPr>
      <w:r>
        <w:rPr>
          <w:rFonts w:hint="eastAsia" w:hAnsi="宋体"/>
        </w:rPr>
        <w:t>我方已仔细研究</w:t>
      </w:r>
      <w:r>
        <w:rPr>
          <w:rFonts w:hint="eastAsia" w:hAnsi="宋体"/>
          <w:u w:val="single"/>
        </w:rPr>
        <w:t xml:space="preserve">       </w:t>
      </w:r>
      <w:r>
        <w:rPr>
          <w:rFonts w:hint="eastAsia" w:hAnsi="宋体"/>
        </w:rPr>
        <w:t>（招标项目名称）谈判文件的全部内容，在考察工程现场后，愿以</w:t>
      </w:r>
      <w:r>
        <w:rPr>
          <w:rFonts w:hint="eastAsia" w:hAnsi="宋体"/>
          <w:b/>
        </w:rPr>
        <w:t>人民币（大写）</w:t>
      </w:r>
      <w:r>
        <w:rPr>
          <w:rFonts w:hint="eastAsia" w:hAnsi="宋体"/>
          <w:b/>
          <w:u w:val="single"/>
        </w:rPr>
        <w:t xml:space="preserve">          </w:t>
      </w:r>
      <w:r>
        <w:rPr>
          <w:rFonts w:hint="eastAsia" w:hAnsi="宋体"/>
          <w:b/>
        </w:rPr>
        <w:t>（¥</w:t>
      </w:r>
      <w:r>
        <w:rPr>
          <w:rFonts w:hint="eastAsia" w:hAnsi="宋体"/>
          <w:b/>
          <w:u w:val="single"/>
        </w:rPr>
        <w:t xml:space="preserve">         </w:t>
      </w:r>
      <w:r>
        <w:rPr>
          <w:rFonts w:hint="eastAsia" w:hAnsi="宋体"/>
          <w:b/>
        </w:rPr>
        <w:t>）</w:t>
      </w:r>
      <w:r>
        <w:rPr>
          <w:rFonts w:hint="eastAsia" w:hAnsi="宋体"/>
          <w:u w:val="single"/>
        </w:rPr>
        <w:t>的</w:t>
      </w:r>
      <w:r>
        <w:rPr>
          <w:rFonts w:hint="eastAsia" w:hAnsi="宋体"/>
        </w:rPr>
        <w:t>投标报价，按合同约定实施和完成承包项目施工/供货/服务，修补工程中的任何缺陷。</w:t>
      </w:r>
    </w:p>
    <w:p>
      <w:pPr>
        <w:tabs>
          <w:tab w:val="left" w:pos="7560"/>
        </w:tabs>
        <w:adjustRightInd w:val="0"/>
        <w:snapToGrid w:val="0"/>
        <w:spacing w:beforeLines="20" w:afterLines="20" w:line="400" w:lineRule="exact"/>
        <w:ind w:firstLine="420" w:firstLineChars="200"/>
        <w:jc w:val="left"/>
        <w:rPr>
          <w:rFonts w:hAnsi="宋体"/>
        </w:rPr>
      </w:pPr>
      <w:r>
        <w:rPr>
          <w:rFonts w:hint="eastAsia" w:hAnsi="宋体"/>
        </w:rPr>
        <w:t>2. 我方承诺在谈判文件规定的投标有效期内不撤销投标文件。</w:t>
      </w:r>
    </w:p>
    <w:p>
      <w:pPr>
        <w:tabs>
          <w:tab w:val="left" w:pos="7560"/>
        </w:tabs>
        <w:adjustRightInd w:val="0"/>
        <w:snapToGrid w:val="0"/>
        <w:spacing w:beforeLines="20" w:afterLines="20" w:line="400" w:lineRule="exact"/>
        <w:ind w:firstLine="420" w:firstLineChars="200"/>
        <w:jc w:val="left"/>
        <w:rPr>
          <w:rFonts w:hAnsi="宋体"/>
          <w:bCs/>
          <w:szCs w:val="32"/>
        </w:rPr>
      </w:pPr>
      <w:r>
        <w:rPr>
          <w:rFonts w:hint="eastAsia" w:hAnsi="宋体"/>
        </w:rPr>
        <w:t>3. 工程质量：</w:t>
      </w:r>
      <w:r>
        <w:rPr>
          <w:rFonts w:hint="eastAsia" w:hAnsi="宋体"/>
          <w:u w:val="single"/>
        </w:rPr>
        <w:t xml:space="preserve">        </w:t>
      </w:r>
      <w:r>
        <w:rPr>
          <w:rFonts w:hint="eastAsia" w:hAnsi="宋体"/>
        </w:rPr>
        <w:t>；工期：</w:t>
      </w:r>
      <w:r>
        <w:rPr>
          <w:rFonts w:hint="eastAsia" w:hAnsi="宋体"/>
          <w:u w:val="single"/>
        </w:rPr>
        <w:t xml:space="preserve">        </w:t>
      </w:r>
      <w:r>
        <w:rPr>
          <w:rFonts w:hint="eastAsia" w:hAnsi="宋体"/>
        </w:rPr>
        <w:t>日历天。</w:t>
      </w:r>
    </w:p>
    <w:p>
      <w:pPr>
        <w:tabs>
          <w:tab w:val="left" w:pos="7560"/>
        </w:tabs>
        <w:adjustRightInd w:val="0"/>
        <w:snapToGrid w:val="0"/>
        <w:spacing w:beforeLines="20" w:afterLines="20" w:line="400" w:lineRule="exact"/>
        <w:ind w:firstLine="420" w:firstLineChars="200"/>
        <w:jc w:val="left"/>
        <w:rPr>
          <w:rFonts w:hAnsi="宋体"/>
          <w:bCs/>
          <w:szCs w:val="32"/>
        </w:rPr>
      </w:pPr>
      <w:r>
        <w:rPr>
          <w:rFonts w:hint="eastAsia" w:hAnsi="宋体"/>
          <w:bCs/>
          <w:szCs w:val="32"/>
        </w:rPr>
        <w:t>4. 如我方中标，我方承诺：</w:t>
      </w:r>
    </w:p>
    <w:p>
      <w:pPr>
        <w:adjustRightInd w:val="0"/>
        <w:snapToGrid w:val="0"/>
        <w:spacing w:beforeLines="20" w:afterLines="20" w:line="400" w:lineRule="exact"/>
        <w:ind w:firstLine="367" w:firstLineChars="175"/>
        <w:rPr>
          <w:rFonts w:hAnsi="宋体"/>
          <w:bCs/>
          <w:szCs w:val="32"/>
        </w:rPr>
      </w:pPr>
      <w:r>
        <w:rPr>
          <w:rFonts w:hint="eastAsia" w:hAnsi="宋体"/>
          <w:bCs/>
          <w:szCs w:val="32"/>
        </w:rPr>
        <w:t>（1）在收到中标通知书后，在中标通知书规定的期限内与你方签订合同；</w:t>
      </w:r>
    </w:p>
    <w:p>
      <w:pPr>
        <w:adjustRightInd w:val="0"/>
        <w:snapToGrid w:val="0"/>
        <w:spacing w:beforeLines="20" w:afterLines="20" w:line="400" w:lineRule="exact"/>
        <w:ind w:firstLine="367" w:firstLineChars="175"/>
        <w:rPr>
          <w:rFonts w:hAnsi="宋体"/>
          <w:bCs/>
          <w:szCs w:val="32"/>
        </w:rPr>
      </w:pPr>
      <w:r>
        <w:rPr>
          <w:rFonts w:hint="eastAsia" w:hAnsi="宋体"/>
          <w:bCs/>
          <w:szCs w:val="32"/>
        </w:rPr>
        <w:t>（2）在签订合同时不向你方提出附加条件；</w:t>
      </w:r>
    </w:p>
    <w:p>
      <w:pPr>
        <w:adjustRightInd w:val="0"/>
        <w:snapToGrid w:val="0"/>
        <w:spacing w:beforeLines="20" w:afterLines="20" w:line="400" w:lineRule="exact"/>
        <w:ind w:firstLine="367" w:firstLineChars="175"/>
        <w:rPr>
          <w:rFonts w:hAnsi="宋体"/>
          <w:bCs/>
          <w:szCs w:val="32"/>
        </w:rPr>
      </w:pPr>
      <w:r>
        <w:rPr>
          <w:rFonts w:hint="eastAsia" w:hAnsi="宋体"/>
          <w:bCs/>
          <w:szCs w:val="32"/>
        </w:rPr>
        <w:t>（3）按照谈判文件要求提交履约保证金；</w:t>
      </w:r>
    </w:p>
    <w:p>
      <w:pPr>
        <w:adjustRightInd w:val="0"/>
        <w:snapToGrid w:val="0"/>
        <w:spacing w:beforeLines="20" w:afterLines="20" w:line="400" w:lineRule="exact"/>
        <w:ind w:firstLine="367" w:firstLineChars="175"/>
        <w:rPr>
          <w:rFonts w:hAnsi="宋体"/>
          <w:bCs/>
          <w:szCs w:val="32"/>
        </w:rPr>
      </w:pPr>
      <w:r>
        <w:rPr>
          <w:rFonts w:hint="eastAsia" w:hAnsi="宋体"/>
          <w:bCs/>
          <w:szCs w:val="32"/>
        </w:rPr>
        <w:t>（4）在合同约定的期限内完成合同规定的全部义务；</w:t>
      </w:r>
    </w:p>
    <w:p>
      <w:pPr>
        <w:adjustRightInd w:val="0"/>
        <w:snapToGrid w:val="0"/>
        <w:spacing w:beforeLines="20" w:afterLines="20" w:line="400" w:lineRule="exact"/>
        <w:ind w:firstLine="367" w:firstLineChars="175"/>
        <w:rPr>
          <w:rFonts w:hAnsi="宋体"/>
          <w:bCs/>
          <w:szCs w:val="32"/>
        </w:rPr>
      </w:pPr>
      <w:r>
        <w:rPr>
          <w:rFonts w:hint="eastAsia" w:hAnsi="宋体"/>
          <w:bCs/>
          <w:szCs w:val="32"/>
        </w:rPr>
        <w:t>（5）在你方和我方进行合同谈判之前，我方将按照投标文件中填报人员及谈判文件提出的最低要求填报派驻本标段的其他管理和技术人员及主要机械设备，经你方审批后作为派驻本标段的项目管理机构主要人员和主要设备且不进行更换。我方承诺除非谈判文件另有约定，我方派驻本标段的项目经理/项目负责人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Lines="20" w:afterLines="20" w:line="400" w:lineRule="exact"/>
        <w:ind w:firstLine="367" w:firstLineChars="175"/>
        <w:rPr>
          <w:rFonts w:hAnsi="宋体"/>
        </w:rPr>
      </w:pPr>
      <w:r>
        <w:rPr>
          <w:rFonts w:hint="eastAsia" w:hAnsi="宋体"/>
          <w:bCs/>
          <w:szCs w:val="32"/>
        </w:rPr>
        <w:t>（6）</w:t>
      </w:r>
      <w:r>
        <w:rPr>
          <w:rFonts w:hint="eastAsia" w:hAnsi="宋体"/>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Lines="20" w:afterLines="20" w:line="400" w:lineRule="exact"/>
        <w:ind w:firstLine="367" w:firstLineChars="175"/>
        <w:rPr>
          <w:rFonts w:hAnsi="宋体"/>
          <w:bCs/>
          <w:szCs w:val="32"/>
        </w:rPr>
      </w:pPr>
      <w:r>
        <w:rPr>
          <w:rFonts w:hint="eastAsia" w:hAnsi="宋体"/>
          <w:bCs/>
          <w:szCs w:val="21"/>
        </w:rPr>
        <w:t>（7）</w:t>
      </w:r>
      <w:r>
        <w:rPr>
          <w:rFonts w:hAnsi="宋体" w:cs="宋体"/>
          <w:szCs w:val="21"/>
        </w:rPr>
        <w:t>投标报价中已包含</w:t>
      </w:r>
      <w:r>
        <w:rPr>
          <w:rFonts w:hint="eastAsia" w:hAnsi="宋体" w:cs="宋体"/>
          <w:szCs w:val="21"/>
        </w:rPr>
        <w:t>谈判文件</w:t>
      </w:r>
      <w:r>
        <w:rPr>
          <w:rFonts w:hAnsi="宋体" w:cs="宋体"/>
          <w:szCs w:val="21"/>
        </w:rPr>
        <w:t>公布的施工扬尘污染防治费用和建筑工人实名制管理费用。</w:t>
      </w:r>
      <w:r>
        <w:rPr>
          <w:rFonts w:hint="eastAsia" w:hAnsi="宋体" w:cs="宋体"/>
          <w:szCs w:val="21"/>
        </w:rPr>
        <w:t>同时</w:t>
      </w:r>
      <w:r>
        <w:rPr>
          <w:rFonts w:hint="eastAsia" w:hAnsi="宋体"/>
          <w:bCs/>
          <w:szCs w:val="32"/>
        </w:rPr>
        <w:t>我方将按照谈判文件要求对农民工工资进行办理专户设立、工资支付等事宜。</w:t>
      </w:r>
    </w:p>
    <w:p>
      <w:pPr>
        <w:adjustRightInd w:val="0"/>
        <w:snapToGrid w:val="0"/>
        <w:spacing w:beforeLines="20" w:afterLines="20" w:line="400" w:lineRule="exact"/>
        <w:ind w:firstLine="367" w:firstLineChars="175"/>
        <w:rPr>
          <w:rFonts w:hAnsi="宋体"/>
        </w:rPr>
      </w:pPr>
      <w:r>
        <w:rPr>
          <w:rFonts w:hint="eastAsia" w:hAnsi="宋体" w:cs="宋体"/>
          <w:szCs w:val="21"/>
        </w:rPr>
        <w:t xml:space="preserve">   </w:t>
      </w:r>
      <w:r>
        <w:rPr>
          <w:rFonts w:hAnsi="宋体" w:cs="宋体"/>
          <w:szCs w:val="21"/>
        </w:rPr>
        <w:t>（8）</w:t>
      </w:r>
      <w:r>
        <w:rPr>
          <w:rFonts w:hint="eastAsia"/>
          <w:bCs/>
          <w:snapToGrid w:val="0"/>
          <w:szCs w:val="21"/>
        </w:rPr>
        <w:t>工程竣工结算时，未落实的施工扬尘污染防治和建筑工人实名制管理措施项目, 按清单所列金额从工程结算价款中扣除</w:t>
      </w:r>
      <w:r>
        <w:rPr>
          <w:rFonts w:hAnsi="宋体" w:cs="宋体"/>
          <w:szCs w:val="21"/>
        </w:rPr>
        <w:t>（本条适用执行合造价〔2021〕5号文项目）。</w:t>
      </w:r>
    </w:p>
    <w:p>
      <w:pPr>
        <w:adjustRightInd w:val="0"/>
        <w:snapToGrid w:val="0"/>
        <w:spacing w:beforeLines="20" w:afterLines="20" w:line="400" w:lineRule="exact"/>
        <w:ind w:firstLine="367" w:firstLineChars="175"/>
        <w:rPr>
          <w:rFonts w:hAnsi="宋体"/>
          <w:bCs/>
          <w:szCs w:val="32"/>
        </w:rPr>
      </w:pPr>
      <w:r>
        <w:rPr>
          <w:rFonts w:hint="eastAsia" w:hAnsi="宋体"/>
          <w:bCs/>
          <w:szCs w:val="32"/>
        </w:rPr>
        <w:t>6.</w:t>
      </w:r>
      <w:r>
        <w:rPr>
          <w:snapToGrid w:val="0"/>
          <w:szCs w:val="21"/>
        </w:rPr>
        <w:t xml:space="preserve"> </w:t>
      </w:r>
      <w:r>
        <w:rPr>
          <w:rFonts w:hAnsi="宋体"/>
          <w:bCs/>
          <w:szCs w:val="32"/>
        </w:rPr>
        <w:t>我方在此声明，所递交的投标文件及有关资料内容完整、真实和准确，</w:t>
      </w:r>
      <w:r>
        <w:rPr>
          <w:rFonts w:hint="eastAsia" w:hAnsi="宋体"/>
          <w:bCs/>
          <w:szCs w:val="32"/>
        </w:rPr>
        <w:t>符合资格审查条件（信誉最低要求），</w:t>
      </w:r>
      <w:r>
        <w:rPr>
          <w:rFonts w:hAnsi="宋体"/>
          <w:bCs/>
          <w:szCs w:val="32"/>
        </w:rPr>
        <w:t>且</w:t>
      </w:r>
      <w:r>
        <w:rPr>
          <w:rFonts w:hint="eastAsia" w:hAnsi="宋体"/>
          <w:bCs/>
          <w:szCs w:val="32"/>
        </w:rPr>
        <w:t>我方资格满足谈判公告投标人资格条件5</w:t>
      </w:r>
      <w:r>
        <w:rPr>
          <w:rFonts w:hAnsi="宋体"/>
          <w:bCs/>
          <w:szCs w:val="32"/>
        </w:rPr>
        <w:t>。</w:t>
      </w:r>
    </w:p>
    <w:p>
      <w:pPr>
        <w:adjustRightInd w:val="0"/>
        <w:snapToGrid w:val="0"/>
        <w:spacing w:beforeLines="20" w:afterLines="20" w:line="400" w:lineRule="exact"/>
        <w:ind w:firstLine="367" w:firstLineChars="175"/>
        <w:rPr>
          <w:rFonts w:hAnsi="宋体"/>
          <w:bCs/>
          <w:szCs w:val="32"/>
        </w:rPr>
      </w:pPr>
      <w:r>
        <w:rPr>
          <w:rFonts w:hint="eastAsia" w:hAnsi="宋体"/>
          <w:bCs/>
          <w:szCs w:val="32"/>
        </w:rPr>
        <w:t>7. 除非另外达成协议并生效，你方的中标通知书和本投标文件以及谈判文件、谈判文件澄清、修改、补充文件将成为约束双方的合同文件的组成部分。</w:t>
      </w:r>
    </w:p>
    <w:p>
      <w:pPr>
        <w:adjustRightInd w:val="0"/>
        <w:snapToGrid w:val="0"/>
        <w:spacing w:beforeLines="20" w:afterLines="20" w:line="400" w:lineRule="exact"/>
        <w:ind w:firstLine="367" w:firstLineChars="175"/>
        <w:rPr>
          <w:rFonts w:hAnsi="宋体"/>
          <w:bCs/>
          <w:szCs w:val="32"/>
        </w:rPr>
      </w:pPr>
      <w:r>
        <w:rPr>
          <w:rFonts w:hint="eastAsia" w:hAnsi="宋体"/>
          <w:bCs/>
          <w:szCs w:val="32"/>
        </w:rPr>
        <w:t xml:space="preserve">8. </w:t>
      </w:r>
      <w:r>
        <w:rPr>
          <w:rFonts w:hint="eastAsia" w:eastAsia="黑体"/>
          <w:snapToGrid w:val="0"/>
          <w:szCs w:val="21"/>
          <w:u w:val="single"/>
        </w:rPr>
        <w:t xml:space="preserve">                          </w:t>
      </w:r>
      <w:r>
        <w:rPr>
          <w:snapToGrid w:val="0"/>
          <w:szCs w:val="21"/>
        </w:rPr>
        <w:t>（其他补充说明）。</w:t>
      </w:r>
    </w:p>
    <w:p>
      <w:pPr>
        <w:adjustRightInd w:val="0"/>
        <w:snapToGrid w:val="0"/>
        <w:spacing w:beforeLines="20" w:afterLines="20" w:line="400" w:lineRule="exact"/>
        <w:ind w:firstLine="490" w:firstLineChars="175"/>
        <w:rPr>
          <w:rFonts w:hAnsi="宋体"/>
          <w:bCs/>
          <w:sz w:val="28"/>
          <w:szCs w:val="32"/>
        </w:rPr>
      </w:pPr>
    </w:p>
    <w:p>
      <w:pPr>
        <w:adjustRightInd w:val="0"/>
        <w:snapToGrid w:val="0"/>
        <w:spacing w:beforeLines="20" w:afterLines="20" w:line="400" w:lineRule="exact"/>
        <w:ind w:firstLine="367" w:firstLineChars="175"/>
        <w:rPr>
          <w:rFonts w:hAnsi="宋体"/>
          <w:bCs/>
          <w:szCs w:val="21"/>
          <w:u w:val="single"/>
        </w:rPr>
      </w:pPr>
      <w:r>
        <w:rPr>
          <w:rFonts w:hint="eastAsia" w:hAnsi="宋体"/>
          <w:bCs/>
          <w:szCs w:val="21"/>
        </w:rPr>
        <w:t>投 标 人：</w:t>
      </w:r>
      <w:r>
        <w:rPr>
          <w:rFonts w:hint="eastAsia" w:hAnsi="宋体"/>
          <w:bCs/>
          <w:szCs w:val="21"/>
          <w:u w:val="single"/>
        </w:rPr>
        <w:t xml:space="preserve">                                             </w:t>
      </w:r>
      <w:r>
        <w:rPr>
          <w:rFonts w:hint="eastAsia" w:hAnsi="宋体"/>
          <w:bCs/>
          <w:szCs w:val="21"/>
        </w:rPr>
        <w:t>（盖单位章）</w:t>
      </w:r>
    </w:p>
    <w:p>
      <w:pPr>
        <w:adjustRightInd w:val="0"/>
        <w:snapToGrid w:val="0"/>
        <w:spacing w:beforeLines="20" w:afterLines="20" w:line="400" w:lineRule="exact"/>
        <w:ind w:firstLine="367" w:firstLineChars="175"/>
        <w:rPr>
          <w:rFonts w:hAnsi="宋体"/>
          <w:szCs w:val="21"/>
          <w:u w:val="single"/>
        </w:rPr>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adjustRightInd w:val="0"/>
        <w:snapToGrid w:val="0"/>
        <w:spacing w:beforeLines="20" w:afterLines="20" w:line="400" w:lineRule="exact"/>
        <w:ind w:firstLine="367" w:firstLineChars="175"/>
        <w:rPr>
          <w:rFonts w:hAnsi="宋体"/>
          <w:szCs w:val="21"/>
          <w:u w:val="single"/>
        </w:rPr>
      </w:pPr>
      <w:r>
        <w:rPr>
          <w:rFonts w:hint="eastAsia" w:hAnsi="宋体"/>
          <w:szCs w:val="21"/>
        </w:rPr>
        <w:t>单位地址：</w:t>
      </w:r>
      <w:r>
        <w:rPr>
          <w:rFonts w:hint="eastAsia" w:hAnsi="宋体"/>
          <w:szCs w:val="21"/>
          <w:u w:val="single"/>
        </w:rPr>
        <w:t xml:space="preserve">                                                       </w:t>
      </w:r>
    </w:p>
    <w:p>
      <w:pPr>
        <w:adjustRightInd w:val="0"/>
        <w:snapToGrid w:val="0"/>
        <w:spacing w:beforeLines="20" w:afterLines="20" w:line="400" w:lineRule="exact"/>
        <w:ind w:firstLine="367" w:firstLineChars="175"/>
        <w:rPr>
          <w:rFonts w:hAnsi="宋体"/>
          <w:szCs w:val="21"/>
        </w:rPr>
      </w:pPr>
      <w:r>
        <w:rPr>
          <w:rFonts w:hint="eastAsia" w:hAnsi="宋体"/>
          <w:bCs/>
          <w:szCs w:val="21"/>
        </w:rPr>
        <w:t>邮政编码</w:t>
      </w:r>
      <w:r>
        <w:rPr>
          <w:rFonts w:hint="eastAsia" w:hAnsi="宋体"/>
          <w:szCs w:val="21"/>
        </w:rPr>
        <w:t>：</w:t>
      </w:r>
      <w:r>
        <w:rPr>
          <w:rFonts w:hint="eastAsia" w:hAnsi="宋体"/>
          <w:bCs/>
          <w:szCs w:val="32"/>
          <w:u w:val="single"/>
        </w:rPr>
        <w:t xml:space="preserve">           </w:t>
      </w:r>
      <w:r>
        <w:rPr>
          <w:rFonts w:hint="eastAsia" w:hAnsi="宋体"/>
          <w:szCs w:val="21"/>
        </w:rPr>
        <w:t>电话：</w:t>
      </w:r>
      <w:r>
        <w:rPr>
          <w:rFonts w:hint="eastAsia" w:hAnsi="宋体"/>
          <w:bCs/>
          <w:szCs w:val="32"/>
          <w:u w:val="single"/>
        </w:rPr>
        <w:t xml:space="preserve">           </w:t>
      </w:r>
      <w:r>
        <w:rPr>
          <w:rFonts w:hint="eastAsia" w:hAnsi="宋体"/>
          <w:szCs w:val="21"/>
        </w:rPr>
        <w:t xml:space="preserve"> 传真：</w:t>
      </w:r>
      <w:r>
        <w:rPr>
          <w:rFonts w:hint="eastAsia" w:hAnsi="宋体"/>
          <w:szCs w:val="21"/>
          <w:u w:val="single"/>
        </w:rPr>
        <w:t xml:space="preserve">                    </w:t>
      </w:r>
    </w:p>
    <w:p>
      <w:pPr>
        <w:adjustRightInd w:val="0"/>
        <w:snapToGrid w:val="0"/>
        <w:spacing w:beforeLines="20" w:afterLines="20" w:line="400" w:lineRule="exact"/>
        <w:ind w:firstLine="367" w:firstLineChars="175"/>
        <w:rPr>
          <w:rFonts w:hAnsi="宋体"/>
          <w:szCs w:val="21"/>
        </w:rPr>
      </w:pPr>
      <w:r>
        <w:rPr>
          <w:rFonts w:hint="eastAsia" w:hAnsi="宋体"/>
          <w:bCs/>
          <w:szCs w:val="21"/>
        </w:rPr>
        <w:t>日期</w:t>
      </w:r>
      <w:r>
        <w:rPr>
          <w:rFonts w:hint="eastAsia" w:hAnsi="宋体"/>
          <w:szCs w:val="21"/>
        </w:rPr>
        <w:t>：</w:t>
      </w:r>
      <w:r>
        <w:rPr>
          <w:rFonts w:hAnsi="宋体"/>
          <w:szCs w:val="21"/>
        </w:rPr>
        <w:t>____</w:t>
      </w:r>
      <w:r>
        <w:rPr>
          <w:rFonts w:hAnsi="宋体"/>
          <w:szCs w:val="21"/>
          <w:u w:val="single"/>
        </w:rPr>
        <w:t xml:space="preserve">    </w:t>
      </w:r>
      <w:r>
        <w:rPr>
          <w:rFonts w:hAnsi="宋体"/>
          <w:szCs w:val="21"/>
        </w:rPr>
        <w:t>_</w:t>
      </w:r>
      <w:r>
        <w:rPr>
          <w:rFonts w:hint="eastAsia" w:hAnsi="宋体"/>
          <w:szCs w:val="21"/>
        </w:rPr>
        <w:t>年</w:t>
      </w:r>
      <w:r>
        <w:rPr>
          <w:rFonts w:hAnsi="宋体"/>
          <w:szCs w:val="21"/>
          <w:u w:val="single"/>
        </w:rPr>
        <w:t>_       _</w:t>
      </w:r>
      <w:r>
        <w:rPr>
          <w:rFonts w:hint="eastAsia" w:hAnsi="宋体"/>
          <w:szCs w:val="21"/>
        </w:rPr>
        <w:t>月</w:t>
      </w:r>
      <w:r>
        <w:rPr>
          <w:rFonts w:hAnsi="宋体"/>
          <w:szCs w:val="21"/>
          <w:u w:val="single"/>
        </w:rPr>
        <w:t>_    _</w:t>
      </w:r>
      <w:r>
        <w:rPr>
          <w:rFonts w:hAnsi="宋体"/>
          <w:szCs w:val="21"/>
        </w:rPr>
        <w:t>__</w:t>
      </w:r>
      <w:r>
        <w:rPr>
          <w:rFonts w:hint="eastAsia" w:hAnsi="宋体"/>
          <w:szCs w:val="21"/>
        </w:rPr>
        <w:t>日</w:t>
      </w:r>
    </w:p>
    <w:p>
      <w:pPr>
        <w:spacing w:beforeLines="100" w:line="510" w:lineRule="exact"/>
        <w:jc w:val="center"/>
        <w:outlineLvl w:val="1"/>
      </w:pPr>
      <w:r>
        <w:rPr>
          <w:rFonts w:ascii="黑体" w:hAnsi="宋体" w:eastAsia="黑体"/>
          <w:sz w:val="28"/>
          <w:szCs w:val="28"/>
        </w:rPr>
        <w:br w:type="page"/>
      </w:r>
      <w:bookmarkStart w:id="81" w:name="_Toc17269"/>
      <w:r>
        <w:rPr>
          <w:rFonts w:hint="eastAsia" w:ascii="宋体" w:hAnsi="Times New Roman"/>
          <w:sz w:val="24"/>
        </w:rPr>
        <w:t>四、法定代表人身份证明或授权委托书</w:t>
      </w:r>
      <w:bookmarkEnd w:id="76"/>
      <w:bookmarkEnd w:id="77"/>
      <w:bookmarkEnd w:id="78"/>
      <w:bookmarkEnd w:id="79"/>
      <w:bookmarkEnd w:id="81"/>
    </w:p>
    <w:p>
      <w:pPr>
        <w:spacing w:line="360" w:lineRule="auto"/>
        <w:ind w:firstLine="1164" w:firstLineChars="414"/>
        <w:rPr>
          <w:rFonts w:hAnsi="宋体"/>
          <w:b/>
          <w:bCs/>
          <w:sz w:val="28"/>
        </w:rPr>
      </w:pPr>
    </w:p>
    <w:p>
      <w:pPr>
        <w:jc w:val="center"/>
        <w:rPr>
          <w:rFonts w:ascii="黑体" w:hAnsi="黑体" w:eastAsia="黑体"/>
          <w:bCs/>
        </w:rPr>
      </w:pPr>
      <w:r>
        <w:rPr>
          <w:rFonts w:hint="eastAsia" w:ascii="黑体" w:hAnsi="黑体" w:eastAsia="黑体"/>
          <w:bCs/>
        </w:rPr>
        <w:t>法定代表人身份证明</w:t>
      </w:r>
    </w:p>
    <w:p>
      <w:pPr>
        <w:ind w:left="765"/>
        <w:rPr>
          <w:rFonts w:hAnsi="宋体"/>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附：法定代表人身份证扫描件</w:t>
      </w:r>
    </w:p>
    <w:p>
      <w:pPr>
        <w:spacing w:line="500" w:lineRule="exact"/>
        <w:rPr>
          <w:rFonts w:hAnsi="宋体"/>
          <w:szCs w:val="21"/>
        </w:rPr>
      </w:pPr>
    </w:p>
    <w:p>
      <w:pPr>
        <w:wordWrap w:val="0"/>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Lines="20" w:afterLines="20" w:line="540" w:lineRule="exact"/>
        <w:jc w:val="right"/>
        <w:rPr>
          <w:rFonts w:hAnsi="宋体"/>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Lines="20" w:afterLines="20" w:line="540" w:lineRule="exact"/>
        <w:ind w:firstLine="3360" w:firstLineChars="1600"/>
        <w:rPr>
          <w:rFonts w:hAnsi="宋体"/>
        </w:rPr>
      </w:pPr>
    </w:p>
    <w:p>
      <w:pPr>
        <w:spacing w:beforeLines="20" w:afterLines="20" w:line="540" w:lineRule="exact"/>
        <w:rPr>
          <w:rFonts w:hAnsi="宋体"/>
          <w:b/>
          <w:bCs/>
        </w:rPr>
      </w:pPr>
    </w:p>
    <w:p>
      <w:pPr>
        <w:spacing w:beforeLines="20" w:afterLines="20" w:line="540" w:lineRule="exact"/>
        <w:rPr>
          <w:rFonts w:hAnsi="宋体"/>
          <w:b/>
          <w:bCs/>
        </w:rPr>
      </w:pPr>
    </w:p>
    <w:p>
      <w:pPr>
        <w:spacing w:beforeLines="20" w:afterLines="20" w:line="540" w:lineRule="exact"/>
        <w:rPr>
          <w:rFonts w:hAnsi="宋体"/>
          <w:b/>
          <w:bCs/>
        </w:rPr>
      </w:pPr>
    </w:p>
    <w:bookmarkEnd w:id="80"/>
    <w:p>
      <w:pPr>
        <w:jc w:val="center"/>
        <w:rPr>
          <w:sz w:val="32"/>
          <w:szCs w:val="32"/>
        </w:rPr>
      </w:pPr>
      <w:bookmarkStart w:id="82" w:name="_Toc535241084"/>
      <w:bookmarkStart w:id="83" w:name="_Toc535241227"/>
      <w:bookmarkStart w:id="84" w:name="_Toc535241130"/>
      <w:bookmarkStart w:id="85" w:name="_Toc224103497"/>
      <w:bookmarkStart w:id="86" w:name="_Toc224103498"/>
      <w:r>
        <w:rPr>
          <w:sz w:val="32"/>
          <w:szCs w:val="32"/>
        </w:rPr>
        <w:br w:type="page"/>
      </w:r>
      <w:r>
        <w:rPr>
          <w:rFonts w:hint="eastAsia" w:ascii="黑体" w:hAnsi="黑体" w:eastAsia="黑体"/>
          <w:bCs/>
        </w:rPr>
        <w:t>授权委托书</w:t>
      </w:r>
      <w:bookmarkEnd w:id="82"/>
      <w:bookmarkEnd w:id="83"/>
      <w:bookmarkEnd w:id="84"/>
    </w:p>
    <w:p/>
    <w:p>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（招标项目名称）施工投标文件、签订合同和处理有关事宜，其法律后果由我方承担。</w:t>
      </w:r>
    </w:p>
    <w:p>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代理人无转委托权。</w:t>
      </w:r>
    </w:p>
    <w:p>
      <w:pPr>
        <w:snapToGrid w:val="0"/>
        <w:spacing w:line="360" w:lineRule="auto"/>
        <w:ind w:firstLine="420" w:firstLineChars="200"/>
        <w:rPr>
          <w:rFonts w:hAnsi="宋体"/>
          <w:szCs w:val="21"/>
        </w:rPr>
      </w:pPr>
      <w:r>
        <w:rPr>
          <w:rFonts w:hint="eastAsia" w:hAnsi="宋体"/>
          <w:szCs w:val="21"/>
        </w:rPr>
        <w:t>附：</w:t>
      </w:r>
      <w:r>
        <w:rPr>
          <w:rStyle w:val="38"/>
          <w:rFonts w:hint="default"/>
        </w:rPr>
        <w:t>法定代表人身份证明</w:t>
      </w:r>
    </w:p>
    <w:p>
      <w:pPr>
        <w:snapToGrid w:val="0"/>
        <w:spacing w:line="360" w:lineRule="auto"/>
        <w:ind w:firstLine="420" w:firstLineChars="200"/>
        <w:rPr>
          <w:rFonts w:hAnsi="宋体"/>
          <w:szCs w:val="21"/>
        </w:rPr>
      </w:pPr>
      <w:r>
        <w:rPr>
          <w:rFonts w:hint="eastAsia" w:hAnsi="宋体"/>
          <w:szCs w:val="21"/>
        </w:rPr>
        <w:t xml:space="preserve">    代理人身份证扫描件</w:t>
      </w:r>
    </w:p>
    <w:p>
      <w:pPr>
        <w:spacing w:line="500" w:lineRule="exact"/>
        <w:rPr>
          <w:rFonts w:hAnsi="宋体"/>
          <w:szCs w:val="21"/>
        </w:rPr>
      </w:pPr>
    </w:p>
    <w:p>
      <w:pPr>
        <w:spacing w:line="400" w:lineRule="exact"/>
        <w:ind w:firstLine="3570" w:firstLineChars="1700"/>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00" w:lineRule="exact"/>
        <w:ind w:firstLine="3570" w:firstLineChars="1700"/>
        <w:rPr>
          <w:rFonts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00" w:lineRule="exact"/>
        <w:ind w:firstLine="3570" w:firstLineChars="1700"/>
        <w:rPr>
          <w:rFonts w:hAnsi="宋体"/>
          <w:szCs w:val="21"/>
          <w:u w:val="single"/>
        </w:rPr>
      </w:pPr>
      <w:r>
        <w:rPr>
          <w:rFonts w:hint="eastAsia" w:hAnsi="宋体"/>
          <w:szCs w:val="21"/>
        </w:rPr>
        <w:t>代理人身份证号码：</w:t>
      </w:r>
      <w:r>
        <w:rPr>
          <w:rFonts w:hint="eastAsia" w:hAnsi="宋体"/>
          <w:szCs w:val="21"/>
          <w:u w:val="single"/>
        </w:rPr>
        <w:t xml:space="preserve">                                   </w:t>
      </w:r>
    </w:p>
    <w:p>
      <w:pPr>
        <w:spacing w:line="400" w:lineRule="exact"/>
        <w:ind w:firstLine="3570" w:firstLineChars="1700"/>
        <w:rPr>
          <w:rFonts w:hAnsi="宋体"/>
          <w:szCs w:val="21"/>
          <w:u w:val="single"/>
        </w:rPr>
      </w:pPr>
      <w:r>
        <w:rPr>
          <w:rFonts w:hint="eastAsia" w:hAnsi="宋体"/>
          <w:szCs w:val="21"/>
        </w:rPr>
        <w:t>代理人手机号码：</w:t>
      </w:r>
      <w:r>
        <w:rPr>
          <w:rFonts w:hint="eastAsia" w:hAnsi="宋体"/>
          <w:szCs w:val="21"/>
          <w:u w:val="single"/>
        </w:rPr>
        <w:t xml:space="preserve">                                    </w:t>
      </w:r>
    </w:p>
    <w:p>
      <w:pPr>
        <w:spacing w:line="400" w:lineRule="exact"/>
        <w:ind w:firstLine="3570" w:firstLineChars="1700"/>
        <w:rPr>
          <w:rFonts w:hAnsi="宋体"/>
          <w:szCs w:val="21"/>
          <w:u w:val="single"/>
        </w:rPr>
      </w:pPr>
    </w:p>
    <w:p>
      <w:pPr>
        <w:spacing w:line="400" w:lineRule="exact"/>
        <w:ind w:firstLine="4830" w:firstLineChars="2300"/>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napToGrid w:val="0"/>
        <w:spacing w:line="360" w:lineRule="auto"/>
        <w:jc w:val="left"/>
        <w:rPr>
          <w:rFonts w:hAnsi="宋体"/>
        </w:rPr>
      </w:pPr>
    </w:p>
    <w:p>
      <w:pPr>
        <w:tabs>
          <w:tab w:val="left" w:pos="5760"/>
        </w:tabs>
        <w:autoSpaceDE w:val="0"/>
        <w:autoSpaceDN w:val="0"/>
        <w:adjustRightInd w:val="0"/>
        <w:spacing w:line="300" w:lineRule="exact"/>
        <w:ind w:right="11"/>
        <w:rPr>
          <w:rFonts w:hAnsi="宋体"/>
        </w:rPr>
      </w:pPr>
      <w:r>
        <w:rPr>
          <w:rFonts w:hint="eastAsia" w:hAnsi="宋体"/>
        </w:rPr>
        <w:t>注：</w:t>
      </w:r>
    </w:p>
    <w:p>
      <w:pPr>
        <w:tabs>
          <w:tab w:val="left" w:pos="5760"/>
        </w:tabs>
        <w:autoSpaceDE w:val="0"/>
        <w:autoSpaceDN w:val="0"/>
        <w:adjustRightInd w:val="0"/>
        <w:spacing w:line="300" w:lineRule="exact"/>
        <w:ind w:right="11"/>
        <w:rPr>
          <w:rFonts w:hAnsi="宋体"/>
        </w:rPr>
      </w:pPr>
      <w:r>
        <w:rPr>
          <w:rFonts w:hint="eastAsia" w:hAnsi="宋体"/>
        </w:rPr>
        <w:t>法定代表人参加投标活动并签署文件的不需要授权委托书，只需提供法定代表人身份证明；非法定代表人参加投标活动及签署文件的还须提供授权委托书。</w:t>
      </w:r>
      <w:bookmarkEnd w:id="85"/>
      <w:bookmarkEnd w:id="86"/>
      <w:bookmarkStart w:id="87" w:name="_Toc460227109"/>
      <w:bookmarkStart w:id="88" w:name="_Toc390411622"/>
      <w:bookmarkStart w:id="89" w:name="_Toc460660224"/>
      <w:bookmarkStart w:id="90" w:name="_Toc224103499"/>
      <w:bookmarkStart w:id="91" w:name="_Toc421917002"/>
    </w:p>
    <w:bookmarkEnd w:id="87"/>
    <w:bookmarkEnd w:id="88"/>
    <w:bookmarkEnd w:id="89"/>
    <w:bookmarkEnd w:id="90"/>
    <w:bookmarkEnd w:id="91"/>
    <w:p>
      <w:pPr>
        <w:wordWrap w:val="0"/>
        <w:spacing w:line="394" w:lineRule="exact"/>
        <w:rPr>
          <w:rFonts w:eastAsia="黑体"/>
        </w:rPr>
      </w:pPr>
      <w:bookmarkStart w:id="92" w:name="_Toc460660225"/>
      <w:bookmarkStart w:id="93" w:name="_Toc460227110"/>
    </w:p>
    <w:p>
      <w:pPr>
        <w:rPr>
          <w:rFonts w:eastAsia="黑体"/>
        </w:rPr>
      </w:pPr>
    </w:p>
    <w:p>
      <w:pP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pStyle w:val="2"/>
        <w:rPr>
          <w:rFonts w:eastAsia="黑体"/>
        </w:rPr>
      </w:pPr>
    </w:p>
    <w:p>
      <w:pPr>
        <w:pStyle w:val="2"/>
        <w:rPr>
          <w:rFonts w:eastAsia="黑体"/>
        </w:rPr>
      </w:pPr>
    </w:p>
    <w:p>
      <w:pPr>
        <w:pStyle w:val="2"/>
        <w:rPr>
          <w:rFonts w:eastAsia="黑体"/>
        </w:rPr>
      </w:pPr>
    </w:p>
    <w:p/>
    <w:p>
      <w:pPr>
        <w:spacing w:beforeLines="100" w:line="510" w:lineRule="exact"/>
        <w:jc w:val="center"/>
        <w:rPr>
          <w:rFonts w:eastAsia="黑体"/>
        </w:rPr>
      </w:pPr>
      <w:bookmarkStart w:id="94" w:name="_Toc535241135"/>
      <w:bookmarkStart w:id="95" w:name="_Toc535241089"/>
      <w:bookmarkStart w:id="96" w:name="_Toc535241232"/>
      <w:bookmarkStart w:id="97" w:name="_Toc535241132"/>
      <w:bookmarkStart w:id="98" w:name="_Toc535241229"/>
      <w:bookmarkStart w:id="99" w:name="_Toc535241086"/>
    </w:p>
    <w:p>
      <w:pPr>
        <w:spacing w:beforeLines="100" w:line="510" w:lineRule="exact"/>
        <w:jc w:val="center"/>
        <w:outlineLvl w:val="1"/>
      </w:pPr>
      <w:bookmarkStart w:id="100" w:name="_Toc31966"/>
      <w:r>
        <w:rPr>
          <w:rFonts w:hint="eastAsia" w:ascii="宋体" w:hAnsi="Times New Roman"/>
          <w:sz w:val="24"/>
        </w:rPr>
        <w:t>五、投标人信用承诺</w:t>
      </w:r>
      <w:bookmarkEnd w:id="100"/>
    </w:p>
    <w:p>
      <w:pPr>
        <w:spacing w:line="360" w:lineRule="auto"/>
        <w:ind w:firstLine="630"/>
        <w:rPr>
          <w:rFonts w:hAnsi="宋体"/>
          <w:b/>
        </w:rPr>
      </w:pPr>
      <w:r>
        <w:rPr>
          <w:rFonts w:hint="eastAsia" w:ascii="宋体" w:hAnsi="宋体"/>
          <w:b/>
          <w:sz w:val="24"/>
        </w:rPr>
        <w:t>一、我公司申明：</w:t>
      </w:r>
    </w:p>
    <w:p>
      <w:pPr>
        <w:spacing w:line="360" w:lineRule="auto"/>
        <w:ind w:firstLine="630"/>
        <w:rPr>
          <w:rFonts w:hAnsi="宋体"/>
        </w:rPr>
      </w:pPr>
      <w:r>
        <w:rPr>
          <w:rFonts w:hint="eastAsia" w:ascii="宋体" w:hAnsi="宋体"/>
          <w:sz w:val="24"/>
        </w:rPr>
        <w:t>1.我公司未被人民法院列入失信被执行人；</w:t>
      </w:r>
    </w:p>
    <w:p>
      <w:pPr>
        <w:spacing w:line="360" w:lineRule="auto"/>
        <w:ind w:firstLine="630"/>
        <w:rPr>
          <w:rFonts w:hAnsi="宋体"/>
        </w:rPr>
      </w:pPr>
      <w:r>
        <w:rPr>
          <w:rFonts w:hint="eastAsia" w:ascii="宋体" w:hAnsi="宋体"/>
          <w:sz w:val="24"/>
        </w:rPr>
        <w:t>2.我公司和我公司法定代表人未被人民检察院列入行贿犯罪档案；</w:t>
      </w:r>
    </w:p>
    <w:p>
      <w:pPr>
        <w:spacing w:line="360" w:lineRule="auto"/>
        <w:ind w:firstLine="630"/>
        <w:rPr>
          <w:rFonts w:hAnsi="宋体"/>
        </w:rPr>
      </w:pPr>
      <w:r>
        <w:rPr>
          <w:rFonts w:hint="eastAsia" w:ascii="宋体" w:hAnsi="宋体"/>
          <w:sz w:val="24"/>
        </w:rPr>
        <w:t>3.我公司未被工商行政管理部门列入企业经营异常名录；</w:t>
      </w:r>
    </w:p>
    <w:p>
      <w:pPr>
        <w:spacing w:line="360" w:lineRule="auto"/>
        <w:ind w:firstLine="630"/>
        <w:rPr>
          <w:rFonts w:hAnsi="宋体"/>
        </w:rPr>
      </w:pPr>
      <w:r>
        <w:rPr>
          <w:rFonts w:hint="eastAsia" w:ascii="宋体" w:hAnsi="宋体"/>
          <w:sz w:val="24"/>
        </w:rPr>
        <w:t>4.我公司未被税务部门列入重大税收违法案件当事人名单；</w:t>
      </w:r>
    </w:p>
    <w:p>
      <w:pPr>
        <w:spacing w:line="360" w:lineRule="auto"/>
        <w:ind w:firstLine="630"/>
        <w:rPr>
          <w:rFonts w:hAnsi="宋体"/>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pPr>
        <w:spacing w:line="360" w:lineRule="auto"/>
        <w:ind w:firstLine="630"/>
        <w:rPr>
          <w:rFonts w:hAnsi="宋体"/>
        </w:rPr>
      </w:pPr>
    </w:p>
    <w:p>
      <w:pPr>
        <w:spacing w:line="360" w:lineRule="auto"/>
        <w:ind w:firstLine="630"/>
        <w:rPr>
          <w:rFonts w:hAnsi="宋体"/>
          <w:b/>
        </w:rPr>
      </w:pPr>
      <w:r>
        <w:rPr>
          <w:rFonts w:hint="eastAsia" w:ascii="宋体" w:hAnsi="宋体"/>
          <w:b/>
          <w:sz w:val="24"/>
        </w:rPr>
        <w:t>投标人公章：</w:t>
      </w:r>
    </w:p>
    <w:p/>
    <w:p/>
    <w:p/>
    <w:p/>
    <w:p/>
    <w:p/>
    <w:p/>
    <w:p/>
    <w:p/>
    <w:p/>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outlineLvl w:val="1"/>
      </w:pPr>
      <w:bookmarkStart w:id="101" w:name="_Toc30401"/>
      <w:r>
        <w:rPr>
          <w:rFonts w:hint="eastAsia" w:ascii="宋体" w:hAnsi="Times New Roman"/>
          <w:sz w:val="24"/>
        </w:rPr>
        <w:t>六、投标人业绩（如需）</w:t>
      </w:r>
      <w:bookmarkEnd w:id="101"/>
    </w:p>
    <w:p>
      <w:pPr>
        <w:jc w:val="center"/>
        <w:rPr>
          <w:b/>
          <w:szCs w:val="24"/>
        </w:rPr>
      </w:pPr>
      <w:r>
        <w:rPr>
          <w:rFonts w:hint="eastAsia"/>
          <w:b/>
          <w:sz w:val="24"/>
          <w:szCs w:val="24"/>
        </w:rPr>
        <w:t>（一）业绩表</w:t>
      </w:r>
    </w:p>
    <w:p>
      <w:pPr>
        <w:jc w:val="center"/>
        <w:rPr>
          <w:szCs w:val="24"/>
        </w:rPr>
      </w:pPr>
      <w:r>
        <w:rPr>
          <w:rFonts w:hint="eastAsia"/>
          <w:sz w:val="24"/>
          <w:szCs w:val="24"/>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rPr>
            </w:pPr>
            <w:r>
              <w:rPr>
                <w:rFonts w:hint="eastAsia" w:ascii="宋体" w:hAnsi="宋体"/>
                <w:sz w:val="22"/>
              </w:rPr>
              <w:t>序号</w:t>
            </w:r>
          </w:p>
        </w:tc>
        <w:tc>
          <w:tcPr>
            <w:tcW w:w="626" w:type="pct"/>
            <w:vAlign w:val="center"/>
          </w:tcPr>
          <w:p>
            <w:pPr>
              <w:spacing w:line="360" w:lineRule="auto"/>
              <w:jc w:val="center"/>
              <w:rPr>
                <w:rFonts w:hAnsi="宋体"/>
                <w:sz w:val="22"/>
              </w:rPr>
            </w:pPr>
            <w:r>
              <w:rPr>
                <w:rFonts w:hint="eastAsia" w:ascii="宋体" w:hAnsi="宋体"/>
                <w:sz w:val="22"/>
              </w:rPr>
              <w:t>项目名称</w:t>
            </w:r>
          </w:p>
        </w:tc>
        <w:tc>
          <w:tcPr>
            <w:tcW w:w="639" w:type="pct"/>
            <w:vAlign w:val="center"/>
          </w:tcPr>
          <w:p>
            <w:pPr>
              <w:widowControl/>
              <w:jc w:val="center"/>
              <w:rPr>
                <w:rFonts w:hAnsi="宋体"/>
                <w:sz w:val="22"/>
              </w:rPr>
            </w:pPr>
            <w:r>
              <w:rPr>
                <w:rFonts w:hint="eastAsia" w:ascii="宋体" w:hAnsi="宋体"/>
                <w:sz w:val="22"/>
              </w:rPr>
              <w:t>合同签订时间</w:t>
            </w:r>
          </w:p>
        </w:tc>
        <w:tc>
          <w:tcPr>
            <w:tcW w:w="717" w:type="pct"/>
            <w:vAlign w:val="center"/>
          </w:tcPr>
          <w:p>
            <w:pPr>
              <w:spacing w:line="360" w:lineRule="auto"/>
              <w:jc w:val="center"/>
              <w:rPr>
                <w:rFonts w:hAnsi="宋体"/>
                <w:sz w:val="22"/>
              </w:rPr>
            </w:pPr>
            <w:r>
              <w:rPr>
                <w:rFonts w:hint="eastAsia" w:ascii="宋体" w:hAnsi="宋体"/>
                <w:sz w:val="22"/>
              </w:rPr>
              <w:t>合同金额</w:t>
            </w:r>
          </w:p>
        </w:tc>
        <w:tc>
          <w:tcPr>
            <w:tcW w:w="682" w:type="pct"/>
            <w:vAlign w:val="center"/>
          </w:tcPr>
          <w:p>
            <w:pPr>
              <w:spacing w:line="360" w:lineRule="auto"/>
              <w:jc w:val="center"/>
              <w:rPr>
                <w:rFonts w:hAnsi="宋体"/>
                <w:sz w:val="22"/>
              </w:rPr>
            </w:pPr>
            <w:r>
              <w:rPr>
                <w:rFonts w:hint="eastAsia" w:ascii="宋体" w:hAnsi="宋体"/>
                <w:sz w:val="22"/>
              </w:rPr>
              <w:t>合同内容</w:t>
            </w:r>
          </w:p>
        </w:tc>
        <w:tc>
          <w:tcPr>
            <w:tcW w:w="589" w:type="pct"/>
            <w:vAlign w:val="center"/>
          </w:tcPr>
          <w:p>
            <w:pPr>
              <w:spacing w:line="360" w:lineRule="auto"/>
              <w:jc w:val="center"/>
              <w:rPr>
                <w:rFonts w:hAnsi="宋体"/>
                <w:sz w:val="22"/>
              </w:rPr>
            </w:pPr>
            <w:r>
              <w:rPr>
                <w:rFonts w:hint="eastAsia" w:ascii="宋体" w:hAnsi="宋体"/>
                <w:sz w:val="22"/>
              </w:rPr>
              <w:t>项目所在地</w:t>
            </w:r>
          </w:p>
        </w:tc>
        <w:tc>
          <w:tcPr>
            <w:tcW w:w="1037" w:type="pct"/>
            <w:vAlign w:val="center"/>
          </w:tcPr>
          <w:p>
            <w:pPr>
              <w:spacing w:line="360" w:lineRule="auto"/>
              <w:jc w:val="center"/>
              <w:rPr>
                <w:rFonts w:hAnsi="宋体"/>
                <w:sz w:val="22"/>
              </w:rPr>
            </w:pPr>
            <w:r>
              <w:rPr>
                <w:rFonts w:hint="eastAsia" w:ascii="宋体" w:hAnsi="宋体"/>
                <w:sz w:val="22"/>
              </w:rPr>
              <w:t>业绩合同甲方及联系电话</w:t>
            </w:r>
          </w:p>
        </w:tc>
        <w:tc>
          <w:tcPr>
            <w:tcW w:w="397" w:type="pct"/>
            <w:vAlign w:val="center"/>
          </w:tcPr>
          <w:p>
            <w:pPr>
              <w:spacing w:line="360" w:lineRule="auto"/>
              <w:jc w:val="center"/>
              <w:rPr>
                <w:rFonts w:hAnsi="宋体"/>
                <w:sz w:val="22"/>
              </w:rPr>
            </w:pPr>
            <w:r>
              <w:rPr>
                <w:rFonts w:hint="eastAsia" w:ascii="宋体" w:hAnsi="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rPr>
            </w:pPr>
            <w:r>
              <w:rPr>
                <w:rFonts w:hint="eastAsia" w:ascii="宋体" w:hAnsi="宋体"/>
                <w:sz w:val="22"/>
              </w:rPr>
              <w:t>1</w:t>
            </w:r>
          </w:p>
        </w:tc>
        <w:tc>
          <w:tcPr>
            <w:tcW w:w="626" w:type="pct"/>
            <w:vAlign w:val="center"/>
          </w:tcPr>
          <w:p>
            <w:pPr>
              <w:spacing w:line="360" w:lineRule="auto"/>
              <w:rPr>
                <w:rFonts w:hAnsi="宋体"/>
                <w:sz w:val="22"/>
              </w:rPr>
            </w:pPr>
          </w:p>
        </w:tc>
        <w:tc>
          <w:tcPr>
            <w:tcW w:w="639" w:type="pct"/>
            <w:vAlign w:val="center"/>
          </w:tcPr>
          <w:p>
            <w:pPr>
              <w:spacing w:line="360" w:lineRule="auto"/>
              <w:rPr>
                <w:rFonts w:hAnsi="宋体"/>
                <w:sz w:val="22"/>
              </w:rPr>
            </w:pPr>
          </w:p>
        </w:tc>
        <w:tc>
          <w:tcPr>
            <w:tcW w:w="717" w:type="pct"/>
            <w:vAlign w:val="center"/>
          </w:tcPr>
          <w:p>
            <w:pPr>
              <w:spacing w:line="360" w:lineRule="auto"/>
              <w:rPr>
                <w:rFonts w:hAnsi="宋体"/>
                <w:sz w:val="22"/>
              </w:rPr>
            </w:pPr>
          </w:p>
        </w:tc>
        <w:tc>
          <w:tcPr>
            <w:tcW w:w="682" w:type="pct"/>
            <w:vAlign w:val="center"/>
          </w:tcPr>
          <w:p>
            <w:pPr>
              <w:spacing w:line="360" w:lineRule="auto"/>
              <w:rPr>
                <w:rFonts w:hAnsi="宋体"/>
                <w:sz w:val="22"/>
              </w:rPr>
            </w:pPr>
          </w:p>
        </w:tc>
        <w:tc>
          <w:tcPr>
            <w:tcW w:w="589" w:type="pct"/>
            <w:vAlign w:val="center"/>
          </w:tcPr>
          <w:p>
            <w:pPr>
              <w:spacing w:line="360" w:lineRule="auto"/>
              <w:rPr>
                <w:rFonts w:hAnsi="宋体"/>
                <w:sz w:val="22"/>
              </w:rPr>
            </w:pPr>
          </w:p>
        </w:tc>
        <w:tc>
          <w:tcPr>
            <w:tcW w:w="1037" w:type="pct"/>
            <w:vAlign w:val="center"/>
          </w:tcPr>
          <w:p>
            <w:pPr>
              <w:spacing w:line="360" w:lineRule="auto"/>
              <w:rPr>
                <w:rFonts w:hAnsi="宋体"/>
                <w:sz w:val="22"/>
              </w:rPr>
            </w:pPr>
          </w:p>
        </w:tc>
        <w:tc>
          <w:tcPr>
            <w:tcW w:w="397" w:type="pct"/>
            <w:vAlign w:val="center"/>
          </w:tcPr>
          <w:p>
            <w:pPr>
              <w:spacing w:line="360" w:lineRule="auto"/>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rPr>
            </w:pPr>
            <w:r>
              <w:rPr>
                <w:rFonts w:ascii="宋体" w:hAnsi="宋体"/>
                <w:sz w:val="22"/>
              </w:rPr>
              <w:t>……</w:t>
            </w:r>
          </w:p>
        </w:tc>
        <w:tc>
          <w:tcPr>
            <w:tcW w:w="626" w:type="pct"/>
            <w:vAlign w:val="center"/>
          </w:tcPr>
          <w:p>
            <w:pPr>
              <w:spacing w:line="360" w:lineRule="auto"/>
              <w:rPr>
                <w:rFonts w:hAnsi="宋体"/>
                <w:sz w:val="22"/>
              </w:rPr>
            </w:pPr>
          </w:p>
        </w:tc>
        <w:tc>
          <w:tcPr>
            <w:tcW w:w="639" w:type="pct"/>
            <w:vAlign w:val="center"/>
          </w:tcPr>
          <w:p>
            <w:pPr>
              <w:spacing w:line="360" w:lineRule="auto"/>
              <w:rPr>
                <w:rFonts w:hAnsi="宋体"/>
                <w:sz w:val="22"/>
              </w:rPr>
            </w:pPr>
          </w:p>
        </w:tc>
        <w:tc>
          <w:tcPr>
            <w:tcW w:w="717" w:type="pct"/>
            <w:vAlign w:val="center"/>
          </w:tcPr>
          <w:p>
            <w:pPr>
              <w:spacing w:line="360" w:lineRule="auto"/>
              <w:rPr>
                <w:rFonts w:hAnsi="宋体"/>
                <w:sz w:val="22"/>
              </w:rPr>
            </w:pPr>
          </w:p>
        </w:tc>
        <w:tc>
          <w:tcPr>
            <w:tcW w:w="682" w:type="pct"/>
            <w:vAlign w:val="center"/>
          </w:tcPr>
          <w:p>
            <w:pPr>
              <w:spacing w:line="360" w:lineRule="auto"/>
              <w:rPr>
                <w:rFonts w:hAnsi="宋体"/>
                <w:sz w:val="22"/>
              </w:rPr>
            </w:pPr>
          </w:p>
        </w:tc>
        <w:tc>
          <w:tcPr>
            <w:tcW w:w="589" w:type="pct"/>
            <w:vAlign w:val="center"/>
          </w:tcPr>
          <w:p>
            <w:pPr>
              <w:spacing w:line="360" w:lineRule="auto"/>
              <w:rPr>
                <w:rFonts w:hAnsi="宋体"/>
                <w:sz w:val="22"/>
              </w:rPr>
            </w:pPr>
          </w:p>
        </w:tc>
        <w:tc>
          <w:tcPr>
            <w:tcW w:w="1037" w:type="pct"/>
            <w:vAlign w:val="center"/>
          </w:tcPr>
          <w:p>
            <w:pPr>
              <w:spacing w:line="360" w:lineRule="auto"/>
              <w:rPr>
                <w:rFonts w:hAnsi="宋体"/>
                <w:sz w:val="22"/>
              </w:rPr>
            </w:pPr>
          </w:p>
        </w:tc>
        <w:tc>
          <w:tcPr>
            <w:tcW w:w="397" w:type="pct"/>
            <w:vAlign w:val="center"/>
          </w:tcPr>
          <w:p>
            <w:pPr>
              <w:spacing w:line="360" w:lineRule="auto"/>
              <w:rPr>
                <w:rFonts w:hAnsi="宋体"/>
                <w:sz w:val="22"/>
              </w:rPr>
            </w:pPr>
          </w:p>
        </w:tc>
      </w:tr>
    </w:tbl>
    <w:p>
      <w:pPr>
        <w:spacing w:beforeLines="20" w:afterLines="20" w:line="360" w:lineRule="auto"/>
        <w:jc w:val="center"/>
        <w:rPr>
          <w:rFonts w:hAnsi="宋体"/>
          <w:b/>
          <w:szCs w:val="24"/>
        </w:rPr>
      </w:pPr>
      <w:r>
        <w:rPr>
          <w:rFonts w:hint="eastAsia" w:ascii="宋体" w:hAnsi="宋体"/>
          <w:b/>
          <w:sz w:val="24"/>
          <w:szCs w:val="24"/>
        </w:rPr>
        <w:t>（二）业绩证明材料</w:t>
      </w:r>
    </w:p>
    <w:p>
      <w:pPr>
        <w:keepNext/>
        <w:keepLines/>
        <w:spacing w:before="120" w:after="120" w:line="360" w:lineRule="auto"/>
        <w:jc w:val="center"/>
      </w:pPr>
      <w:r>
        <w:rPr>
          <w:rFonts w:hint="eastAsia" w:ascii="宋体" w:hAnsi="宋体"/>
          <w:sz w:val="24"/>
          <w:szCs w:val="24"/>
        </w:rPr>
        <w:t>（建议与上述“（一）业绩表”填写的业绩一一对应提供）</w:t>
      </w: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rPr>
          <w:rFonts w:eastAsia="黑体"/>
        </w:rPr>
      </w:pPr>
    </w:p>
    <w:p>
      <w:pPr>
        <w:spacing w:beforeLines="100" w:line="510" w:lineRule="exact"/>
        <w:jc w:val="center"/>
        <w:outlineLvl w:val="1"/>
      </w:pPr>
      <w:bookmarkStart w:id="102" w:name="_Toc12464"/>
      <w:r>
        <w:rPr>
          <w:rFonts w:hint="eastAsia" w:ascii="宋体" w:hAnsi="Times New Roman"/>
          <w:sz w:val="24"/>
        </w:rPr>
        <w:t>七、奖项、荣誉（如有）</w:t>
      </w:r>
      <w:bookmarkEnd w:id="102"/>
    </w:p>
    <w:p>
      <w:pPr>
        <w:spacing w:beforeLines="100" w:line="510" w:lineRule="exact"/>
        <w:jc w:val="center"/>
        <w:rPr>
          <w:rFonts w:eastAsia="黑体"/>
        </w:rPr>
      </w:pPr>
    </w:p>
    <w:p>
      <w:pPr>
        <w:spacing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Lines="100" w:line="510" w:lineRule="exact"/>
        <w:jc w:val="center"/>
      </w:pPr>
    </w:p>
    <w:p>
      <w:pPr>
        <w:spacing w:beforeLines="100" w:line="510" w:lineRule="exact"/>
        <w:jc w:val="center"/>
      </w:pPr>
    </w:p>
    <w:p>
      <w:pPr>
        <w:spacing w:beforeLines="100" w:line="510" w:lineRule="exact"/>
        <w:jc w:val="center"/>
        <w:outlineLvl w:val="1"/>
      </w:pPr>
      <w:bookmarkStart w:id="103" w:name="_Toc32334"/>
      <w:r>
        <w:rPr>
          <w:rFonts w:hint="eastAsia" w:ascii="宋体" w:hAnsi="Times New Roman"/>
          <w:sz w:val="24"/>
        </w:rPr>
        <w:t>八、项目管理机构</w:t>
      </w:r>
      <w:bookmarkEnd w:id="103"/>
    </w:p>
    <w:bookmarkEnd w:id="94"/>
    <w:bookmarkEnd w:id="95"/>
    <w:bookmarkEnd w:id="96"/>
    <w:p>
      <w:pPr>
        <w:tabs>
          <w:tab w:val="left" w:pos="4620"/>
        </w:tabs>
        <w:spacing w:line="360" w:lineRule="auto"/>
        <w:ind w:firstLine="480" w:firstLineChars="200"/>
        <w:rPr>
          <w:rFonts w:hAnsi="宋体"/>
        </w:rPr>
      </w:pPr>
      <w:r>
        <w:rPr>
          <w:rFonts w:hint="eastAsia" w:ascii="宋体" w:hAnsi="宋体"/>
          <w:bCs/>
          <w:sz w:val="24"/>
          <w:szCs w:val="24"/>
        </w:rPr>
        <w:t>投标人可自行制作格式</w:t>
      </w:r>
      <w:r>
        <w:rPr>
          <w:rFonts w:hint="eastAsia" w:ascii="宋体" w:hAnsi="宋体"/>
          <w:sz w:val="24"/>
        </w:rPr>
        <w:t>，应能体现出所有谈判文件要求的内容，并附相关证明材料（扫描件），下列格式仅供参考。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ascii="宋体" w:hAnsi="宋体"/>
          <w:b/>
          <w:bCs/>
          <w:sz w:val="24"/>
          <w:szCs w:val="24"/>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104" w:name="_Toc492300541"/>
      <w:bookmarkStart w:id="105" w:name="_Toc370676440"/>
      <w:bookmarkStart w:id="106" w:name="_Toc384308390"/>
      <w:bookmarkStart w:id="107" w:name="_Toc391394125"/>
      <w:bookmarkStart w:id="108" w:name="_Toc152045805"/>
      <w:bookmarkStart w:id="109" w:name="_Toc359594249"/>
      <w:bookmarkStart w:id="110" w:name="_Toc152042594"/>
      <w:bookmarkStart w:id="111" w:name="_Toc300835232"/>
      <w:bookmarkStart w:id="112" w:name="_Toc482188668"/>
      <w:bookmarkStart w:id="113" w:name="_Toc144974873"/>
      <w:bookmarkStart w:id="114" w:name="_Toc179632825"/>
      <w:bookmarkStart w:id="115" w:name="_Toc385943079"/>
      <w:r>
        <w:rPr>
          <w:rFonts w:hint="eastAsia" w:ascii="宋体" w:hAnsi="宋体"/>
          <w:b/>
          <w:bCs/>
          <w:sz w:val="24"/>
          <w:szCs w:val="24"/>
        </w:rPr>
        <w:t>（二）主要人员简历表</w:t>
      </w:r>
      <w:bookmarkEnd w:id="104"/>
      <w:bookmarkEnd w:id="105"/>
      <w:bookmarkEnd w:id="106"/>
      <w:bookmarkEnd w:id="107"/>
      <w:bookmarkEnd w:id="108"/>
      <w:bookmarkEnd w:id="109"/>
      <w:bookmarkEnd w:id="110"/>
      <w:bookmarkEnd w:id="111"/>
      <w:bookmarkEnd w:id="112"/>
      <w:bookmarkEnd w:id="113"/>
      <w:bookmarkEnd w:id="114"/>
      <w:bookmarkEnd w:id="115"/>
    </w:p>
    <w:p>
      <w:pPr>
        <w:topLinePunct/>
        <w:spacing w:line="440" w:lineRule="exact"/>
        <w:jc w:val="center"/>
        <w:rPr>
          <w:sz w:val="23"/>
        </w:rPr>
      </w:pPr>
      <w:r>
        <w:rPr>
          <w:rFonts w:hint="eastAsia"/>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155"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谈判文件</w:t>
      </w:r>
      <w:r>
        <w:rPr>
          <w:b/>
        </w:rPr>
        <w:t>的要求在本表后附相关证明材料。</w:t>
      </w:r>
    </w:p>
    <w:bookmarkEnd w:id="92"/>
    <w:bookmarkEnd w:id="93"/>
    <w:bookmarkEnd w:id="97"/>
    <w:bookmarkEnd w:id="98"/>
    <w:bookmarkEnd w:id="99"/>
    <w:p>
      <w:pPr>
        <w:pStyle w:val="4"/>
        <w:jc w:val="center"/>
        <w:rPr>
          <w:rFonts w:ascii="宋体" w:hAnsi="Times New Roman"/>
          <w:bCs w:val="0"/>
          <w:sz w:val="24"/>
        </w:rPr>
      </w:pPr>
      <w:bookmarkStart w:id="116" w:name="_Toc3234"/>
      <w:r>
        <w:rPr>
          <w:rFonts w:hint="eastAsia" w:ascii="宋体" w:hAnsi="宋体" w:cs="宋体"/>
          <w:spacing w:val="-2"/>
          <w:sz w:val="24"/>
          <w:szCs w:val="24"/>
        </w:rPr>
        <w:t>九、</w:t>
      </w:r>
      <w:r>
        <w:rPr>
          <w:rFonts w:ascii="宋体" w:hAnsi="宋体" w:cs="宋体"/>
          <w:spacing w:val="-2"/>
          <w:sz w:val="24"/>
          <w:szCs w:val="24"/>
        </w:rPr>
        <w:t>主要施工方案及</w:t>
      </w:r>
      <w:r>
        <w:rPr>
          <w:rFonts w:ascii="宋体" w:hAnsi="宋体" w:cs="宋体"/>
          <w:spacing w:val="-1"/>
          <w:sz w:val="24"/>
          <w:szCs w:val="24"/>
        </w:rPr>
        <w:t>施</w:t>
      </w:r>
      <w:r>
        <w:rPr>
          <w:rFonts w:ascii="宋体" w:hAnsi="宋体" w:cs="宋体"/>
          <w:spacing w:val="-3"/>
          <w:sz w:val="24"/>
          <w:szCs w:val="24"/>
        </w:rPr>
        <w:t>工技</w:t>
      </w:r>
      <w:r>
        <w:rPr>
          <w:rFonts w:ascii="宋体" w:hAnsi="宋体" w:cs="宋体"/>
          <w:spacing w:val="-2"/>
          <w:sz w:val="24"/>
          <w:szCs w:val="24"/>
        </w:rPr>
        <w:t>术</w:t>
      </w:r>
      <w:bookmarkEnd w:id="116"/>
    </w:p>
    <w:p>
      <w:pPr>
        <w:spacing w:beforeLines="20" w:afterLines="20" w:line="360" w:lineRule="auto"/>
        <w:jc w:val="center"/>
        <w:rPr>
          <w:rFonts w:hAnsi="宋体"/>
          <w:bCs/>
          <w:szCs w:val="24"/>
        </w:rPr>
      </w:pPr>
      <w:r>
        <w:rPr>
          <w:rFonts w:hint="eastAsia" w:ascii="宋体" w:hAnsi="宋体"/>
          <w:bCs/>
          <w:sz w:val="24"/>
          <w:szCs w:val="24"/>
        </w:rPr>
        <w:t>（投标人可自行制作格式）</w:t>
      </w:r>
    </w:p>
    <w:p>
      <w:pPr>
        <w:rPr>
          <w:rFonts w:hAnsi="宋体"/>
          <w:bCs/>
          <w:szCs w:val="24"/>
        </w:rPr>
      </w:pPr>
    </w:p>
    <w:p>
      <w:pPr>
        <w:rPr>
          <w:rFonts w:hAnsi="宋体"/>
          <w:bCs/>
          <w:szCs w:val="24"/>
        </w:rPr>
      </w:pPr>
    </w:p>
    <w:p>
      <w:pPr>
        <w:rPr>
          <w:rFonts w:hAnsi="宋体"/>
          <w:bCs/>
          <w:szCs w:val="24"/>
        </w:rPr>
      </w:pPr>
    </w:p>
    <w:p>
      <w:pPr>
        <w:rPr>
          <w:rFonts w:hAnsi="宋体"/>
          <w:bCs/>
          <w:szCs w:val="24"/>
        </w:rPr>
      </w:pPr>
    </w:p>
    <w:p>
      <w:pPr>
        <w:rPr>
          <w:rFonts w:hAnsi="宋体"/>
          <w:bCs/>
          <w:szCs w:val="24"/>
        </w:rPr>
      </w:pPr>
    </w:p>
    <w:p>
      <w:pPr>
        <w:rPr>
          <w:rFonts w:hAnsi="宋体"/>
          <w:bCs/>
          <w:szCs w:val="24"/>
        </w:rPr>
      </w:pPr>
    </w:p>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rPr>
          <w:rFonts w:hAnsi="宋体" w:cs="宋体"/>
          <w:b/>
          <w:bCs/>
          <w:spacing w:val="-2"/>
          <w:szCs w:val="24"/>
        </w:rPr>
      </w:pPr>
    </w:p>
    <w:p>
      <w:pPr>
        <w:jc w:val="center"/>
        <w:outlineLvl w:val="1"/>
        <w:rPr>
          <w:rFonts w:hAnsi="宋体" w:cs="宋体"/>
          <w:b/>
          <w:bCs/>
          <w:spacing w:val="-2"/>
          <w:szCs w:val="24"/>
        </w:rPr>
      </w:pPr>
      <w:bookmarkStart w:id="117" w:name="_Toc32718"/>
      <w:r>
        <w:rPr>
          <w:rFonts w:hint="eastAsia" w:ascii="宋体" w:hAnsi="宋体" w:cs="宋体"/>
          <w:b/>
          <w:bCs/>
          <w:spacing w:val="-2"/>
          <w:sz w:val="24"/>
          <w:szCs w:val="24"/>
        </w:rPr>
        <w:t>十、后期服务方案</w:t>
      </w:r>
      <w:bookmarkEnd w:id="117"/>
    </w:p>
    <w:p>
      <w:pPr>
        <w:spacing w:beforeLines="20" w:afterLines="20" w:line="360" w:lineRule="auto"/>
        <w:jc w:val="center"/>
        <w:rPr>
          <w:rFonts w:hAnsi="宋体"/>
          <w:sz w:val="28"/>
        </w:rPr>
      </w:pPr>
      <w:r>
        <w:rPr>
          <w:rFonts w:hint="eastAsia" w:ascii="宋体" w:hAnsi="宋体"/>
          <w:bCs/>
          <w:sz w:val="24"/>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118" w:name="_Toc192"/>
      <w:r>
        <w:rPr>
          <w:rFonts w:hint="eastAsia" w:ascii="宋体" w:hAnsi="宋体" w:cs="宋体"/>
          <w:b/>
          <w:bCs/>
          <w:spacing w:val="-2"/>
          <w:sz w:val="24"/>
          <w:szCs w:val="24"/>
        </w:rPr>
        <w:t>十一、其他资料</w:t>
      </w:r>
      <w:bookmarkEnd w:id="118"/>
    </w:p>
    <w:p>
      <w:pPr>
        <w:autoSpaceDE w:val="0"/>
        <w:autoSpaceDN w:val="0"/>
        <w:adjustRightInd w:val="0"/>
        <w:snapToGrid w:val="0"/>
        <w:spacing w:line="360" w:lineRule="auto"/>
        <w:jc w:val="left"/>
        <w:rPr>
          <w:rFonts w:hAnsi="宋体"/>
          <w:snapToGrid w:val="0"/>
          <w:sz w:val="20"/>
        </w:rPr>
      </w:pPr>
    </w:p>
    <w:p>
      <w:pPr>
        <w:tabs>
          <w:tab w:val="left" w:pos="5760"/>
        </w:tabs>
        <w:autoSpaceDE w:val="0"/>
        <w:autoSpaceDN w:val="0"/>
        <w:adjustRightInd w:val="0"/>
        <w:spacing w:line="300" w:lineRule="exact"/>
        <w:ind w:right="11" w:firstLine="420" w:firstLineChars="200"/>
        <w:rPr>
          <w:rFonts w:hAnsi="宋体"/>
        </w:rPr>
      </w:pPr>
      <w:r>
        <w:rPr>
          <w:rFonts w:hint="eastAsia" w:hAnsi="宋体"/>
        </w:rPr>
        <w:t>投标人对照评审办法要求，自行提供其他相关资料（如有）</w:t>
      </w:r>
    </w:p>
    <w:p>
      <w:pPr>
        <w:tabs>
          <w:tab w:val="left" w:pos="5760"/>
        </w:tabs>
        <w:autoSpaceDE w:val="0"/>
        <w:autoSpaceDN w:val="0"/>
        <w:adjustRightInd w:val="0"/>
        <w:spacing w:line="300" w:lineRule="exact"/>
        <w:ind w:right="11"/>
        <w:rPr>
          <w:rFonts w:hAnsi="宋体"/>
        </w:rPr>
      </w:pPr>
    </w:p>
    <w:p>
      <w:pPr>
        <w:spacing w:line="510" w:lineRule="exact"/>
        <w:jc w:val="left"/>
      </w:pPr>
      <w:r>
        <w:rPr>
          <w:rFonts w:hint="eastAsia" w:hAnsi="宋体"/>
        </w:rPr>
        <w:t>注：对照评审办法要求，由投标人自行提供相关证明或资料。如证明或声明或资料与实际不符，将被取消投标或中标资格。</w:t>
      </w:r>
    </w:p>
    <w:p/>
    <w:p>
      <w:pPr>
        <w:pStyle w:val="2"/>
      </w:pPr>
    </w:p>
    <w:sectPr>
      <w:footerReference r:id="rId6" w:type="default"/>
      <w:footerReference r:id="rId7"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11</w:t>
    </w:r>
    <w:r>
      <w:rPr>
        <w:rFonts w:hint="eastAsia" w:ascii="仿宋_GB2312" w:eastAsia="仿宋_GB2312"/>
        <w:sz w:val="21"/>
        <w:szCs w:val="21"/>
      </w:rPr>
      <w:fldChar w:fldCharType="end"/>
    </w:r>
  </w:p>
  <w:p>
    <w:pPr>
      <w:pStyle w:val="11"/>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24</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8144"/>
    <w:multiLevelType w:val="singleLevel"/>
    <w:tmpl w:val="94CF8144"/>
    <w:lvl w:ilvl="0" w:tentative="0">
      <w:start w:val="2"/>
      <w:numFmt w:val="chineseCounting"/>
      <w:suff w:val="nothing"/>
      <w:lvlText w:val="%1、"/>
      <w:lvlJc w:val="left"/>
      <w:rPr>
        <w:rFonts w:hint="eastAsia"/>
      </w:rPr>
    </w:lvl>
  </w:abstractNum>
  <w:abstractNum w:abstractNumId="1">
    <w:nsid w:val="D9432E2A"/>
    <w:multiLevelType w:val="singleLevel"/>
    <w:tmpl w:val="D9432E2A"/>
    <w:lvl w:ilvl="0" w:tentative="0">
      <w:start w:val="1"/>
      <w:numFmt w:val="decimal"/>
      <w:suff w:val="space"/>
      <w:lvlText w:val="%1."/>
      <w:lvlJc w:val="left"/>
    </w:lvl>
  </w:abstractNum>
  <w:abstractNum w:abstractNumId="2">
    <w:nsid w:val="EF181A46"/>
    <w:multiLevelType w:val="singleLevel"/>
    <w:tmpl w:val="EF181A46"/>
    <w:lvl w:ilvl="0" w:tentative="0">
      <w:start w:val="9"/>
      <w:numFmt w:val="decimal"/>
      <w:lvlText w:val="%1."/>
      <w:lvlJc w:val="left"/>
      <w:pPr>
        <w:tabs>
          <w:tab w:val="left" w:pos="312"/>
        </w:tabs>
      </w:pPr>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260B53D1"/>
    <w:multiLevelType w:val="singleLevel"/>
    <w:tmpl w:val="260B53D1"/>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447F76"/>
    <w:rsid w:val="0004641F"/>
    <w:rsid w:val="00055DA7"/>
    <w:rsid w:val="000A344B"/>
    <w:rsid w:val="000A6776"/>
    <w:rsid w:val="000F37A8"/>
    <w:rsid w:val="001352CD"/>
    <w:rsid w:val="00145C37"/>
    <w:rsid w:val="0014664E"/>
    <w:rsid w:val="00146AD6"/>
    <w:rsid w:val="00170570"/>
    <w:rsid w:val="001A452C"/>
    <w:rsid w:val="002B7205"/>
    <w:rsid w:val="002E1909"/>
    <w:rsid w:val="00324D3A"/>
    <w:rsid w:val="00345DD6"/>
    <w:rsid w:val="00387A59"/>
    <w:rsid w:val="00415065"/>
    <w:rsid w:val="00447F76"/>
    <w:rsid w:val="004A02C6"/>
    <w:rsid w:val="004C2131"/>
    <w:rsid w:val="004D07C0"/>
    <w:rsid w:val="004D7D91"/>
    <w:rsid w:val="00563212"/>
    <w:rsid w:val="00692AB7"/>
    <w:rsid w:val="006C24B1"/>
    <w:rsid w:val="006C2889"/>
    <w:rsid w:val="0073508A"/>
    <w:rsid w:val="007446EE"/>
    <w:rsid w:val="0075024B"/>
    <w:rsid w:val="007E2F7C"/>
    <w:rsid w:val="007F0058"/>
    <w:rsid w:val="0080534F"/>
    <w:rsid w:val="00807074"/>
    <w:rsid w:val="00881ECF"/>
    <w:rsid w:val="0089610E"/>
    <w:rsid w:val="0091620E"/>
    <w:rsid w:val="00935F4D"/>
    <w:rsid w:val="00951981"/>
    <w:rsid w:val="00972ABD"/>
    <w:rsid w:val="00977629"/>
    <w:rsid w:val="009A7C01"/>
    <w:rsid w:val="00A30C16"/>
    <w:rsid w:val="00A9668E"/>
    <w:rsid w:val="00AA68B0"/>
    <w:rsid w:val="00B142E5"/>
    <w:rsid w:val="00B30278"/>
    <w:rsid w:val="00B46B68"/>
    <w:rsid w:val="00BC5C99"/>
    <w:rsid w:val="00BD1E7D"/>
    <w:rsid w:val="00BD55C2"/>
    <w:rsid w:val="00C12E59"/>
    <w:rsid w:val="00C3676D"/>
    <w:rsid w:val="00CA05CA"/>
    <w:rsid w:val="00CC6CC9"/>
    <w:rsid w:val="00D076E6"/>
    <w:rsid w:val="00D3785F"/>
    <w:rsid w:val="00D607DF"/>
    <w:rsid w:val="00E626BE"/>
    <w:rsid w:val="00E70B3F"/>
    <w:rsid w:val="00ED7BA1"/>
    <w:rsid w:val="00F00163"/>
    <w:rsid w:val="00F10035"/>
    <w:rsid w:val="00F45A6F"/>
    <w:rsid w:val="00F83F5F"/>
    <w:rsid w:val="00FB2FAE"/>
    <w:rsid w:val="00FC7EE5"/>
    <w:rsid w:val="00FD0ABB"/>
    <w:rsid w:val="00FD7957"/>
    <w:rsid w:val="00FE2C8A"/>
    <w:rsid w:val="177E096F"/>
    <w:rsid w:val="2B0B4E73"/>
    <w:rsid w:val="4E5C54BE"/>
    <w:rsid w:val="6B90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0"/>
    <w:pPr>
      <w:keepNext/>
      <w:keepLines/>
      <w:spacing w:line="360" w:lineRule="auto"/>
      <w:outlineLvl w:val="0"/>
    </w:pPr>
    <w:rPr>
      <w:b/>
      <w:kern w:val="44"/>
      <w:sz w:val="28"/>
    </w:rPr>
  </w:style>
  <w:style w:type="paragraph" w:styleId="4">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3"/>
    <w:qFormat/>
    <w:uiPriority w:val="0"/>
    <w:pPr>
      <w:keepNext/>
      <w:keepLines/>
      <w:spacing w:before="120" w:after="120" w:line="360" w:lineRule="auto"/>
      <w:jc w:val="left"/>
      <w:outlineLvl w:val="2"/>
    </w:pPr>
    <w:rPr>
      <w:rFonts w:ascii="黑体" w:hAnsi="黑体" w:eastAsia="黑体"/>
      <w:bCs/>
      <w:sz w:val="24"/>
      <w:szCs w:val="24"/>
    </w:rPr>
  </w:style>
  <w:style w:type="paragraph" w:styleId="6">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unhideWhenUsed/>
    <w:qFormat/>
    <w:uiPriority w:val="0"/>
    <w:pPr>
      <w:spacing w:after="120"/>
    </w:pPr>
  </w:style>
  <w:style w:type="paragraph" w:styleId="7">
    <w:name w:val="annotation text"/>
    <w:basedOn w:val="1"/>
    <w:link w:val="37"/>
    <w:qFormat/>
    <w:uiPriority w:val="0"/>
    <w:pPr>
      <w:jc w:val="left"/>
    </w:pPr>
    <w:rPr>
      <w:szCs w:val="24"/>
    </w:rPr>
  </w:style>
  <w:style w:type="paragraph" w:styleId="8">
    <w:name w:val="Body Text Indent"/>
    <w:basedOn w:val="1"/>
    <w:link w:val="29"/>
    <w:unhideWhenUsed/>
    <w:qFormat/>
    <w:uiPriority w:val="0"/>
    <w:pPr>
      <w:spacing w:after="120"/>
      <w:ind w:left="420" w:leftChars="200"/>
    </w:pPr>
  </w:style>
  <w:style w:type="paragraph" w:styleId="9">
    <w:name w:val="toc 3"/>
    <w:basedOn w:val="1"/>
    <w:next w:val="1"/>
    <w:qFormat/>
    <w:uiPriority w:val="39"/>
    <w:pPr>
      <w:ind w:left="420"/>
      <w:jc w:val="left"/>
    </w:pPr>
    <w:rPr>
      <w:rFonts w:cs="Calibri"/>
      <w:i/>
      <w:iCs/>
      <w:kern w:val="0"/>
      <w:sz w:val="20"/>
      <w:szCs w:val="20"/>
    </w:rPr>
  </w:style>
  <w:style w:type="paragraph" w:styleId="10">
    <w:name w:val="Balloon Text"/>
    <w:basedOn w:val="1"/>
    <w:link w:val="45"/>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kern w:val="0"/>
      <w:sz w:val="24"/>
      <w:szCs w:val="20"/>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cs="Calibri"/>
      <w:b/>
      <w:bCs/>
      <w:caps/>
      <w:kern w:val="0"/>
      <w:sz w:val="20"/>
      <w:szCs w:val="20"/>
    </w:rPr>
  </w:style>
  <w:style w:type="paragraph" w:styleId="15">
    <w:name w:val="toc 2"/>
    <w:basedOn w:val="1"/>
    <w:next w:val="1"/>
    <w:qFormat/>
    <w:uiPriority w:val="39"/>
    <w:pPr>
      <w:ind w:left="210"/>
      <w:jc w:val="left"/>
    </w:pPr>
    <w:rPr>
      <w:rFonts w:cs="Calibri"/>
      <w:smallCaps/>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color w:val="0066CC"/>
      <w:kern w:val="0"/>
      <w:sz w:val="24"/>
      <w:szCs w:val="20"/>
    </w:rPr>
  </w:style>
  <w:style w:type="paragraph" w:styleId="17">
    <w:name w:val="Body Text First Indent"/>
    <w:basedOn w:val="2"/>
    <w:link w:val="40"/>
    <w:unhideWhenUsed/>
    <w:qFormat/>
    <w:uiPriority w:val="0"/>
    <w:pPr>
      <w:ind w:firstLine="420" w:firstLineChars="100"/>
    </w:pPr>
  </w:style>
  <w:style w:type="paragraph" w:styleId="18">
    <w:name w:val="Body Text First Indent 2"/>
    <w:basedOn w:val="8"/>
    <w:link w:val="30"/>
    <w:unhideWhenUsed/>
    <w:qFormat/>
    <w:uiPriority w:val="0"/>
    <w:pPr>
      <w:ind w:firstLine="420" w:firstLineChars="200"/>
    </w:pPr>
  </w:style>
  <w:style w:type="table" w:styleId="20">
    <w:name w:val="Table Grid"/>
    <w:basedOn w:val="19"/>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qFormat/>
    <w:uiPriority w:val="0"/>
  </w:style>
  <w:style w:type="character" w:styleId="24">
    <w:name w:val="annotation reference"/>
    <w:basedOn w:val="21"/>
    <w:unhideWhenUsed/>
    <w:qFormat/>
    <w:uiPriority w:val="0"/>
    <w:rPr>
      <w:sz w:val="21"/>
      <w:szCs w:val="21"/>
    </w:rPr>
  </w:style>
  <w:style w:type="character" w:customStyle="1" w:styleId="25">
    <w:name w:val="正文文本 Char"/>
    <w:basedOn w:val="21"/>
    <w:link w:val="2"/>
    <w:semiHidden/>
    <w:qFormat/>
    <w:uiPriority w:val="99"/>
    <w:rPr>
      <w:rFonts w:ascii="Calibri" w:hAnsi="Calibri" w:eastAsia="宋体" w:cs="Times New Roman"/>
    </w:rPr>
  </w:style>
  <w:style w:type="character" w:customStyle="1" w:styleId="26">
    <w:name w:val="页眉 Char"/>
    <w:basedOn w:val="21"/>
    <w:link w:val="13"/>
    <w:uiPriority w:val="0"/>
    <w:rPr>
      <w:rFonts w:ascii="Calibri" w:hAnsi="Calibri" w:eastAsia="宋体" w:cs="Times New Roman"/>
      <w:sz w:val="18"/>
      <w:szCs w:val="18"/>
    </w:rPr>
  </w:style>
  <w:style w:type="character" w:customStyle="1" w:styleId="27">
    <w:name w:val="页脚 Char"/>
    <w:basedOn w:val="21"/>
    <w:link w:val="11"/>
    <w:semiHidden/>
    <w:uiPriority w:val="99"/>
    <w:rPr>
      <w:rFonts w:ascii="Calibri" w:hAnsi="Calibri"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正文文本缩进 Char"/>
    <w:basedOn w:val="21"/>
    <w:link w:val="8"/>
    <w:semiHidden/>
    <w:qFormat/>
    <w:uiPriority w:val="99"/>
    <w:rPr>
      <w:rFonts w:ascii="Calibri" w:hAnsi="Calibri" w:eastAsia="宋体" w:cs="Times New Roman"/>
    </w:rPr>
  </w:style>
  <w:style w:type="character" w:customStyle="1" w:styleId="30">
    <w:name w:val="正文首行缩进 2 Char"/>
    <w:basedOn w:val="29"/>
    <w:link w:val="18"/>
    <w:semiHidden/>
    <w:qFormat/>
    <w:uiPriority w:val="99"/>
  </w:style>
  <w:style w:type="character" w:customStyle="1" w:styleId="31">
    <w:name w:val="标题 1 Char"/>
    <w:basedOn w:val="21"/>
    <w:link w:val="3"/>
    <w:qFormat/>
    <w:uiPriority w:val="0"/>
    <w:rPr>
      <w:rFonts w:ascii="Calibri" w:hAnsi="Calibri" w:eastAsia="宋体" w:cs="Times New Roman"/>
      <w:b/>
      <w:kern w:val="44"/>
      <w:sz w:val="28"/>
    </w:rPr>
  </w:style>
  <w:style w:type="character" w:customStyle="1" w:styleId="32">
    <w:name w:val="标题 2 Char"/>
    <w:basedOn w:val="21"/>
    <w:link w:val="4"/>
    <w:qFormat/>
    <w:uiPriority w:val="0"/>
    <w:rPr>
      <w:rFonts w:ascii="Cambria" w:hAnsi="Cambria" w:eastAsia="宋体" w:cs="Times New Roman"/>
      <w:b/>
      <w:bCs/>
      <w:sz w:val="32"/>
      <w:szCs w:val="32"/>
    </w:rPr>
  </w:style>
  <w:style w:type="character" w:customStyle="1" w:styleId="33">
    <w:name w:val="标题 3 Char"/>
    <w:basedOn w:val="21"/>
    <w:link w:val="5"/>
    <w:qFormat/>
    <w:uiPriority w:val="0"/>
    <w:rPr>
      <w:rFonts w:ascii="黑体" w:hAnsi="黑体" w:eastAsia="黑体" w:cs="Times New Roman"/>
      <w:bCs/>
      <w:sz w:val="24"/>
      <w:szCs w:val="24"/>
    </w:rPr>
  </w:style>
  <w:style w:type="paragraph" w:customStyle="1" w:styleId="34">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35">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36">
    <w:name w:val="首行缩进"/>
    <w:basedOn w:val="1"/>
    <w:qFormat/>
    <w:uiPriority w:val="0"/>
    <w:pPr>
      <w:spacing w:line="360" w:lineRule="auto"/>
      <w:ind w:left="210" w:leftChars="100" w:firstLine="420" w:firstLineChars="200"/>
    </w:pPr>
    <w:rPr>
      <w:rFonts w:ascii="宋体" w:hAnsi="宋体"/>
      <w:szCs w:val="24"/>
    </w:rPr>
  </w:style>
  <w:style w:type="character" w:customStyle="1" w:styleId="37">
    <w:name w:val="批注文字 Char"/>
    <w:basedOn w:val="21"/>
    <w:link w:val="7"/>
    <w:qFormat/>
    <w:uiPriority w:val="0"/>
    <w:rPr>
      <w:rFonts w:ascii="Calibri" w:hAnsi="Calibri" w:eastAsia="宋体" w:cs="Times New Roman"/>
      <w:szCs w:val="24"/>
    </w:rPr>
  </w:style>
  <w:style w:type="character" w:customStyle="1" w:styleId="38">
    <w:name w:val="fontstyle01"/>
    <w:qFormat/>
    <w:uiPriority w:val="0"/>
    <w:rPr>
      <w:rFonts w:hint="eastAsia" w:ascii="宋体" w:hAnsi="宋体" w:eastAsia="宋体"/>
      <w:color w:val="000000"/>
      <w:sz w:val="22"/>
      <w:szCs w:val="22"/>
    </w:rPr>
  </w:style>
  <w:style w:type="character" w:customStyle="1" w:styleId="39">
    <w:name w:val="标题 4 Char"/>
    <w:basedOn w:val="21"/>
    <w:link w:val="6"/>
    <w:semiHidden/>
    <w:qFormat/>
    <w:uiPriority w:val="9"/>
    <w:rPr>
      <w:rFonts w:asciiTheme="majorHAnsi" w:hAnsiTheme="majorHAnsi" w:eastAsiaTheme="majorEastAsia" w:cstheme="majorBidi"/>
      <w:b/>
      <w:bCs/>
      <w:sz w:val="28"/>
      <w:szCs w:val="28"/>
    </w:rPr>
  </w:style>
  <w:style w:type="character" w:customStyle="1" w:styleId="40">
    <w:name w:val="正文首行缩进 Char"/>
    <w:basedOn w:val="25"/>
    <w:link w:val="17"/>
    <w:semiHidden/>
    <w:qFormat/>
    <w:uiPriority w:val="99"/>
  </w:style>
  <w:style w:type="paragraph" w:customStyle="1" w:styleId="4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1"/>
    <w:basedOn w:val="1"/>
    <w:next w:val="6"/>
    <w:qFormat/>
    <w:uiPriority w:val="0"/>
    <w:pPr>
      <w:spacing w:line="360" w:lineRule="auto"/>
      <w:ind w:firstLine="420" w:firstLineChars="200"/>
    </w:pPr>
    <w:rPr>
      <w:rFonts w:ascii="宋体" w:hAnsi="宋体"/>
      <w:kern w:val="0"/>
      <w:sz w:val="24"/>
      <w:szCs w:val="21"/>
    </w:rPr>
  </w:style>
  <w:style w:type="paragraph" w:customStyle="1" w:styleId="44">
    <w:name w:val="Revision"/>
    <w:hidden/>
    <w:semiHidden/>
    <w:qFormat/>
    <w:uiPriority w:val="99"/>
    <w:rPr>
      <w:rFonts w:ascii="Calibri" w:hAnsi="Calibri" w:eastAsia="宋体" w:cs="Times New Roman"/>
      <w:kern w:val="2"/>
      <w:sz w:val="21"/>
      <w:szCs w:val="22"/>
      <w:lang w:val="en-US" w:eastAsia="zh-CN" w:bidi="ar-SA"/>
    </w:rPr>
  </w:style>
  <w:style w:type="character" w:customStyle="1" w:styleId="45">
    <w:name w:val="批注框文本 Char"/>
    <w:basedOn w:val="21"/>
    <w:link w:val="10"/>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18278</Words>
  <Characters>19227</Characters>
  <Lines>163</Lines>
  <Paragraphs>46</Paragraphs>
  <TotalTime>17</TotalTime>
  <ScaleCrop>false</ScaleCrop>
  <LinksUpToDate>false</LinksUpToDate>
  <CharactersWithSpaces>20666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2022-11-18T07:14:00Z</dcterms:created>
  <dc:creator>Administrator</dc:creator>
  <cp:lastModifiedBy>Administrator</cp:lastModifiedBy>
  <cp:lastPrinted>2023-03-03T01:08:00Z</cp:lastPrinted>
  <dcterms:modified xsi:type="dcterms:W3CDTF">2023-03-20T01:45:31Z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68CB0DFD6AA64C4097838A8089F3DB3C</vt:lpwstr>
  </property>
</Properties>
</file>