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黑体"/>
          <w:sz w:val="32"/>
          <w:szCs w:val="32"/>
          <w:highlight w:val="none"/>
          <w:lang w:val="en-US" w:eastAsia="zh-CN"/>
        </w:rPr>
      </w:pPr>
      <w:r>
        <w:rPr>
          <w:rFonts w:hint="eastAsia" w:ascii="宋体" w:hAnsi="DotumChe" w:cs="宋体"/>
          <w:b/>
          <w:spacing w:val="20"/>
          <w:kern w:val="0"/>
          <w:sz w:val="32"/>
          <w:szCs w:val="32"/>
          <w:highlight w:val="none"/>
        </w:rPr>
        <w:t>项目名称：庐阳乡村振兴公司2023年第三方人力资源服务</w:t>
      </w:r>
      <w:r>
        <w:rPr>
          <w:rFonts w:hint="eastAsia" w:ascii="黑体" w:hAnsi="黑体" w:eastAsia="黑体"/>
          <w:sz w:val="32"/>
          <w:szCs w:val="32"/>
          <w:highlight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2023GW000</w:t>
      </w:r>
      <w:r>
        <w:rPr>
          <w:rFonts w:hint="eastAsia" w:hAnsi="DotumChe" w:cs="宋体"/>
          <w:b/>
          <w:spacing w:val="20"/>
          <w:kern w:val="0"/>
          <w:sz w:val="32"/>
          <w:szCs w:val="32"/>
          <w:highlight w:val="none"/>
          <w:u w:val="none"/>
          <w:lang w:val="en-US" w:eastAsia="zh-CN"/>
        </w:rPr>
        <w:t>8</w:t>
      </w:r>
      <w:r>
        <w:rPr>
          <w:rFonts w:hint="eastAsia" w:hAnsi="DotumChe" w:cs="宋体"/>
          <w:b/>
          <w:spacing w:val="20"/>
          <w:kern w:val="0"/>
          <w:sz w:val="32"/>
          <w:szCs w:val="32"/>
          <w:highlight w:val="none"/>
          <w:u w:val="none"/>
          <w:lang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ascii="宋体" w:hAnsi="DotumChe" w:cs="宋体"/>
          <w:b/>
          <w:spacing w:val="20"/>
          <w:kern w:val="0"/>
          <w:sz w:val="32"/>
          <w:szCs w:val="32"/>
          <w:u w:val="none"/>
          <w:lang w:eastAsia="zh-CN"/>
        </w:rPr>
        <w:t>合肥庐阳乡村振兴开发管理有限公司</w:t>
      </w:r>
      <w:r>
        <w:rPr>
          <w:rFonts w:hint="eastAsia" w:ascii="宋体" w:hAnsi="DotumChe" w:cs="宋体"/>
          <w:b/>
          <w:spacing w:val="20"/>
          <w:kern w:val="0"/>
          <w:sz w:val="32"/>
          <w:szCs w:val="32"/>
          <w:u w:val="none"/>
          <w:lang w:val="en-US" w:eastAsia="zh-CN"/>
        </w:rPr>
        <w:t xml:space="preserve"> </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五</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3"/>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6"/>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_Toc3480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_Toc3480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_Toc992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_Toc992 \h </w:instrText>
      </w:r>
      <w:r>
        <w:fldChar w:fldCharType="separate"/>
      </w:r>
      <w:r>
        <w:t>5</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_Toc14194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_Toc14194 \h </w:instrText>
      </w:r>
      <w:r>
        <w:fldChar w:fldCharType="separate"/>
      </w:r>
      <w:r>
        <w:t>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_Toc7083 </w:instrText>
      </w:r>
      <w:r>
        <w:rPr>
          <w:rFonts w:eastAsia="黑体"/>
          <w:szCs w:val="24"/>
          <w:highlight w:val="none"/>
        </w:rPr>
        <w:fldChar w:fldCharType="separate"/>
      </w:r>
      <w:r>
        <w:rPr>
          <w:rFonts w:hint="eastAsia" w:ascii="宋体" w:hAnsi="Times New Roman" w:eastAsia="宋体" w:cs="Times New Roman"/>
          <w:bCs/>
          <w:lang w:val="en-US" w:eastAsia="zh-CN"/>
        </w:rPr>
        <w:t>第三章 招标</w:t>
      </w:r>
      <w:r>
        <w:rPr>
          <w:rFonts w:hint="eastAsia"/>
          <w:bCs w:val="0"/>
          <w:lang w:val="en-US" w:eastAsia="zh-CN"/>
        </w:rPr>
        <w:t>需求</w:t>
      </w:r>
      <w:r>
        <w:tab/>
      </w:r>
      <w:r>
        <w:fldChar w:fldCharType="begin"/>
      </w:r>
      <w:r>
        <w:instrText xml:space="preserve"> PAGEREF _Toc7083 \h </w:instrText>
      </w:r>
      <w:r>
        <w:fldChar w:fldCharType="separate"/>
      </w:r>
      <w:r>
        <w:t>20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_Toc27554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_Toc27554 \h </w:instrText>
      </w:r>
      <w:r>
        <w:fldChar w:fldCharType="separate"/>
      </w:r>
      <w:r>
        <w:t>31</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_Toc22920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_Toc22920 \h </w:instrText>
      </w:r>
      <w:r>
        <w:fldChar w:fldCharType="separate"/>
      </w:r>
      <w:r>
        <w:t>37</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_Toc15202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_Toc15202 \h </w:instrText>
      </w:r>
      <w:r>
        <w:fldChar w:fldCharType="separate"/>
      </w:r>
      <w:r>
        <w:t>38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_Toc1124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_Toc1124 \h </w:instrText>
      </w:r>
      <w:r>
        <w:fldChar w:fldCharType="separate"/>
      </w:r>
      <w:r>
        <w:t>38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_Toc18974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_Toc18974 \h </w:instrText>
      </w:r>
      <w:r>
        <w:fldChar w:fldCharType="separate"/>
      </w:r>
      <w:r>
        <w:t>39</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_Toc4449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_Toc4449 \h </w:instrText>
      </w:r>
      <w:r>
        <w:fldChar w:fldCharType="separate"/>
      </w:r>
      <w:r>
        <w:t>40</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_Toc16942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_Toc16942 \h </w:instrText>
      </w:r>
      <w:r>
        <w:fldChar w:fldCharType="separate"/>
      </w:r>
      <w:r>
        <w:t>41</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_Toc27701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_Toc27701 \h </w:instrText>
      </w:r>
      <w:r>
        <w:fldChar w:fldCharType="separate"/>
      </w:r>
      <w:r>
        <w:t>42</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_Toc2120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_Toc2120 \h </w:instrText>
      </w:r>
      <w:r>
        <w:fldChar w:fldCharType="separate"/>
      </w:r>
      <w:r>
        <w:t>46</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_Toc14149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_Toc14149 \h </w:instrText>
      </w:r>
      <w:r>
        <w:fldChar w:fldCharType="separate"/>
      </w:r>
      <w:r>
        <w:t>47</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_Toc27548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_Toc27548 \h </w:instrText>
      </w:r>
      <w:r>
        <w:fldChar w:fldCharType="separate"/>
      </w:r>
      <w:r>
        <w:t>48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_Toc27101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_Toc27101 \h </w:instrText>
      </w:r>
      <w:r>
        <w:fldChar w:fldCharType="separate"/>
      </w:r>
      <w:r>
        <w:t>49</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_Toc16313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_Toc16313 \h </w:instrText>
      </w:r>
      <w:r>
        <w:fldChar w:fldCharType="separate"/>
      </w:r>
      <w:r>
        <w:t>50</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_Toc9466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_Toc9466 \h </w:instrText>
      </w:r>
      <w:r>
        <w:fldChar w:fldCharType="separate"/>
      </w:r>
      <w:r>
        <w:t>50</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auto"/>
          <w:szCs w:val="24"/>
          <w:highlight w:val="none"/>
        </w:rPr>
      </w:pPr>
      <w:r>
        <w:rPr>
          <w:highlight w:val="none"/>
        </w:rPr>
        <w:br w:type="page"/>
      </w:r>
      <w:bookmarkStart w:id="0" w:name="_Toc50128746"/>
      <w:bookmarkStart w:id="1" w:name="_Toc462215727"/>
      <w:r>
        <w:rPr>
          <w:rFonts w:hint="eastAsia"/>
          <w:color w:val="auto"/>
          <w:highlight w:val="none"/>
        </w:rPr>
        <w:t xml:space="preserve"> </w:t>
      </w:r>
      <w:bookmarkStart w:id="2" w:name="_Toc3480"/>
      <w:r>
        <w:rPr>
          <w:rFonts w:hint="eastAsia"/>
          <w:color w:val="auto"/>
          <w:highlight w:val="none"/>
        </w:rPr>
        <w:t>磋商邀请（磋商公告）</w:t>
      </w:r>
      <w:bookmarkEnd w:id="0"/>
      <w:bookmarkEnd w:id="1"/>
      <w:bookmarkEnd w:id="2"/>
    </w:p>
    <w:p>
      <w:pPr>
        <w:pStyle w:val="26"/>
        <w:widowControl w:val="0"/>
        <w:autoSpaceDE w:val="0"/>
        <w:autoSpaceDN w:val="0"/>
        <w:adjustRightInd w:val="0"/>
        <w:spacing w:before="0" w:after="0" w:line="360" w:lineRule="auto"/>
        <w:rPr>
          <w:rFonts w:hint="eastAsia" w:ascii="宋体" w:hAnsi="宋体" w:eastAsia="宋体"/>
          <w:color w:val="auto"/>
          <w:kern w:val="2"/>
          <w:u w:val="none"/>
        </w:rPr>
      </w:pPr>
      <w:r>
        <w:rPr>
          <w:rFonts w:hint="eastAsia" w:ascii="宋体" w:hAnsi="宋体" w:eastAsia="宋体"/>
          <w:color w:val="auto"/>
          <w:kern w:val="2"/>
          <w:u w:val="none"/>
          <w:lang w:eastAsia="zh-CN"/>
        </w:rPr>
        <w:t>本项目</w:t>
      </w:r>
      <w:r>
        <w:rPr>
          <w:rFonts w:hint="eastAsia" w:ascii="宋体" w:hAnsi="宋体" w:eastAsia="宋体"/>
          <w:color w:val="auto"/>
          <w:kern w:val="2"/>
          <w:u w:val="single"/>
          <w:lang w:eastAsia="zh-CN"/>
        </w:rPr>
        <w:t>庐阳乡村振兴公司2023年第三方人力资源服务</w:t>
      </w:r>
      <w:r>
        <w:rPr>
          <w:rFonts w:hint="eastAsia" w:ascii="宋体" w:hAnsi="宋体" w:eastAsia="宋体" w:cs="Times New Roman"/>
          <w:color w:val="auto"/>
          <w:kern w:val="2"/>
          <w:u w:val="none"/>
          <w:lang w:val="en-US" w:eastAsia="zh-CN"/>
        </w:rPr>
        <w:t>已具备竞争性磋商条件，招标人为</w:t>
      </w:r>
      <w:r>
        <w:rPr>
          <w:rFonts w:hint="eastAsia" w:ascii="宋体" w:hAnsi="宋体" w:eastAsia="宋体" w:cs="Times New Roman"/>
          <w:color w:val="auto"/>
          <w:kern w:val="2"/>
          <w:u w:val="single"/>
          <w:lang w:val="en-US" w:eastAsia="zh-CN"/>
        </w:rPr>
        <w:t xml:space="preserve">  合肥庐阳乡村振兴开发管理有限公司 </w:t>
      </w:r>
      <w:r>
        <w:rPr>
          <w:rFonts w:hint="eastAsia" w:ascii="宋体" w:hAnsi="宋体" w:eastAsia="宋体"/>
          <w:color w:val="auto"/>
          <w:kern w:val="2"/>
          <w:u w:val="none"/>
        </w:rPr>
        <w:t>，现对</w:t>
      </w:r>
      <w:r>
        <w:rPr>
          <w:rFonts w:hint="eastAsia" w:ascii="宋体" w:hAnsi="宋体" w:eastAsia="宋体"/>
          <w:color w:val="auto"/>
          <w:kern w:val="2"/>
          <w:u w:val="none"/>
          <w:lang w:eastAsia="zh-CN"/>
        </w:rPr>
        <w:t>该项目</w:t>
      </w:r>
      <w:r>
        <w:rPr>
          <w:rFonts w:hint="eastAsia" w:ascii="宋体" w:hAnsi="宋体" w:eastAsia="宋体"/>
          <w:color w:val="auto"/>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color w:val="auto"/>
          <w:sz w:val="24"/>
          <w:szCs w:val="24"/>
          <w:highlight w:val="none"/>
          <w:u w:val="none"/>
        </w:rPr>
      </w:pPr>
      <w:r>
        <w:rPr>
          <w:rFonts w:hint="eastAsia" w:ascii="宋体" w:hAnsi="宋体"/>
          <w:b/>
          <w:bCs/>
          <w:color w:val="auto"/>
          <w:sz w:val="24"/>
          <w:szCs w:val="24"/>
          <w:u w:val="none"/>
        </w:rPr>
        <w:t>一、</w:t>
      </w:r>
      <w:r>
        <w:rPr>
          <w:rFonts w:hint="eastAsia" w:ascii="宋体" w:hAnsi="宋体"/>
          <w:b/>
          <w:bCs/>
          <w:color w:val="auto"/>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color w:val="auto"/>
          <w:sz w:val="24"/>
          <w:szCs w:val="24"/>
          <w:highlight w:val="yellow"/>
          <w:u w:val="none"/>
          <w:lang w:eastAsia="zh-CN"/>
        </w:rPr>
      </w:pPr>
      <w:r>
        <w:rPr>
          <w:rFonts w:hint="eastAsia" w:ascii="宋体" w:hAnsi="宋体"/>
          <w:color w:val="auto"/>
          <w:sz w:val="24"/>
          <w:szCs w:val="24"/>
          <w:highlight w:val="none"/>
          <w:u w:val="none"/>
        </w:rPr>
        <w:t>1.项目编号：</w:t>
      </w:r>
      <w:r>
        <w:rPr>
          <w:rFonts w:hint="eastAsia" w:hAnsi="宋体"/>
          <w:color w:val="auto"/>
          <w:sz w:val="24"/>
          <w:szCs w:val="24"/>
          <w:highlight w:val="none"/>
          <w:u w:val="none"/>
          <w:lang w:eastAsia="zh-CN"/>
        </w:rPr>
        <w:t>2023GW000</w:t>
      </w:r>
      <w:r>
        <w:rPr>
          <w:rFonts w:hint="eastAsia" w:hAnsi="宋体"/>
          <w:color w:val="auto"/>
          <w:sz w:val="24"/>
          <w:szCs w:val="24"/>
          <w:highlight w:val="none"/>
          <w:u w:val="none"/>
          <w:lang w:val="en-US" w:eastAsia="zh-CN"/>
        </w:rPr>
        <w:t>8</w:t>
      </w:r>
      <w:r>
        <w:rPr>
          <w:rFonts w:hint="eastAsia" w:hAnsi="宋体"/>
          <w:color w:val="auto"/>
          <w:sz w:val="24"/>
          <w:szCs w:val="24"/>
          <w:highlight w:val="none"/>
          <w:u w:val="none"/>
          <w:lang w:eastAsia="zh-CN"/>
        </w:rPr>
        <w:t xml:space="preserve">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2.项目名称：</w:t>
      </w:r>
      <w:r>
        <w:rPr>
          <w:rFonts w:hint="eastAsia" w:hAnsi="宋体"/>
          <w:color w:val="auto"/>
          <w:sz w:val="24"/>
          <w:szCs w:val="24"/>
          <w:u w:val="none"/>
          <w:lang w:eastAsia="zh-CN"/>
        </w:rPr>
        <w:t>庐阳乡村振兴公司2023年第三方人力资源服务</w:t>
      </w:r>
      <w:r>
        <w:rPr>
          <w:rFonts w:hint="eastAsia" w:ascii="宋体" w:hAnsi="宋体"/>
          <w:color w:val="auto"/>
          <w:sz w:val="24"/>
          <w:szCs w:val="24"/>
          <w:u w:val="none"/>
          <w:lang w:val="en-US" w:eastAsia="zh-CN"/>
        </w:rPr>
        <w:t xml:space="preserve"> </w:t>
      </w:r>
    </w:p>
    <w:p>
      <w:pPr>
        <w:autoSpaceDE w:val="0"/>
        <w:autoSpaceDN w:val="0"/>
        <w:adjustRightInd w:val="0"/>
        <w:spacing w:line="360" w:lineRule="auto"/>
        <w:ind w:firstLine="200"/>
        <w:jc w:val="left"/>
        <w:rPr>
          <w:rFonts w:hint="eastAsia" w:ascii="宋体" w:hAnsi="宋体"/>
          <w:color w:val="auto"/>
          <w:sz w:val="24"/>
          <w:szCs w:val="24"/>
          <w:u w:val="none"/>
        </w:rPr>
      </w:pPr>
      <w:r>
        <w:rPr>
          <w:rFonts w:hint="eastAsia" w:ascii="宋体" w:hAnsi="宋体"/>
          <w:color w:val="auto"/>
          <w:sz w:val="24"/>
          <w:szCs w:val="24"/>
          <w:u w:val="none"/>
        </w:rPr>
        <w:t>3.项目地点：</w:t>
      </w:r>
      <w:r>
        <w:rPr>
          <w:rFonts w:hint="eastAsia" w:ascii="宋体" w:hAnsi="宋体"/>
          <w:color w:val="auto"/>
          <w:sz w:val="24"/>
          <w:szCs w:val="18"/>
          <w:u w:val="none"/>
        </w:rPr>
        <w:t>安徽省合肥市庐阳区</w:t>
      </w:r>
    </w:p>
    <w:p>
      <w:pPr>
        <w:autoSpaceDE w:val="0"/>
        <w:autoSpaceDN w:val="0"/>
        <w:adjustRightInd w:val="0"/>
        <w:spacing w:line="360" w:lineRule="auto"/>
        <w:ind w:firstLine="200"/>
        <w:jc w:val="left"/>
        <w:rPr>
          <w:rFonts w:hint="eastAsia" w:ascii="宋体" w:hAnsi="宋体"/>
          <w:color w:val="auto"/>
          <w:sz w:val="24"/>
          <w:szCs w:val="24"/>
          <w:u w:val="none"/>
          <w:lang w:eastAsia="zh-CN"/>
        </w:rPr>
      </w:pPr>
      <w:r>
        <w:rPr>
          <w:rFonts w:hint="eastAsia" w:ascii="宋体" w:hAnsi="宋体"/>
          <w:color w:val="auto"/>
          <w:sz w:val="24"/>
          <w:szCs w:val="24"/>
          <w:u w:val="none"/>
        </w:rPr>
        <w:t>4.项目单位：</w:t>
      </w:r>
      <w:r>
        <w:rPr>
          <w:rFonts w:hint="eastAsia" w:ascii="宋体" w:hAnsi="宋体"/>
          <w:color w:val="auto"/>
          <w:sz w:val="24"/>
          <w:szCs w:val="24"/>
          <w:u w:val="none"/>
          <w:lang w:val="en-US" w:eastAsia="zh-CN"/>
        </w:rPr>
        <w:t xml:space="preserve"> 合肥庐阳乡村振兴开发管理有限公司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olor w:val="auto"/>
          <w:sz w:val="24"/>
          <w:szCs w:val="24"/>
          <w:highlight w:val="none"/>
          <w:u w:val="none"/>
          <w:lang w:eastAsia="zh-CN"/>
        </w:rPr>
      </w:pPr>
      <w:r>
        <w:rPr>
          <w:rFonts w:hint="eastAsia" w:ascii="宋体" w:hAnsi="宋体"/>
          <w:color w:val="auto"/>
          <w:sz w:val="24"/>
          <w:szCs w:val="24"/>
          <w:u w:val="none"/>
        </w:rPr>
        <w:t>5.项目</w:t>
      </w:r>
      <w:r>
        <w:rPr>
          <w:rFonts w:hint="eastAsia" w:ascii="宋体" w:hAnsi="宋体"/>
          <w:color w:val="auto"/>
          <w:sz w:val="24"/>
          <w:szCs w:val="24"/>
          <w:highlight w:val="none"/>
          <w:u w:val="none"/>
        </w:rPr>
        <w:t>概况：本项目拟通过公开招标方式确定一家中标人为招标人所运营的项目提供售票员、现场管理人员外包服务（含人员服装费，工作工具采购及耗材费等费用）</w:t>
      </w:r>
      <w:r>
        <w:rPr>
          <w:rFonts w:hint="eastAsia" w:ascii="宋体" w:hAnsi="宋体" w:eastAsia="宋体" w:cs="宋体"/>
          <w:color w:val="auto"/>
          <w:sz w:val="24"/>
          <w:szCs w:val="24"/>
          <w:lang w:val="en-US" w:eastAsia="zh-CN"/>
        </w:rPr>
        <w:t>。</w:t>
      </w:r>
      <w:r>
        <w:rPr>
          <w:rFonts w:hint="eastAsia" w:ascii="宋体" w:hAnsi="宋体"/>
          <w:color w:val="auto"/>
          <w:sz w:val="24"/>
          <w:szCs w:val="24"/>
          <w:highlight w:val="none"/>
          <w:u w:val="none"/>
        </w:rPr>
        <w:t>详见磋商文件</w:t>
      </w:r>
      <w:r>
        <w:rPr>
          <w:rFonts w:hint="eastAsia" w:ascii="宋体" w:hAnsi="宋体"/>
          <w:color w:val="auto"/>
          <w:sz w:val="24"/>
          <w:szCs w:val="24"/>
          <w:highlight w:val="none"/>
          <w:u w:val="none"/>
          <w:lang w:eastAsia="zh-CN"/>
        </w:rPr>
        <w:t>。</w:t>
      </w:r>
    </w:p>
    <w:p>
      <w:pPr>
        <w:autoSpaceDE w:val="0"/>
        <w:autoSpaceDN w:val="0"/>
        <w:adjustRightInd w:val="0"/>
        <w:spacing w:line="360" w:lineRule="auto"/>
        <w:ind w:firstLine="200"/>
        <w:jc w:val="left"/>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rPr>
        <w:t>6.资金来源：自筹</w:t>
      </w:r>
      <w:r>
        <w:rPr>
          <w:rFonts w:hint="eastAsia" w:ascii="宋体" w:hAnsi="宋体"/>
          <w:color w:val="auto"/>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color w:val="auto"/>
          <w:sz w:val="24"/>
          <w:szCs w:val="24"/>
          <w:highlight w:val="none"/>
          <w:u w:val="none"/>
        </w:rPr>
      </w:pPr>
      <w:r>
        <w:rPr>
          <w:rFonts w:hint="eastAsia" w:ascii="宋体" w:hAnsi="宋体"/>
          <w:color w:val="auto"/>
          <w:sz w:val="24"/>
          <w:szCs w:val="24"/>
          <w:highlight w:val="none"/>
          <w:u w:val="none"/>
        </w:rPr>
        <w:t>7.项目概算：</w:t>
      </w:r>
      <w:r>
        <w:rPr>
          <w:rFonts w:hint="eastAsia" w:ascii="宋体" w:hAnsi="宋体" w:cs="宋体"/>
          <w:sz w:val="24"/>
          <w:szCs w:val="24"/>
          <w:lang w:val="en-US" w:eastAsia="zh-CN"/>
        </w:rPr>
        <w:t>28.6</w:t>
      </w:r>
      <w:r>
        <w:rPr>
          <w:rFonts w:hint="eastAsia" w:ascii="宋体" w:hAnsi="宋体"/>
          <w:color w:val="auto"/>
          <w:sz w:val="24"/>
          <w:szCs w:val="24"/>
          <w:highlight w:val="none"/>
          <w:u w:val="none"/>
          <w:lang w:val="en-US" w:eastAsia="zh-CN"/>
        </w:rPr>
        <w:t xml:space="preserve">万元   </w:t>
      </w:r>
      <w:r>
        <w:rPr>
          <w:rFonts w:hint="eastAsia" w:ascii="宋体" w:hAnsi="宋体"/>
          <w:color w:val="auto"/>
          <w:sz w:val="24"/>
          <w:szCs w:val="24"/>
          <w:highlight w:val="none"/>
          <w:u w:val="none"/>
        </w:rPr>
        <w:t xml:space="preserve"> </w:t>
      </w:r>
    </w:p>
    <w:p>
      <w:pPr>
        <w:autoSpaceDE w:val="0"/>
        <w:autoSpaceDN w:val="0"/>
        <w:adjustRightInd w:val="0"/>
        <w:spacing w:line="360" w:lineRule="auto"/>
        <w:ind w:firstLine="200"/>
        <w:jc w:val="left"/>
        <w:rPr>
          <w:rFonts w:hint="default"/>
          <w:color w:val="auto"/>
          <w:lang w:val="en-US" w:eastAsia="zh-CN"/>
        </w:rPr>
      </w:pPr>
      <w:r>
        <w:rPr>
          <w:rFonts w:hint="eastAsia" w:ascii="宋体" w:hAnsi="宋体"/>
          <w:color w:val="auto"/>
          <w:sz w:val="24"/>
          <w:szCs w:val="24"/>
          <w:u w:val="none"/>
        </w:rPr>
        <w:t>8.项目类别：</w:t>
      </w:r>
      <w:r>
        <w:rPr>
          <w:rFonts w:hint="eastAsia" w:ascii="宋体" w:hAnsi="宋体"/>
          <w:color w:val="auto"/>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color w:val="auto"/>
          <w:sz w:val="24"/>
          <w:szCs w:val="24"/>
          <w:u w:val="none"/>
          <w:lang w:eastAsia="zh-CN"/>
        </w:rPr>
      </w:pPr>
      <w:r>
        <w:rPr>
          <w:rFonts w:hint="eastAsia" w:ascii="宋体" w:hAnsi="宋体"/>
          <w:color w:val="auto"/>
          <w:sz w:val="24"/>
          <w:szCs w:val="24"/>
          <w:u w:val="none"/>
        </w:rPr>
        <w:t>9.标段（包别）划分：</w:t>
      </w:r>
      <w:r>
        <w:rPr>
          <w:rFonts w:hint="eastAsia" w:ascii="宋体" w:hAnsi="宋体"/>
          <w:color w:val="auto"/>
          <w:sz w:val="24"/>
          <w:szCs w:val="24"/>
          <w:u w:val="none"/>
          <w:lang w:eastAsia="zh-CN"/>
        </w:rPr>
        <w:t>不分包</w:t>
      </w:r>
    </w:p>
    <w:p>
      <w:pPr>
        <w:autoSpaceDE w:val="0"/>
        <w:autoSpaceDN w:val="0"/>
        <w:adjustRightInd w:val="0"/>
        <w:spacing w:line="360" w:lineRule="auto"/>
        <w:ind w:firstLine="200"/>
        <w:jc w:val="left"/>
        <w:rPr>
          <w:rFonts w:hint="eastAsia" w:ascii="宋体" w:hAnsi="宋体"/>
          <w:b/>
          <w:bCs/>
          <w:color w:val="auto"/>
          <w:sz w:val="24"/>
          <w:szCs w:val="24"/>
          <w:u w:val="none"/>
        </w:rPr>
      </w:pPr>
      <w:r>
        <w:rPr>
          <w:rFonts w:hint="eastAsia" w:ascii="宋体" w:hAnsi="宋体"/>
          <w:b/>
          <w:bCs/>
          <w:color w:val="auto"/>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rPr>
      </w:pPr>
      <w:r>
        <w:rPr>
          <w:rFonts w:hint="eastAsia" w:ascii="宋体" w:hAnsi="宋体" w:eastAsia="宋体" w:cs="Times New Roman"/>
          <w:color w:val="auto"/>
          <w:sz w:val="24"/>
          <w:szCs w:val="24"/>
          <w:highlight w:val="none"/>
          <w:u w:val="none"/>
          <w:lang w:val="en-US" w:eastAsia="zh-CN"/>
        </w:rPr>
        <w:t>1</w:t>
      </w:r>
      <w:r>
        <w:rPr>
          <w:rFonts w:hint="eastAsia" w:ascii="宋体" w:hAnsi="宋体" w:eastAsia="宋体" w:cs="Times New Roman"/>
          <w:color w:val="auto"/>
          <w:sz w:val="24"/>
          <w:szCs w:val="24"/>
          <w:highlight w:val="none"/>
          <w:u w:val="none"/>
        </w:rPr>
        <w:t>.本项目</w:t>
      </w:r>
      <w:r>
        <w:rPr>
          <w:rFonts w:hint="eastAsia" w:ascii="宋体" w:hAnsi="宋体" w:eastAsia="宋体" w:cs="Times New Roman"/>
          <w:b w:val="0"/>
          <w:bCs w:val="0"/>
          <w:color w:val="auto"/>
          <w:sz w:val="24"/>
          <w:szCs w:val="24"/>
          <w:highlight w:val="none"/>
          <w:u w:val="none"/>
        </w:rPr>
        <w:t>不接受</w:t>
      </w:r>
      <w:r>
        <w:rPr>
          <w:rFonts w:hint="eastAsia" w:ascii="宋体" w:hAnsi="宋体" w:eastAsia="宋体" w:cs="Times New Roman"/>
          <w:color w:val="auto"/>
          <w:sz w:val="24"/>
          <w:szCs w:val="24"/>
          <w:highlight w:val="none"/>
          <w:u w:val="none"/>
        </w:rPr>
        <w:t>联合体磋商；</w:t>
      </w:r>
    </w:p>
    <w:p>
      <w:pPr>
        <w:autoSpaceDE w:val="0"/>
        <w:autoSpaceDN w:val="0"/>
        <w:adjustRightInd w:val="0"/>
        <w:spacing w:line="360" w:lineRule="auto"/>
        <w:ind w:firstLine="200"/>
        <w:jc w:val="left"/>
        <w:rPr>
          <w:rFonts w:hint="default"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2.具有独立承担民事责任的能力，不具有独立法人的分支机构投标另须提供相应授权文件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color w:val="auto"/>
          <w:sz w:val="24"/>
          <w:szCs w:val="18"/>
          <w:u w:val="none"/>
        </w:rPr>
      </w:pPr>
      <w:r>
        <w:rPr>
          <w:rFonts w:hint="eastAsia" w:hAnsi="宋体"/>
          <w:color w:val="auto"/>
          <w:sz w:val="24"/>
          <w:szCs w:val="18"/>
          <w:highlight w:val="none"/>
          <w:u w:val="none"/>
          <w:lang w:val="en-US" w:eastAsia="zh-CN"/>
        </w:rPr>
        <w:t>3</w:t>
      </w:r>
      <w:r>
        <w:rPr>
          <w:rFonts w:hint="eastAsia" w:ascii="宋体" w:hAnsi="宋体"/>
          <w:color w:val="auto"/>
          <w:sz w:val="24"/>
          <w:szCs w:val="18"/>
          <w:highlight w:val="none"/>
          <w:u w:val="none"/>
        </w:rPr>
        <w:t>.符合下列情形之</w:t>
      </w:r>
      <w:r>
        <w:rPr>
          <w:rFonts w:hint="eastAsia" w:ascii="宋体" w:hAnsi="宋体"/>
          <w:color w:val="auto"/>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default"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1.获取时间：2023年5月</w:t>
      </w:r>
      <w:r>
        <w:rPr>
          <w:rFonts w:hint="eastAsia" w:hAnsi="宋体"/>
          <w:bCs/>
          <w:color w:val="000000"/>
          <w:sz w:val="24"/>
          <w:szCs w:val="24"/>
          <w:highlight w:val="none"/>
          <w:u w:val="none"/>
          <w:lang w:val="en-US" w:eastAsia="zh-CN"/>
        </w:rPr>
        <w:t>30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rPr>
        <w:t>0至2023年6月</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并下载磋商文件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highlight w:val="none"/>
          <w:u w:val="none"/>
          <w:lang w:val="en-US"/>
        </w:rPr>
      </w:pPr>
      <w:r>
        <w:rPr>
          <w:rFonts w:hint="eastAsia" w:ascii="宋体" w:hAnsi="宋体"/>
          <w:bCs/>
          <w:color w:val="000000"/>
          <w:sz w:val="24"/>
          <w:szCs w:val="24"/>
          <w:highlight w:val="none"/>
          <w:u w:val="none"/>
        </w:rPr>
        <w:t>2023年6月</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rPr>
        <w:t>0</w:t>
      </w:r>
      <w:r>
        <w:rPr>
          <w:rFonts w:hint="eastAsia" w:ascii="宋体" w:hAnsi="宋体"/>
          <w:bCs/>
          <w:sz w:val="24"/>
          <w:highlight w:val="none"/>
          <w:u w:val="none"/>
          <w:lang w:val="en-US" w:eastAsia="zh-CN"/>
        </w:rPr>
        <w:t xml:space="preserve">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val="en-US" w:eastAsia="zh-CN"/>
        </w:rPr>
      </w:pPr>
      <w:r>
        <w:rPr>
          <w:rFonts w:hint="eastAsia" w:ascii="宋体" w:hAnsi="宋体" w:eastAsia="宋体" w:cs="Times New Roman"/>
          <w:b/>
          <w:bCs/>
          <w:sz w:val="24"/>
          <w:szCs w:val="18"/>
          <w:highlight w:val="none"/>
          <w:u w:val="none"/>
          <w:lang w:val="en-US" w:eastAsia="zh-CN"/>
        </w:rPr>
        <w:t>响应文件递交注意事项：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1.</w:t>
      </w:r>
      <w:r>
        <w:rPr>
          <w:rFonts w:hint="default" w:ascii="宋体" w:hAnsi="宋体" w:eastAsia="宋体" w:cs="Times New Roman"/>
          <w:bCs/>
          <w:color w:val="000000"/>
          <w:sz w:val="24"/>
          <w:szCs w:val="24"/>
          <w:u w:val="none"/>
          <w:lang w:val="en-US" w:eastAsia="zh-CN" w:bidi="ar-SA"/>
        </w:rPr>
        <w:t>投标文件由投标人在响应文件递交截止时间前密封递交</w:t>
      </w:r>
      <w:r>
        <w:rPr>
          <w:rFonts w:hint="eastAsia" w:ascii="宋体" w:hAnsi="宋体" w:eastAsia="宋体" w:cs="Times New Roman"/>
          <w:bCs/>
          <w:color w:val="000000"/>
          <w:sz w:val="24"/>
          <w:szCs w:val="24"/>
          <w:u w:val="none"/>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2.</w:t>
      </w:r>
      <w:r>
        <w:rPr>
          <w:rFonts w:hint="default" w:ascii="宋体" w:hAnsi="宋体" w:eastAsia="宋体" w:cs="Times New Roman"/>
          <w:bCs/>
          <w:color w:val="000000"/>
          <w:sz w:val="24"/>
          <w:szCs w:val="24"/>
          <w:u w:val="none"/>
          <w:lang w:val="en-US" w:eastAsia="zh-CN" w:bidi="ar-SA"/>
        </w:rPr>
        <w:t>本项目仅接受线下</w:t>
      </w:r>
      <w:r>
        <w:rPr>
          <w:rFonts w:hint="eastAsia" w:ascii="宋体" w:hAnsi="宋体" w:eastAsia="宋体" w:cs="Times New Roman"/>
          <w:bCs/>
          <w:color w:val="000000"/>
          <w:sz w:val="24"/>
          <w:szCs w:val="24"/>
          <w:u w:val="none"/>
          <w:lang w:val="en-US" w:eastAsia="zh-CN" w:bidi="ar-SA"/>
        </w:rPr>
        <w:t>凭授权委托书或法人身份证明文件现场</w:t>
      </w:r>
      <w:r>
        <w:rPr>
          <w:rFonts w:hint="default" w:ascii="宋体" w:hAnsi="宋体" w:eastAsia="宋体" w:cs="Times New Roman"/>
          <w:bCs/>
          <w:color w:val="000000"/>
          <w:sz w:val="24"/>
          <w:szCs w:val="24"/>
          <w:u w:val="none"/>
          <w:lang w:val="en-US" w:eastAsia="zh-CN" w:bidi="ar-SA"/>
        </w:rPr>
        <w:t>递交</w:t>
      </w:r>
      <w:r>
        <w:rPr>
          <w:rFonts w:hint="eastAsia" w:ascii="宋体" w:hAnsi="宋体" w:eastAsia="宋体" w:cs="Times New Roman"/>
          <w:bCs/>
          <w:color w:val="000000"/>
          <w:sz w:val="24"/>
          <w:szCs w:val="24"/>
          <w:u w:val="none"/>
          <w:lang w:val="en-US" w:eastAsia="zh-CN" w:bidi="ar-SA"/>
        </w:rPr>
        <w:t>，不接受邮寄等其他递交方式；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3.递交时须</w:t>
      </w:r>
      <w:r>
        <w:rPr>
          <w:rFonts w:hint="default" w:ascii="宋体" w:hAnsi="宋体" w:eastAsia="宋体" w:cs="Times New Roman"/>
          <w:bCs/>
          <w:color w:val="000000"/>
          <w:sz w:val="24"/>
          <w:szCs w:val="24"/>
          <w:u w:val="none"/>
          <w:lang w:val="en-US" w:eastAsia="zh-CN" w:bidi="ar-SA"/>
        </w:rPr>
        <w:t>另行单独提交以下证明材料，否则招标人不予接收。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（1）法定代表人亲自递交的，应提供法定代表人身份证明和法定代表人的有效身份证件；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ascii="宋体" w:hAnsi="宋体"/>
          <w:bCs/>
          <w:sz w:val="24"/>
          <w:szCs w:val="18"/>
          <w:u w:val="none"/>
          <w:lang w:eastAsia="zh-CN"/>
        </w:rPr>
        <w:t xml:space="preserve"> 合肥庐阳乡村振兴开发管理有限公司</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eastAsia="宋体" w:cs="Times New Roman"/>
          <w:b/>
          <w:bCs/>
          <w:sz w:val="24"/>
          <w:szCs w:val="18"/>
          <w:highlight w:val="none"/>
          <w:u w:val="none"/>
          <w:lang w:val="en-US" w:eastAsia="zh-CN"/>
        </w:rPr>
        <w:t>八</w:t>
      </w:r>
      <w:r>
        <w:rPr>
          <w:rFonts w:hint="eastAsia" w:ascii="宋体" w:hAnsi="宋体" w:eastAsia="宋体" w:cs="Times New Roman"/>
          <w:b/>
          <w:bCs/>
          <w:sz w:val="24"/>
          <w:szCs w:val="18"/>
          <w:highlight w:val="none"/>
          <w:u w:val="none"/>
        </w:rPr>
        <w:t>、</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992"/>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ascii="仿宋" w:hAnsi="仿宋" w:eastAsia="仿宋"/>
                <w:szCs w:val="24"/>
                <w:highlight w:val="none"/>
              </w:rPr>
            </w:pPr>
            <w:r>
              <w:rPr>
                <w:rFonts w:hint="eastAsia"/>
                <w:szCs w:val="24"/>
                <w:highlight w:val="none"/>
              </w:rPr>
              <w:sym w:font="Wingdings 2" w:char="0052"/>
            </w:r>
            <w:r>
              <w:rPr>
                <w:rFonts w:hint="eastAsia"/>
                <w:szCs w:val="24"/>
                <w:highlight w:val="none"/>
              </w:rPr>
              <w:t>不组织，投标人自行踏勘</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eastAsia="宋体"/>
                <w:snapToGrid w:val="0"/>
                <w:szCs w:val="24"/>
                <w:highlight w:val="none"/>
                <w:lang w:val="en-US" w:eastAsia="zh-CN"/>
              </w:rPr>
            </w:pPr>
            <w:r>
              <w:rPr>
                <w:rFonts w:hint="eastAsia"/>
                <w:szCs w:val="24"/>
                <w:highlight w:val="none"/>
                <w:lang w:val="en-US" w:eastAsia="zh-CN"/>
              </w:rPr>
              <w:t>10</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11</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8</w:t>
            </w:r>
            <w:bookmarkStart w:id="101" w:name="_GoBack"/>
            <w:bookmarkEnd w:id="101"/>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A3"/>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52"/>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ascii="宋体" w:hAnsi="Times New Roman" w:eastAsia="宋体" w:cs="Times New Roman"/>
                <w:bCs/>
                <w:snapToGrid w:val="0"/>
                <w:color w:val="FF0000"/>
                <w:szCs w:val="24"/>
                <w:highlight w:val="none"/>
                <w:lang w:val="en-US" w:eastAsia="zh-CN"/>
              </w:rPr>
            </w:pPr>
            <w:r>
              <w:rPr>
                <w:rFonts w:hint="eastAsia" w:ascii="宋体" w:hAnsi="Times New Roman" w:eastAsia="宋体" w:cs="Times New Roman"/>
                <w:bCs/>
                <w:snapToGrid w:val="0"/>
                <w:color w:val="FF0000"/>
                <w:szCs w:val="24"/>
                <w:highlight w:val="none"/>
                <w:lang w:val="en-US" w:eastAsia="zh-CN"/>
              </w:rPr>
              <w:sym w:font="Wingdings 2" w:char="0052"/>
            </w:r>
            <w:r>
              <w:rPr>
                <w:rFonts w:hint="eastAsia" w:ascii="宋体" w:hAnsi="Times New Roman" w:eastAsia="宋体" w:cs="Times New Roman"/>
                <w:bCs/>
                <w:snapToGrid w:val="0"/>
                <w:color w:val="FF0000"/>
                <w:szCs w:val="24"/>
                <w:highlight w:val="none"/>
                <w:lang w:val="en-US" w:eastAsia="zh-CN"/>
              </w:rPr>
              <w:t>有，总价最高投标限价28.6万元</w:t>
            </w:r>
            <w:r>
              <w:rPr>
                <w:rFonts w:hint="eastAsia" w:cs="Times New Roman"/>
                <w:bCs/>
                <w:snapToGrid w:val="0"/>
                <w:color w:val="FF0000"/>
                <w:szCs w:val="24"/>
                <w:highlight w:val="none"/>
                <w:lang w:val="en-US" w:eastAsia="zh-CN"/>
              </w:rPr>
              <w:t>，各人员岗位人员单价详见磋商文件。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20" w:leftChars="50" w:right="120" w:rightChars="50"/>
              <w:jc w:val="center"/>
              <w:rPr>
                <w:rFonts w:hint="eastAsia" w:eastAsia="宋体"/>
                <w:szCs w:val="24"/>
                <w:highlight w:val="none"/>
                <w:lang w:eastAsia="zh-CN"/>
              </w:rPr>
            </w:pPr>
            <w:r>
              <w:rPr>
                <w:rFonts w:hint="eastAsia"/>
                <w:snapToGrid w:val="0"/>
                <w:szCs w:val="24"/>
                <w:highlight w:val="none"/>
                <w:lang w:val="en-US" w:eastAsia="zh-CN"/>
              </w:rPr>
              <w:t>14</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履约保证金</w:t>
            </w:r>
          </w:p>
        </w:tc>
        <w:tc>
          <w:tcPr>
            <w:tcW w:w="6051" w:type="dxa"/>
            <w:noWrap w:val="0"/>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noWrap w:val="0"/>
                  <w:vAlign w:val="center"/>
                </w:tcPr>
                <w:p>
                  <w:pPr>
                    <w:snapToGrid w:val="0"/>
                    <w:ind w:left="-84" w:leftChars="-35"/>
                    <w:rPr>
                      <w:rFonts w:cs="楷体"/>
                      <w:bCs/>
                      <w:snapToGrid w:val="0"/>
                      <w:szCs w:val="24"/>
                      <w:highlight w:val="none"/>
                    </w:rPr>
                  </w:pPr>
                  <w:r>
                    <w:rPr>
                      <w:rFonts w:hint="eastAsia"/>
                      <w:szCs w:val="24"/>
                      <w:highlight w:val="none"/>
                    </w:rPr>
                    <w:t>（1）形式：</w:t>
                  </w:r>
                  <w:r>
                    <w:rPr>
                      <w:rFonts w:hint="eastAsia" w:cs="楷体"/>
                      <w:bCs/>
                      <w:snapToGrid w:val="0"/>
                      <w:szCs w:val="24"/>
                      <w:highlight w:val="none"/>
                    </w:rPr>
                    <w:t xml:space="preserve"> </w:t>
                  </w:r>
                  <w:r>
                    <w:rPr>
                      <w:rFonts w:cs="楷体"/>
                      <w:b/>
                      <w:bCs w:val="0"/>
                      <w:snapToGrid w:val="0"/>
                      <w:szCs w:val="24"/>
                      <w:highlight w:val="none"/>
                    </w:rPr>
                    <w:fldChar w:fldCharType="begin"/>
                  </w:r>
                  <w:r>
                    <w:rPr>
                      <w:rFonts w:cs="楷体"/>
                      <w:b/>
                      <w:bCs w:val="0"/>
                      <w:snapToGrid w:val="0"/>
                      <w:szCs w:val="24"/>
                      <w:highlight w:val="none"/>
                    </w:rPr>
                    <w:instrText xml:space="preserve"> </w:instrText>
                  </w:r>
                  <w:r>
                    <w:rPr>
                      <w:rFonts w:hint="eastAsia" w:cs="楷体"/>
                      <w:b/>
                      <w:bCs w:val="0"/>
                      <w:snapToGrid w:val="0"/>
                      <w:szCs w:val="24"/>
                      <w:highlight w:val="none"/>
                    </w:rPr>
                    <w:instrText xml:space="preserve">eq \o\ac(□</w:instrText>
                  </w:r>
                  <w:r>
                    <w:rPr>
                      <w:rFonts w:hint="eastAsia" w:cs="楷体"/>
                      <w:b/>
                      <w:bCs w:val="0"/>
                      <w:snapToGrid w:val="0"/>
                      <w:szCs w:val="24"/>
                      <w:highlight w:val="none"/>
                      <w:lang w:eastAsia="zh-CN"/>
                    </w:rPr>
                    <w:instrText xml:space="preserve">,</w:instrText>
                  </w:r>
                  <w:r>
                    <w:rPr>
                      <w:rFonts w:hint="eastAsia" w:cs="楷体"/>
                      <w:b/>
                      <w:bCs w:val="0"/>
                      <w:snapToGrid w:val="0"/>
                      <w:position w:val="2"/>
                      <w:sz w:val="13"/>
                      <w:szCs w:val="24"/>
                      <w:highlight w:val="none"/>
                      <w:lang w:eastAsia="zh-CN"/>
                    </w:rPr>
                    <w:instrText xml:space="preserve">√</w:instrText>
                  </w:r>
                  <w:r>
                    <w:rPr>
                      <w:rFonts w:hint="eastAsia" w:cs="楷体"/>
                      <w:b/>
                      <w:bCs w:val="0"/>
                      <w:snapToGrid w:val="0"/>
                      <w:szCs w:val="24"/>
                      <w:highlight w:val="none"/>
                    </w:rPr>
                    <w:instrText xml:space="preserve">)</w:instrText>
                  </w:r>
                  <w:r>
                    <w:rPr>
                      <w:rFonts w:cs="楷体"/>
                      <w:b/>
                      <w:bCs w:val="0"/>
                      <w:snapToGrid w:val="0"/>
                      <w:szCs w:val="24"/>
                      <w:highlight w:val="none"/>
                    </w:rPr>
                    <w:fldChar w:fldCharType="end"/>
                  </w:r>
                  <w:r>
                    <w:rPr>
                      <w:rFonts w:hint="eastAsia" w:cs="楷体"/>
                      <w:b w:val="0"/>
                      <w:bCs/>
                      <w:snapToGrid w:val="0"/>
                      <w:szCs w:val="24"/>
                      <w:highlight w:val="none"/>
                      <w:lang w:val="en-US" w:eastAsia="zh-CN"/>
                    </w:rPr>
                    <w:t>免收</w:t>
                  </w:r>
                  <w:r>
                    <w:rPr>
                      <w:rFonts w:hint="eastAsia" w:cs="楷体"/>
                      <w:b/>
                      <w:snapToGrid w:val="0"/>
                      <w:szCs w:val="24"/>
                      <w:highlight w:val="none"/>
                      <w:lang w:val="en-US" w:eastAsia="zh-CN"/>
                    </w:rPr>
                    <w:t xml:space="preserve">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银行转账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银行电汇  </w:t>
                  </w:r>
                </w:p>
                <w:p>
                  <w:pPr>
                    <w:snapToGrid w:val="0"/>
                    <w:rPr>
                      <w:rFonts w:hint="eastAsia" w:ascii="楷体" w:hAnsi="楷体" w:eastAsia="楷体"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银行保函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担保机构担保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保证保险</w:t>
                  </w:r>
                </w:p>
              </w:tc>
            </w:tr>
          </w:tbl>
          <w:p>
            <w:pPr>
              <w:snapToGrid w:val="0"/>
              <w:ind w:left="-84" w:leftChars="-35"/>
              <w:rPr>
                <w:rFonts w:hint="eastAsia" w:ascii="宋体" w:hAnsi="Times New Roman" w:eastAsia="宋体" w:cs="楷体"/>
                <w:bCs/>
                <w:snapToGrid w:val="0"/>
                <w:sz w:val="24"/>
                <w:szCs w:val="24"/>
                <w:highlight w:val="none"/>
                <w:lang w:val="en-US" w:eastAsia="zh-CN" w:bidi="ar-SA"/>
              </w:rPr>
            </w:pPr>
            <w:r>
              <w:rPr>
                <w:rFonts w:hint="eastAsia"/>
                <w:szCs w:val="24"/>
                <w:highlight w:val="none"/>
              </w:rPr>
              <w:t>（2）金额：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0 </w:t>
            </w:r>
            <w:r>
              <w:rPr>
                <w:rFonts w:hint="eastAsia"/>
                <w:b/>
                <w:szCs w:val="24"/>
                <w:highlight w:val="none"/>
                <w:u w:val="single"/>
              </w:rPr>
              <w:t xml:space="preserve"> </w:t>
            </w:r>
            <w:r>
              <w:rPr>
                <w:rFonts w:hint="eastAsia"/>
                <w:b/>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8"/>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8"/>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w:t>
            </w:r>
            <w:r>
              <w:rPr>
                <w:rFonts w:hint="eastAsia" w:ascii="宋体" w:hAnsi="宋体"/>
                <w:bCs/>
                <w:sz w:val="24"/>
                <w:szCs w:val="18"/>
                <w:highlight w:val="none"/>
                <w:u w:val="none"/>
                <w:lang w:eastAsia="zh-CN"/>
              </w:rPr>
              <w:t>安徽省合肥市庐阳区红星路省人民政府机关幼儿园北门对面原省政府北楼一楼</w:t>
            </w:r>
            <w:r>
              <w:rPr>
                <w:rFonts w:hint="eastAsia" w:ascii="宋体" w:hAnsi="宋体"/>
                <w:bCs/>
                <w:sz w:val="24"/>
                <w:szCs w:val="18"/>
                <w:highlight w:val="none"/>
                <w:u w:val="none"/>
                <w:lang w:val="en-US" w:eastAsia="zh-CN"/>
              </w:rPr>
              <w:t>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（1）项目经理必须是投标人本单位工作人员，提供虚假资料谋取中标的将报监管部门处理。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szCs w:val="24"/>
                <w:highlight w:val="none"/>
              </w:rPr>
            </w:pPr>
            <w:r>
              <w:rPr>
                <w:rFonts w:hint="eastAsia"/>
                <w:szCs w:val="24"/>
                <w:highlight w:val="none"/>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rPr>
          <w:rFonts w:ascii="黑体" w:eastAsia="黑体"/>
          <w:sz w:val="28"/>
          <w:szCs w:val="28"/>
          <w:highlight w:val="none"/>
        </w:rPr>
      </w:pPr>
    </w:p>
    <w:p>
      <w:pPr>
        <w:pStyle w:val="27"/>
        <w:adjustRightInd w:val="0"/>
        <w:snapToGrid w:val="0"/>
        <w:spacing w:line="400" w:lineRule="exact"/>
        <w:jc w:val="left"/>
        <w:rPr>
          <w:rFonts w:hint="eastAsia" w:ascii="Times New Roman" w:hAnsi="Times New Roman"/>
          <w:bCs/>
          <w:snapToGrid w:val="0"/>
          <w:kern w:val="0"/>
          <w:szCs w:val="21"/>
          <w:highlight w:val="none"/>
        </w:rPr>
      </w:pPr>
      <w:bookmarkStart w:id="5" w:name="_Toc184635071"/>
      <w:bookmarkStart w:id="6" w:name="_Toc460226725"/>
      <w:bookmarkStart w:id="7" w:name="_Toc460226994"/>
      <w:bookmarkStart w:id="8" w:name="_Toc460660067"/>
    </w:p>
    <w:p>
      <w:pPr>
        <w:pStyle w:val="27"/>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4"/>
        <w:spacing w:line="500" w:lineRule="exact"/>
        <w:ind w:firstLine="0"/>
        <w:jc w:val="center"/>
        <w:outlineLvl w:val="0"/>
        <w:rPr>
          <w:rFonts w:hint="eastAsia" w:ascii="宋体" w:hAnsi="宋体" w:eastAsia="宋体"/>
          <w:sz w:val="24"/>
          <w:szCs w:val="24"/>
          <w:lang w:eastAsia="zh-CN"/>
        </w:rPr>
      </w:pPr>
      <w:bookmarkStart w:id="9" w:name="_Toc14194"/>
      <w:r>
        <w:rPr>
          <w:rFonts w:hint="eastAsia" w:ascii="宋体" w:hAnsi="宋体" w:eastAsia="宋体"/>
        </w:rPr>
        <w:t>投标人须知</w:t>
      </w:r>
      <w:r>
        <w:rPr>
          <w:rFonts w:hint="eastAsia" w:ascii="宋体" w:hAnsi="宋体" w:eastAsia="宋体"/>
          <w:lang w:eastAsia="zh-CN"/>
        </w:rPr>
        <w:t>正文</w:t>
      </w:r>
      <w:bookmarkEnd w:id="9"/>
    </w:p>
    <w:p>
      <w:pPr>
        <w:pStyle w:val="8"/>
        <w:spacing w:line="500" w:lineRule="exact"/>
        <w:jc w:val="both"/>
        <w:rPr>
          <w:rFonts w:hint="eastAsia" w:hAnsi="宋体"/>
          <w:sz w:val="28"/>
        </w:rPr>
      </w:pPr>
      <w:bookmarkStart w:id="10" w:name="_Hlt526418143"/>
      <w:bookmarkEnd w:id="10"/>
      <w:bookmarkStart w:id="11" w:name="_Hlt509650686"/>
      <w:bookmarkEnd w:id="11"/>
      <w:bookmarkStart w:id="12" w:name="_Hlt509649998"/>
      <w:bookmarkEnd w:id="12"/>
      <w:bookmarkStart w:id="13" w:name="_Hlt509649722"/>
      <w:bookmarkEnd w:id="13"/>
      <w:bookmarkStart w:id="14" w:name="_Hlt509650955"/>
      <w:bookmarkEnd w:id="14"/>
      <w:bookmarkStart w:id="15" w:name="_Hlt509650126"/>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8"/>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8"/>
        <w:spacing w:line="500" w:lineRule="exact"/>
        <w:jc w:val="both"/>
        <w:rPr>
          <w:rFonts w:hint="eastAsia" w:hAnsi="宋体"/>
          <w:sz w:val="28"/>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8"/>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8"/>
        <w:spacing w:line="360" w:lineRule="auto"/>
        <w:ind w:firstLine="628"/>
        <w:jc w:val="both"/>
        <w:rPr>
          <w:rFonts w:hint="eastAsia"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8"/>
        <w:spacing w:line="360" w:lineRule="auto"/>
        <w:ind w:firstLine="628"/>
        <w:jc w:val="both"/>
        <w:rPr>
          <w:rFonts w:hint="eastAsia"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8"/>
        <w:spacing w:line="360" w:lineRule="auto"/>
        <w:ind w:firstLine="628"/>
        <w:jc w:val="both"/>
        <w:rPr>
          <w:rFonts w:hint="eastAsia" w:hAnsi="宋体"/>
          <w:sz w:val="28"/>
        </w:rPr>
      </w:pPr>
      <w:bookmarkStart w:id="36" w:name="_Toc477793061"/>
      <w:bookmarkStart w:id="37" w:name="_Toc460487454"/>
      <w:bookmarkStart w:id="38" w:name="_Toc522466828"/>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9"/>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9"/>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4"/>
        <w:numPr>
          <w:ilvl w:val="0"/>
          <w:numId w:val="0"/>
        </w:numPr>
        <w:jc w:val="center"/>
        <w:rPr>
          <w:rFonts w:hint="eastAsia"/>
          <w:lang w:val="en-US" w:eastAsia="zh-CN"/>
        </w:rPr>
      </w:pPr>
      <w:bookmarkStart w:id="40" w:name="_Toc7083"/>
      <w:r>
        <w:rPr>
          <w:rFonts w:hint="eastAsia" w:ascii="宋体" w:hAnsi="Times New Roman" w:eastAsia="宋体" w:cs="Times New Roman"/>
          <w:b/>
          <w:bCs/>
          <w:lang w:val="en-US" w:eastAsia="zh-CN"/>
        </w:rPr>
        <w:t>第三章 招标</w:t>
      </w:r>
      <w:r>
        <w:rPr>
          <w:rFonts w:hint="eastAsia"/>
          <w:b/>
          <w:bCs w:val="0"/>
          <w:lang w:val="en-US" w:eastAsia="zh-CN"/>
        </w:rPr>
        <w:t>需求</w:t>
      </w:r>
      <w:bookmarkEnd w:id="40"/>
    </w:p>
    <w:p>
      <w:pPr>
        <w:spacing w:line="360" w:lineRule="auto"/>
        <w:ind w:firstLine="437"/>
        <w:rPr>
          <w:rFonts w:ascii="宋体" w:hAnsi="宋体"/>
          <w:b/>
          <w:sz w:val="24"/>
          <w:szCs w:val="24"/>
        </w:rPr>
      </w:pPr>
      <w:bookmarkStart w:id="41" w:name="_Toc71801419"/>
      <w:r>
        <w:rPr>
          <w:rFonts w:hint="eastAsia" w:ascii="宋体" w:hAnsi="宋体"/>
          <w:b/>
          <w:sz w:val="24"/>
          <w:szCs w:val="24"/>
        </w:rPr>
        <w:t>一、采购需求前附表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2080"/>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32"/>
              <w:pBdr>
                <w:bottom w:val="none" w:color="auto" w:sz="0" w:space="0"/>
              </w:pBdr>
              <w:tabs>
                <w:tab w:val="clear" w:pos="4153"/>
                <w:tab w:val="clear" w:pos="8306"/>
              </w:tabs>
              <w:adjustRightInd/>
              <w:spacing w:line="360" w:lineRule="auto"/>
              <w:textAlignment w:val="auto"/>
              <w:rPr>
                <w:rFonts w:ascii="宋体" w:hAnsi="宋体"/>
                <w:b/>
                <w:kern w:val="2"/>
                <w:szCs w:val="24"/>
              </w:rPr>
            </w:pPr>
            <w:r>
              <w:rPr>
                <w:rFonts w:hint="eastAsia" w:ascii="宋体" w:hAnsi="宋体"/>
                <w:b/>
                <w:kern w:val="2"/>
                <w:szCs w:val="24"/>
              </w:rPr>
              <w:t>序号</w:t>
            </w:r>
          </w:p>
        </w:tc>
        <w:tc>
          <w:tcPr>
            <w:tcW w:w="1192" w:type="pct"/>
            <w:noWrap w:val="0"/>
            <w:vAlign w:val="center"/>
          </w:tcPr>
          <w:p>
            <w:pPr>
              <w:pStyle w:val="35"/>
              <w:widowControl w:val="0"/>
              <w:spacing w:before="0" w:beforeAutospacing="0" w:after="0" w:afterAutospacing="0" w:line="360" w:lineRule="auto"/>
              <w:rPr>
                <w:rFonts w:ascii="宋体" w:hAnsi="宋体"/>
                <w:bCs w:val="0"/>
                <w:sz w:val="24"/>
                <w:szCs w:val="24"/>
              </w:rPr>
            </w:pPr>
            <w:r>
              <w:rPr>
                <w:rFonts w:hint="eastAsia" w:ascii="宋体" w:hAnsi="宋体"/>
                <w:bCs w:val="0"/>
                <w:sz w:val="24"/>
                <w:szCs w:val="24"/>
              </w:rPr>
              <w:t>条款名称</w:t>
            </w:r>
          </w:p>
        </w:tc>
        <w:tc>
          <w:tcPr>
            <w:tcW w:w="3216" w:type="pct"/>
            <w:noWrap w:val="0"/>
            <w:vAlign w:val="center"/>
          </w:tcPr>
          <w:p>
            <w:pPr>
              <w:pStyle w:val="35"/>
              <w:widowControl w:val="0"/>
              <w:spacing w:before="0" w:beforeAutospacing="0" w:after="0" w:afterAutospacing="0" w:line="360" w:lineRule="auto"/>
              <w:rPr>
                <w:rFonts w:ascii="宋体" w:hAnsi="宋体"/>
                <w:bCs w:val="0"/>
                <w:sz w:val="24"/>
                <w:szCs w:val="24"/>
              </w:rPr>
            </w:pPr>
            <w:r>
              <w:rPr>
                <w:rFonts w:hint="eastAsia" w:ascii="宋体" w:hAnsi="宋体"/>
                <w:bCs w:val="0"/>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32"/>
              <w:pBdr>
                <w:bottom w:val="none" w:color="auto" w:sz="0" w:space="0"/>
              </w:pBdr>
              <w:tabs>
                <w:tab w:val="clear" w:pos="4153"/>
                <w:tab w:val="clear" w:pos="8306"/>
              </w:tabs>
              <w:adjustRightInd/>
              <w:spacing w:line="360" w:lineRule="auto"/>
              <w:textAlignment w:val="auto"/>
              <w:rPr>
                <w:rFonts w:ascii="宋体" w:hAnsi="宋体"/>
                <w:bCs/>
                <w:kern w:val="2"/>
                <w:szCs w:val="24"/>
              </w:rPr>
            </w:pPr>
            <w:r>
              <w:rPr>
                <w:rFonts w:hint="eastAsia" w:ascii="宋体" w:hAnsi="宋体"/>
                <w:bCs/>
                <w:kern w:val="2"/>
                <w:szCs w:val="24"/>
              </w:rPr>
              <w:t>1</w:t>
            </w:r>
          </w:p>
        </w:tc>
        <w:tc>
          <w:tcPr>
            <w:tcW w:w="1192" w:type="pct"/>
            <w:noWrap w:val="0"/>
            <w:vAlign w:val="center"/>
          </w:tcPr>
          <w:p>
            <w:pPr>
              <w:pStyle w:val="35"/>
              <w:widowControl w:val="0"/>
              <w:spacing w:before="0" w:beforeAutospacing="0" w:after="0" w:afterAutospacing="0" w:line="360" w:lineRule="auto"/>
              <w:rPr>
                <w:rFonts w:ascii="宋体" w:hAnsi="宋体"/>
                <w:b w:val="0"/>
                <w:sz w:val="24"/>
                <w:szCs w:val="24"/>
              </w:rPr>
            </w:pPr>
            <w:r>
              <w:rPr>
                <w:rFonts w:hint="eastAsia" w:ascii="宋体" w:hAnsi="宋体"/>
                <w:b w:val="0"/>
                <w:sz w:val="24"/>
                <w:szCs w:val="24"/>
              </w:rPr>
              <w:t>付款方式</w:t>
            </w:r>
          </w:p>
        </w:tc>
        <w:tc>
          <w:tcPr>
            <w:tcW w:w="3216" w:type="pct"/>
            <w:noWrap w:val="0"/>
            <w:vAlign w:val="center"/>
          </w:tcPr>
          <w:p>
            <w:pPr>
              <w:pStyle w:val="35"/>
              <w:spacing w:before="0" w:beforeAutospacing="0" w:after="0" w:afterAutospacing="0" w:line="360" w:lineRule="auto"/>
              <w:jc w:val="both"/>
              <w:rPr>
                <w:rFonts w:ascii="宋体" w:hAnsi="宋体"/>
                <w:b w:val="0"/>
                <w:color w:val="000000"/>
                <w:sz w:val="24"/>
                <w:szCs w:val="24"/>
                <w:u w:val="single"/>
              </w:rPr>
            </w:pPr>
            <w:r>
              <w:rPr>
                <w:rFonts w:ascii="宋体" w:hAnsi="宋体"/>
                <w:b w:val="0"/>
                <w:color w:val="000000"/>
                <w:sz w:val="24"/>
                <w:szCs w:val="24"/>
                <w:u w:val="single"/>
              </w:rPr>
              <w:t>1、</w:t>
            </w:r>
            <w:r>
              <w:rPr>
                <w:rFonts w:hint="eastAsia" w:ascii="宋体" w:hAnsi="宋体"/>
                <w:b w:val="0"/>
                <w:color w:val="000000"/>
                <w:sz w:val="24"/>
                <w:szCs w:val="24"/>
                <w:u w:val="single"/>
              </w:rPr>
              <w:t>根据各项目实际到岗人员数量、岗位及相应中标单价和考核结果，按季度支付，下季度支付上季度服务费</w:t>
            </w:r>
            <w:r>
              <w:rPr>
                <w:rFonts w:ascii="宋体" w:hAnsi="宋体"/>
                <w:b w:val="0"/>
                <w:color w:val="000000"/>
                <w:sz w:val="24"/>
                <w:szCs w:val="24"/>
                <w:u w:val="single"/>
              </w:rPr>
              <w:t>。</w:t>
            </w:r>
          </w:p>
          <w:p>
            <w:pPr>
              <w:pStyle w:val="35"/>
              <w:spacing w:before="0" w:beforeAutospacing="0" w:after="0" w:afterAutospacing="0" w:line="360" w:lineRule="auto"/>
              <w:jc w:val="both"/>
              <w:rPr>
                <w:rFonts w:ascii="宋体" w:hAnsi="宋体"/>
                <w:b w:val="0"/>
                <w:color w:val="000000"/>
                <w:sz w:val="24"/>
                <w:szCs w:val="24"/>
                <w:u w:val="single"/>
              </w:rPr>
            </w:pPr>
            <w:r>
              <w:rPr>
                <w:rFonts w:ascii="宋体" w:hAnsi="宋体"/>
                <w:b w:val="0"/>
                <w:color w:val="000000"/>
                <w:sz w:val="24"/>
                <w:szCs w:val="24"/>
                <w:u w:val="single"/>
              </w:rPr>
              <w:t>2、以每月检查考核结果</w:t>
            </w:r>
            <w:r>
              <w:rPr>
                <w:rFonts w:hint="eastAsia" w:ascii="宋体" w:hAnsi="宋体"/>
                <w:b w:val="0"/>
                <w:color w:val="000000"/>
                <w:sz w:val="24"/>
                <w:szCs w:val="24"/>
                <w:u w:val="single"/>
              </w:rPr>
              <w:t>及人员派遣情况</w:t>
            </w:r>
            <w:r>
              <w:rPr>
                <w:rFonts w:ascii="宋体" w:hAnsi="宋体"/>
                <w:b w:val="0"/>
                <w:color w:val="000000"/>
                <w:sz w:val="24"/>
                <w:szCs w:val="24"/>
                <w:u w:val="single"/>
              </w:rPr>
              <w:t>作为服务费用拨付的依据，在扣除相应费用（如有）</w:t>
            </w:r>
            <w:r>
              <w:rPr>
                <w:rFonts w:hint="eastAsia" w:ascii="宋体" w:hAnsi="宋体"/>
                <w:b w:val="0"/>
                <w:color w:val="000000"/>
                <w:sz w:val="24"/>
                <w:szCs w:val="24"/>
                <w:u w:val="single"/>
              </w:rPr>
              <w:t>按季</w:t>
            </w:r>
            <w:r>
              <w:rPr>
                <w:rFonts w:ascii="宋体" w:hAnsi="宋体"/>
                <w:b w:val="0"/>
                <w:color w:val="000000"/>
                <w:sz w:val="24"/>
                <w:szCs w:val="24"/>
                <w:u w:val="single"/>
              </w:rPr>
              <w:t>支付。</w:t>
            </w:r>
          </w:p>
          <w:p>
            <w:pPr>
              <w:pStyle w:val="35"/>
              <w:spacing w:before="0" w:beforeAutospacing="0" w:after="0" w:afterAutospacing="0" w:line="360" w:lineRule="auto"/>
              <w:jc w:val="both"/>
              <w:rPr>
                <w:rFonts w:ascii="宋体" w:hAnsi="宋体"/>
                <w:b w:val="0"/>
                <w:color w:val="000000"/>
                <w:sz w:val="24"/>
                <w:szCs w:val="24"/>
                <w:u w:val="single"/>
              </w:rPr>
            </w:pPr>
            <w:r>
              <w:rPr>
                <w:rFonts w:ascii="宋体" w:hAnsi="宋体"/>
                <w:b w:val="0"/>
                <w:color w:val="000000"/>
                <w:sz w:val="24"/>
                <w:szCs w:val="24"/>
                <w:u w:val="single"/>
              </w:rPr>
              <w:t>3、中标</w:t>
            </w:r>
            <w:r>
              <w:rPr>
                <w:rFonts w:hint="eastAsia" w:ascii="宋体" w:hAnsi="宋体"/>
                <w:b w:val="0"/>
                <w:color w:val="000000"/>
                <w:sz w:val="24"/>
                <w:szCs w:val="24"/>
                <w:u w:val="single"/>
              </w:rPr>
              <w:t>人</w:t>
            </w:r>
            <w:r>
              <w:rPr>
                <w:rFonts w:ascii="宋体" w:hAnsi="宋体"/>
                <w:b w:val="0"/>
                <w:color w:val="000000"/>
                <w:sz w:val="24"/>
                <w:szCs w:val="24"/>
                <w:u w:val="single"/>
              </w:rPr>
              <w:t>需开具增值税专用发票。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32"/>
              <w:pBdr>
                <w:bottom w:val="none" w:color="auto" w:sz="0" w:space="0"/>
              </w:pBdr>
              <w:tabs>
                <w:tab w:val="clear" w:pos="4153"/>
                <w:tab w:val="clear" w:pos="8306"/>
              </w:tabs>
              <w:adjustRightInd/>
              <w:spacing w:line="360" w:lineRule="auto"/>
              <w:textAlignment w:val="auto"/>
              <w:rPr>
                <w:rFonts w:ascii="宋体" w:hAnsi="宋体"/>
                <w:bCs/>
                <w:kern w:val="2"/>
                <w:szCs w:val="24"/>
              </w:rPr>
            </w:pPr>
            <w:r>
              <w:rPr>
                <w:rFonts w:hint="eastAsia" w:ascii="宋体" w:hAnsi="宋体"/>
                <w:bCs/>
                <w:kern w:val="2"/>
                <w:szCs w:val="24"/>
              </w:rPr>
              <w:t>2</w:t>
            </w:r>
          </w:p>
        </w:tc>
        <w:tc>
          <w:tcPr>
            <w:tcW w:w="1192" w:type="pct"/>
            <w:noWrap w:val="0"/>
            <w:vAlign w:val="center"/>
          </w:tcPr>
          <w:p>
            <w:pPr>
              <w:pStyle w:val="35"/>
              <w:widowControl w:val="0"/>
              <w:spacing w:before="0" w:beforeAutospacing="0" w:after="0" w:afterAutospacing="0" w:line="360" w:lineRule="auto"/>
              <w:rPr>
                <w:rFonts w:ascii="宋体" w:hAnsi="宋体"/>
                <w:b w:val="0"/>
                <w:sz w:val="24"/>
                <w:szCs w:val="24"/>
              </w:rPr>
            </w:pPr>
            <w:r>
              <w:rPr>
                <w:rFonts w:hint="eastAsia" w:ascii="宋体" w:hAnsi="宋体"/>
                <w:b w:val="0"/>
                <w:sz w:val="24"/>
                <w:szCs w:val="24"/>
              </w:rPr>
              <w:t>服务地点</w:t>
            </w:r>
          </w:p>
        </w:tc>
        <w:tc>
          <w:tcPr>
            <w:tcW w:w="3216" w:type="pct"/>
            <w:noWrap w:val="0"/>
            <w:vAlign w:val="center"/>
          </w:tcPr>
          <w:p>
            <w:pPr>
              <w:pStyle w:val="35"/>
              <w:widowControl w:val="0"/>
              <w:spacing w:before="0" w:beforeAutospacing="0" w:after="0" w:afterAutospacing="0" w:line="360" w:lineRule="auto"/>
              <w:jc w:val="both"/>
              <w:rPr>
                <w:rFonts w:ascii="宋体" w:hAnsi="宋体"/>
                <w:b w:val="0"/>
                <w:color w:val="000000"/>
                <w:sz w:val="24"/>
                <w:szCs w:val="24"/>
                <w:u w:val="single"/>
              </w:rPr>
            </w:pPr>
            <w:r>
              <w:rPr>
                <w:rFonts w:ascii="宋体" w:hAnsi="宋体"/>
                <w:b w:val="0"/>
                <w:color w:val="000000"/>
                <w:sz w:val="24"/>
                <w:szCs w:val="24"/>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32"/>
              <w:pBdr>
                <w:bottom w:val="none" w:color="auto" w:sz="0" w:space="0"/>
              </w:pBdr>
              <w:tabs>
                <w:tab w:val="clear" w:pos="4153"/>
                <w:tab w:val="clear" w:pos="8306"/>
              </w:tabs>
              <w:adjustRightInd/>
              <w:spacing w:line="360" w:lineRule="auto"/>
              <w:textAlignment w:val="auto"/>
              <w:rPr>
                <w:rFonts w:ascii="宋体" w:hAnsi="宋体"/>
                <w:bCs/>
                <w:kern w:val="2"/>
                <w:szCs w:val="24"/>
              </w:rPr>
            </w:pPr>
            <w:r>
              <w:rPr>
                <w:rFonts w:hint="eastAsia" w:ascii="宋体" w:hAnsi="宋体"/>
                <w:bCs/>
                <w:kern w:val="2"/>
                <w:szCs w:val="24"/>
              </w:rPr>
              <w:t>3</w:t>
            </w:r>
          </w:p>
        </w:tc>
        <w:tc>
          <w:tcPr>
            <w:tcW w:w="1192" w:type="pct"/>
            <w:noWrap w:val="0"/>
            <w:vAlign w:val="center"/>
          </w:tcPr>
          <w:p>
            <w:pPr>
              <w:pStyle w:val="35"/>
              <w:widowControl w:val="0"/>
              <w:spacing w:before="0" w:beforeAutospacing="0" w:after="0" w:afterAutospacing="0" w:line="360" w:lineRule="auto"/>
              <w:rPr>
                <w:rFonts w:ascii="宋体" w:hAnsi="宋体"/>
                <w:b w:val="0"/>
                <w:sz w:val="24"/>
                <w:szCs w:val="24"/>
              </w:rPr>
            </w:pPr>
            <w:r>
              <w:rPr>
                <w:rFonts w:hint="eastAsia" w:ascii="宋体" w:hAnsi="宋体"/>
                <w:b w:val="0"/>
                <w:sz w:val="24"/>
                <w:szCs w:val="24"/>
              </w:rPr>
              <w:t>服务期限</w:t>
            </w:r>
          </w:p>
        </w:tc>
        <w:tc>
          <w:tcPr>
            <w:tcW w:w="3216" w:type="pct"/>
            <w:noWrap w:val="0"/>
            <w:vAlign w:val="center"/>
          </w:tcPr>
          <w:p>
            <w:pPr>
              <w:pStyle w:val="35"/>
              <w:widowControl w:val="0"/>
              <w:spacing w:before="0" w:beforeAutospacing="0" w:after="0" w:afterAutospacing="0" w:line="360" w:lineRule="auto"/>
              <w:jc w:val="both"/>
              <w:rPr>
                <w:rFonts w:ascii="宋体" w:hAnsi="宋体"/>
                <w:b w:val="0"/>
                <w:color w:val="000000"/>
                <w:sz w:val="24"/>
                <w:szCs w:val="24"/>
              </w:rPr>
            </w:pPr>
            <w:r>
              <w:rPr>
                <w:rFonts w:hint="eastAsia" w:ascii="宋体" w:hAnsi="宋体"/>
                <w:b w:val="0"/>
                <w:color w:val="000000"/>
                <w:sz w:val="24"/>
                <w:szCs w:val="24"/>
              </w:rPr>
              <w:t>合同签订后一年。合同到期前，经双方协商无异议，招标人履行相关程序后，可续签下一年度合同，且续签合同中标价格不变，最多续签2次，合同一年一签。</w:t>
            </w:r>
          </w:p>
        </w:tc>
      </w:tr>
    </w:tbl>
    <w:p>
      <w:pPr>
        <w:spacing w:line="360" w:lineRule="auto"/>
        <w:ind w:firstLine="482" w:firstLineChars="200"/>
        <w:rPr>
          <w:rFonts w:ascii="宋体" w:hAnsi="宋体"/>
          <w:b/>
          <w:sz w:val="24"/>
          <w:szCs w:val="24"/>
        </w:rPr>
      </w:pPr>
      <w:r>
        <w:rPr>
          <w:rFonts w:hint="eastAsia" w:ascii="宋体" w:hAnsi="宋体"/>
          <w:b/>
          <w:sz w:val="24"/>
          <w:szCs w:val="24"/>
        </w:rPr>
        <w:t>二、项目概况</w:t>
      </w:r>
    </w:p>
    <w:p>
      <w:pPr>
        <w:spacing w:line="360" w:lineRule="auto"/>
        <w:ind w:firstLine="480" w:firstLineChars="200"/>
        <w:rPr>
          <w:rFonts w:ascii="宋体" w:hAnsi="宋体"/>
          <w:sz w:val="24"/>
        </w:rPr>
      </w:pPr>
      <w:r>
        <w:rPr>
          <w:rFonts w:hint="eastAsia" w:ascii="宋体" w:hAnsi="宋体"/>
          <w:sz w:val="24"/>
        </w:rPr>
        <w:t>本项目拟通过公开招标方式确定一家中标人为招标人所运营的项目提供售票员、现场管理人员外包服务（含人员服装费，工作工具采购及耗材费等费用）</w:t>
      </w:r>
      <w:r>
        <w:rPr>
          <w:rFonts w:ascii="宋体" w:hAnsi="宋体"/>
          <w:sz w:val="24"/>
        </w:rPr>
        <w:t>。</w:t>
      </w:r>
    </w:p>
    <w:p>
      <w:pPr>
        <w:spacing w:line="360" w:lineRule="auto"/>
        <w:ind w:firstLine="482" w:firstLineChars="200"/>
        <w:rPr>
          <w:rFonts w:ascii="宋体" w:hAnsi="宋体"/>
          <w:b/>
          <w:sz w:val="24"/>
          <w:szCs w:val="24"/>
        </w:rPr>
      </w:pPr>
      <w:r>
        <w:rPr>
          <w:rFonts w:hint="eastAsia" w:ascii="宋体" w:hAnsi="宋体"/>
          <w:b/>
          <w:sz w:val="24"/>
          <w:szCs w:val="24"/>
        </w:rPr>
        <w:t>三、服务需求</w:t>
      </w:r>
    </w:p>
    <w:p>
      <w:pPr>
        <w:spacing w:line="360" w:lineRule="auto"/>
        <w:ind w:firstLine="480" w:firstLineChars="200"/>
        <w:rPr>
          <w:rFonts w:ascii="宋体" w:hAnsi="宋体"/>
          <w:sz w:val="24"/>
          <w:szCs w:val="24"/>
        </w:rPr>
      </w:pPr>
      <w:r>
        <w:rPr>
          <w:rFonts w:hint="eastAsia" w:ascii="宋体" w:hAnsi="宋体" w:cs="宋体"/>
          <w:sz w:val="24"/>
          <w:szCs w:val="24"/>
        </w:rPr>
        <w:t>1.中标人与外包人员签订劳动合同；负责为新签、转签以及员工增减替换提供劳动合同签订、设立服务联系卡、工资卡办理、按月发放工资、</w:t>
      </w:r>
      <w:r>
        <w:rPr>
          <w:rFonts w:hint="eastAsia" w:ascii="宋体" w:hAnsi="宋体" w:cs="Arial"/>
          <w:kern w:val="0"/>
          <w:sz w:val="24"/>
          <w:szCs w:val="24"/>
        </w:rPr>
        <w:t>体检、交纳</w:t>
      </w:r>
      <w:r>
        <w:rPr>
          <w:rFonts w:hint="eastAsia" w:ascii="宋体" w:hAnsi="宋体" w:cs="宋体"/>
          <w:sz w:val="24"/>
          <w:szCs w:val="24"/>
        </w:rPr>
        <w:t>保险、人员入离职手续、个税申报等相关工作；</w:t>
      </w:r>
    </w:p>
    <w:p>
      <w:pPr>
        <w:spacing w:line="360" w:lineRule="auto"/>
        <w:ind w:firstLine="480" w:firstLineChars="200"/>
        <w:rPr>
          <w:rFonts w:ascii="宋体" w:hAnsi="宋体"/>
          <w:sz w:val="24"/>
          <w:szCs w:val="24"/>
        </w:rPr>
      </w:pPr>
      <w:r>
        <w:rPr>
          <w:rFonts w:hint="eastAsia" w:ascii="宋体" w:hAnsi="宋体" w:cs="宋体"/>
          <w:sz w:val="24"/>
          <w:szCs w:val="24"/>
        </w:rPr>
        <w:t>2.建立并管理外包人员的合同以及档案等人事材料；</w:t>
      </w:r>
      <w:r>
        <w:rPr>
          <w:rFonts w:hint="eastAsia" w:ascii="宋体" w:hAnsi="宋体" w:cs="Arial"/>
          <w:kern w:val="0"/>
          <w:sz w:val="24"/>
          <w:szCs w:val="24"/>
        </w:rPr>
        <w:t>对</w:t>
      </w:r>
      <w:r>
        <w:rPr>
          <w:rFonts w:hint="eastAsia" w:ascii="宋体" w:hAnsi="宋体" w:cs="宋体"/>
          <w:sz w:val="24"/>
          <w:szCs w:val="24"/>
        </w:rPr>
        <w:t>外包人员</w:t>
      </w:r>
      <w:r>
        <w:rPr>
          <w:rFonts w:hint="eastAsia" w:ascii="宋体" w:hAnsi="宋体" w:cs="Arial"/>
          <w:kern w:val="0"/>
          <w:sz w:val="24"/>
          <w:szCs w:val="24"/>
        </w:rPr>
        <w:t>进行思想教育和专业培训，做到遵纪守法，按相关法律法规配证上岗，未按照要求持证导致的相关责任的由中标人自行承担。</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3.负责承担并处理外包人员</w:t>
      </w:r>
      <w:r>
        <w:rPr>
          <w:rFonts w:ascii="宋体" w:hAnsi="宋体" w:cs="宋体"/>
          <w:sz w:val="24"/>
          <w:szCs w:val="24"/>
        </w:rPr>
        <w:t>的劳动争议、</w:t>
      </w:r>
      <w:r>
        <w:rPr>
          <w:rFonts w:hint="eastAsia" w:ascii="宋体" w:hAnsi="宋体" w:cs="宋体"/>
          <w:sz w:val="24"/>
          <w:szCs w:val="24"/>
        </w:rPr>
        <w:t>劳务</w:t>
      </w:r>
      <w:r>
        <w:rPr>
          <w:rFonts w:ascii="宋体" w:hAnsi="宋体" w:cs="宋体"/>
          <w:sz w:val="24"/>
          <w:szCs w:val="24"/>
        </w:rPr>
        <w:t>纠纷</w:t>
      </w:r>
      <w:r>
        <w:rPr>
          <w:rFonts w:hint="eastAsia" w:ascii="宋体" w:hAnsi="宋体" w:cs="宋体"/>
          <w:sz w:val="24"/>
          <w:szCs w:val="24"/>
        </w:rPr>
        <w:t>妥善解决、</w:t>
      </w:r>
      <w:r>
        <w:rPr>
          <w:rFonts w:ascii="宋体" w:hAnsi="宋体" w:cs="宋体"/>
          <w:sz w:val="24"/>
          <w:szCs w:val="24"/>
        </w:rPr>
        <w:t>员工违纪辞退</w:t>
      </w:r>
      <w:r>
        <w:rPr>
          <w:rFonts w:hint="eastAsia" w:ascii="宋体" w:hAnsi="宋体" w:cs="宋体"/>
          <w:sz w:val="24"/>
          <w:szCs w:val="24"/>
        </w:rPr>
        <w:t>、</w:t>
      </w:r>
      <w:r>
        <w:rPr>
          <w:rFonts w:ascii="宋体" w:hAnsi="宋体" w:cs="宋体"/>
          <w:sz w:val="24"/>
          <w:szCs w:val="24"/>
        </w:rPr>
        <w:t>退工风险</w:t>
      </w:r>
      <w:r>
        <w:rPr>
          <w:rFonts w:hint="eastAsia" w:ascii="宋体" w:hAnsi="宋体" w:cs="宋体"/>
          <w:sz w:val="24"/>
          <w:szCs w:val="24"/>
        </w:rPr>
        <w:t>、</w:t>
      </w:r>
      <w:r>
        <w:rPr>
          <w:rFonts w:ascii="宋体" w:hAnsi="宋体" w:cs="宋体"/>
          <w:sz w:val="24"/>
          <w:szCs w:val="24"/>
        </w:rPr>
        <w:t>工伤风险</w:t>
      </w:r>
      <w:r>
        <w:rPr>
          <w:rFonts w:hint="eastAsia" w:ascii="宋体" w:hAnsi="宋体" w:cs="宋体"/>
          <w:sz w:val="24"/>
          <w:szCs w:val="24"/>
        </w:rPr>
        <w:t>、</w:t>
      </w:r>
      <w:r>
        <w:rPr>
          <w:rFonts w:ascii="宋体" w:hAnsi="宋体" w:cs="宋体"/>
          <w:sz w:val="24"/>
          <w:szCs w:val="24"/>
        </w:rPr>
        <w:t>工亡风险</w:t>
      </w:r>
      <w:r>
        <w:rPr>
          <w:rFonts w:hint="eastAsia" w:ascii="宋体" w:hAnsi="宋体" w:cs="宋体"/>
          <w:sz w:val="24"/>
          <w:szCs w:val="24"/>
        </w:rPr>
        <w:t>、</w:t>
      </w:r>
      <w:r>
        <w:rPr>
          <w:rFonts w:ascii="宋体" w:hAnsi="宋体" w:cs="宋体"/>
          <w:sz w:val="24"/>
          <w:szCs w:val="24"/>
        </w:rPr>
        <w:t>非因工医疗期满退回风险</w:t>
      </w:r>
      <w:r>
        <w:rPr>
          <w:rFonts w:hint="eastAsia" w:ascii="宋体" w:hAnsi="宋体" w:cs="宋体"/>
          <w:sz w:val="24"/>
          <w:szCs w:val="24"/>
        </w:rPr>
        <w:t>和员工工伤责任等全部用工风险和责任。</w:t>
      </w:r>
    </w:p>
    <w:p>
      <w:pPr>
        <w:spacing w:line="360" w:lineRule="auto"/>
        <w:ind w:firstLine="480" w:firstLineChars="200"/>
        <w:rPr>
          <w:rFonts w:ascii="宋体" w:hAnsi="宋体" w:cs="宋体"/>
          <w:sz w:val="24"/>
          <w:szCs w:val="24"/>
        </w:rPr>
      </w:pPr>
      <w:r>
        <w:rPr>
          <w:rFonts w:hint="eastAsia" w:ascii="宋体" w:hAnsi="宋体" w:cs="宋体"/>
          <w:sz w:val="24"/>
          <w:szCs w:val="24"/>
        </w:rPr>
        <w:t>4.负责外包人员的各类人事劳动保障风险管控及重大或群体性事件处理等工作。不得无故拒绝购买保险、工资代发延迟，否则招标人有权单方终止合同，并报监管部门处理。</w:t>
      </w:r>
    </w:p>
    <w:p>
      <w:pPr>
        <w:pStyle w:val="1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为本项目建立专业团队，派专人进行服务对接，及时完成现场人员到位工作，合同期内，招标人提出人员增减需求或者因突发、应急和上级主管部门任务下达等工作，需要增加或减少人员的，中标人须予以配合，增加或减少人员须按招标人需求落实到位，增加人员的费用标准参照合同约定标准执行，本项目最终结算总金额不超过项目概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6.社会保险最新政策解析、享受医疗、生育、退休待遇的解答与办理等。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提前储备同岗位员工，及时解决空缺岗位的需求；教育、督促外包人员在为招标人提供服务期间按招标人的有关规章制度和作息时间完成相应服务，服从招标人的人员与服务相关的管理和安排，接受招标人指定人员的监督和检查，以保障招标人业务的正常进行。</w:t>
      </w:r>
    </w:p>
    <w:p>
      <w:pPr>
        <w:spacing w:line="360" w:lineRule="auto"/>
        <w:ind w:firstLine="480" w:firstLineChars="200"/>
        <w:rPr>
          <w:rFonts w:ascii="宋体" w:hAnsi="宋体"/>
          <w:sz w:val="24"/>
          <w:szCs w:val="24"/>
        </w:rPr>
      </w:pPr>
      <w:r>
        <w:rPr>
          <w:rFonts w:hint="eastAsia" w:ascii="宋体" w:hAnsi="宋体" w:cs="宋体"/>
          <w:sz w:val="24"/>
          <w:szCs w:val="24"/>
        </w:rPr>
        <w:t>8.因中标人原因造成重大安全责任事故或形成恶劣社会影响，招标人</w:t>
      </w:r>
      <w:r>
        <w:rPr>
          <w:rFonts w:hint="eastAsia" w:ascii="宋体" w:hAnsi="宋体" w:cs="Arial"/>
          <w:kern w:val="0"/>
          <w:sz w:val="24"/>
          <w:szCs w:val="24"/>
        </w:rPr>
        <w:t>有权终止合同，因此给招标人造成的损失从当季服务费中扣除。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w:t>
      </w:r>
      <w:r>
        <w:rPr>
          <w:rFonts w:ascii="宋体" w:hAnsi="宋体" w:cs="宋体"/>
          <w:sz w:val="24"/>
          <w:szCs w:val="24"/>
        </w:rPr>
        <w:t>保证所提供的</w:t>
      </w:r>
      <w:r>
        <w:rPr>
          <w:rFonts w:hint="eastAsia" w:ascii="宋体" w:hAnsi="宋体" w:cs="宋体"/>
          <w:sz w:val="24"/>
          <w:szCs w:val="24"/>
        </w:rPr>
        <w:t>外包人员</w:t>
      </w:r>
      <w:r>
        <w:rPr>
          <w:rFonts w:ascii="宋体" w:hAnsi="宋体" w:cs="宋体"/>
          <w:sz w:val="24"/>
          <w:szCs w:val="24"/>
        </w:rPr>
        <w:t>应具有良好的职业道德、职业技能资质、敬业精神，遵纪守法</w:t>
      </w:r>
      <w:r>
        <w:rPr>
          <w:rFonts w:hint="eastAsia" w:ascii="宋体" w:hAnsi="宋体" w:cs="宋体"/>
          <w:sz w:val="24"/>
          <w:szCs w:val="24"/>
        </w:rPr>
        <w:t>；中标人负责</w:t>
      </w:r>
      <w:r>
        <w:rPr>
          <w:rFonts w:ascii="宋体" w:hAnsi="宋体" w:cs="宋体"/>
          <w:sz w:val="24"/>
          <w:szCs w:val="24"/>
        </w:rPr>
        <w:t>对外包服务人员进行相关专业技能、安全教育培训以及服务资格考核，</w:t>
      </w:r>
      <w:r>
        <w:rPr>
          <w:rFonts w:hint="eastAsia" w:ascii="宋体" w:hAnsi="宋体" w:cs="宋体"/>
          <w:sz w:val="24"/>
          <w:szCs w:val="24"/>
        </w:rPr>
        <w:t>外包人员应遵守招标人的劳动纪律和单位规章制度，认真履行招标人制订的岗位职责、服务流程和服务规范，牢固树立安全生产意识，强化安全生产责任。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10.外包人员在服务期间，不得发生影响招标人形象的行为。在履约过程中，如中标人的员工严重违规、不合格、给招标人造成损失的，招标人有权要求中标人调整、退回该人员，相应损失由中标人负责赔偿。</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11.招标人对中标人管理进行考核，中标人需对外包人员进行考核，对不符合标准的服务人员进行适当岗位调整或调离项目。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w:t>
      </w:r>
      <w:r>
        <w:rPr>
          <w:rFonts w:ascii="宋体" w:hAnsi="宋体" w:cs="宋体"/>
          <w:sz w:val="24"/>
          <w:szCs w:val="24"/>
        </w:rPr>
        <w:t>在</w:t>
      </w:r>
      <w:r>
        <w:rPr>
          <w:rFonts w:hint="eastAsia" w:ascii="宋体" w:hAnsi="宋体" w:cs="宋体"/>
          <w:sz w:val="24"/>
          <w:szCs w:val="24"/>
        </w:rPr>
        <w:t>服务</w:t>
      </w:r>
      <w:r>
        <w:rPr>
          <w:rFonts w:ascii="宋体" w:hAnsi="宋体" w:cs="宋体"/>
          <w:sz w:val="24"/>
          <w:szCs w:val="24"/>
        </w:rPr>
        <w:t>有效期内维持其与外包服务人员合法的劳动合同关系。如</w:t>
      </w:r>
      <w:r>
        <w:rPr>
          <w:rFonts w:hint="eastAsia" w:ascii="宋体" w:hAnsi="宋体" w:cs="宋体"/>
          <w:sz w:val="24"/>
          <w:szCs w:val="24"/>
        </w:rPr>
        <w:t>中标人</w:t>
      </w:r>
      <w:r>
        <w:rPr>
          <w:rFonts w:ascii="宋体" w:hAnsi="宋体" w:cs="宋体"/>
          <w:sz w:val="24"/>
          <w:szCs w:val="24"/>
        </w:rPr>
        <w:t>与外包服务人员劳动关系发生变化，</w:t>
      </w:r>
      <w:r>
        <w:rPr>
          <w:rFonts w:hint="eastAsia" w:ascii="宋体" w:hAnsi="宋体" w:cs="宋体"/>
          <w:sz w:val="24"/>
          <w:szCs w:val="24"/>
        </w:rPr>
        <w:t>中标人</w:t>
      </w:r>
      <w:r>
        <w:rPr>
          <w:rFonts w:ascii="宋体" w:hAnsi="宋体" w:cs="宋体"/>
          <w:sz w:val="24"/>
          <w:szCs w:val="24"/>
        </w:rPr>
        <w:t>及时调整或补充外包服务人员。</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13.中标人</w:t>
      </w:r>
      <w:r>
        <w:rPr>
          <w:rFonts w:ascii="宋体" w:hAnsi="宋体" w:cs="宋体"/>
          <w:sz w:val="24"/>
          <w:szCs w:val="24"/>
        </w:rPr>
        <w:t>应教育、督促</w:t>
      </w:r>
      <w:r>
        <w:rPr>
          <w:rFonts w:hint="eastAsia" w:ascii="宋体" w:hAnsi="宋体" w:cs="宋体"/>
          <w:sz w:val="24"/>
          <w:szCs w:val="24"/>
        </w:rPr>
        <w:t>外包人员</w:t>
      </w:r>
      <w:r>
        <w:rPr>
          <w:rFonts w:ascii="宋体" w:hAnsi="宋体" w:cs="宋体"/>
          <w:sz w:val="24"/>
          <w:szCs w:val="24"/>
        </w:rPr>
        <w:t>不得以任何形式向他人提供或泄露</w:t>
      </w:r>
      <w:r>
        <w:rPr>
          <w:rFonts w:hint="eastAsia" w:ascii="宋体" w:hAnsi="宋体" w:cs="宋体"/>
          <w:sz w:val="24"/>
          <w:szCs w:val="24"/>
        </w:rPr>
        <w:t>招标人</w:t>
      </w:r>
      <w:r>
        <w:rPr>
          <w:rFonts w:ascii="宋体" w:hAnsi="宋体" w:cs="宋体"/>
          <w:sz w:val="24"/>
          <w:szCs w:val="24"/>
        </w:rPr>
        <w:t>的商业秘密，保证</w:t>
      </w:r>
      <w:r>
        <w:rPr>
          <w:rFonts w:hint="eastAsia" w:ascii="宋体" w:hAnsi="宋体" w:cs="宋体"/>
          <w:sz w:val="24"/>
          <w:szCs w:val="24"/>
        </w:rPr>
        <w:t>招标人</w:t>
      </w:r>
      <w:r>
        <w:rPr>
          <w:rFonts w:ascii="宋体" w:hAnsi="宋体" w:cs="宋体"/>
          <w:sz w:val="24"/>
          <w:szCs w:val="24"/>
        </w:rPr>
        <w:t>利益不受损失，对</w:t>
      </w:r>
      <w:r>
        <w:rPr>
          <w:rFonts w:hint="eastAsia" w:ascii="宋体" w:hAnsi="宋体" w:cs="宋体"/>
          <w:sz w:val="24"/>
          <w:szCs w:val="24"/>
        </w:rPr>
        <w:t>招标人</w:t>
      </w:r>
      <w:r>
        <w:rPr>
          <w:rFonts w:ascii="宋体" w:hAnsi="宋体" w:cs="宋体"/>
          <w:sz w:val="24"/>
          <w:szCs w:val="24"/>
        </w:rPr>
        <w:t>各类客户的资料、业务数据等应按照</w:t>
      </w:r>
      <w:r>
        <w:rPr>
          <w:rFonts w:hint="eastAsia" w:ascii="宋体" w:hAnsi="宋体" w:cs="宋体"/>
          <w:sz w:val="24"/>
          <w:szCs w:val="24"/>
        </w:rPr>
        <w:t>招标人</w:t>
      </w:r>
      <w:r>
        <w:rPr>
          <w:rFonts w:ascii="宋体" w:hAnsi="宋体" w:cs="宋体"/>
          <w:sz w:val="24"/>
          <w:szCs w:val="24"/>
        </w:rPr>
        <w:t>相关文件及服务要求执行保密义务。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14.中标人外包人员</w:t>
      </w:r>
      <w:r>
        <w:rPr>
          <w:rFonts w:ascii="宋体" w:hAnsi="宋体" w:cs="宋体"/>
          <w:sz w:val="24"/>
          <w:szCs w:val="24"/>
        </w:rPr>
        <w:t>应当妥善保管、精心维护、正确使用</w:t>
      </w:r>
      <w:r>
        <w:rPr>
          <w:rFonts w:hint="eastAsia" w:ascii="宋体" w:hAnsi="宋体" w:cs="宋体"/>
          <w:sz w:val="24"/>
          <w:szCs w:val="24"/>
        </w:rPr>
        <w:t>招标人</w:t>
      </w:r>
      <w:r>
        <w:rPr>
          <w:rFonts w:ascii="宋体" w:hAnsi="宋体" w:cs="宋体"/>
          <w:sz w:val="24"/>
          <w:szCs w:val="24"/>
        </w:rPr>
        <w:t>提供的所有资源，双方按期核对和检查，确保资源安全和完整性，如有损毁或遗失，由</w:t>
      </w:r>
      <w:r>
        <w:rPr>
          <w:rFonts w:hint="eastAsia" w:ascii="宋体" w:hAnsi="宋体" w:cs="宋体"/>
          <w:sz w:val="24"/>
          <w:szCs w:val="24"/>
        </w:rPr>
        <w:t>中标人</w:t>
      </w:r>
      <w:r>
        <w:rPr>
          <w:rFonts w:ascii="宋体" w:hAnsi="宋体" w:cs="宋体"/>
          <w:sz w:val="24"/>
          <w:szCs w:val="24"/>
        </w:rPr>
        <w:t>负责处理赔偿事宜。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15.招标人和中标人</w:t>
      </w:r>
      <w:r>
        <w:rPr>
          <w:rFonts w:ascii="宋体" w:hAnsi="宋体" w:cs="宋体"/>
          <w:sz w:val="24"/>
          <w:szCs w:val="24"/>
        </w:rPr>
        <w:t>双方</w:t>
      </w:r>
      <w:r>
        <w:rPr>
          <w:rFonts w:hint="eastAsia" w:ascii="宋体" w:hAnsi="宋体" w:cs="宋体"/>
          <w:sz w:val="24"/>
          <w:szCs w:val="24"/>
        </w:rPr>
        <w:t>应</w:t>
      </w:r>
      <w:r>
        <w:rPr>
          <w:rFonts w:ascii="宋体" w:hAnsi="宋体" w:cs="宋体"/>
          <w:sz w:val="24"/>
          <w:szCs w:val="24"/>
        </w:rPr>
        <w:t>共同遵守国家有关法律法规，切实维护政府和群众的利益，坚决杜绝</w:t>
      </w:r>
      <w:r>
        <w:rPr>
          <w:rFonts w:hint="eastAsia" w:ascii="宋体" w:hAnsi="宋体" w:cs="宋体"/>
          <w:sz w:val="24"/>
          <w:szCs w:val="24"/>
        </w:rPr>
        <w:t>由中标人及其相关</w:t>
      </w:r>
      <w:r>
        <w:rPr>
          <w:rFonts w:ascii="宋体" w:hAnsi="宋体" w:cs="宋体"/>
          <w:sz w:val="24"/>
          <w:szCs w:val="24"/>
        </w:rPr>
        <w:t>人员</w:t>
      </w:r>
      <w:r>
        <w:rPr>
          <w:rFonts w:hint="eastAsia" w:ascii="宋体" w:hAnsi="宋体" w:cs="宋体"/>
          <w:sz w:val="24"/>
          <w:szCs w:val="24"/>
        </w:rPr>
        <w:t>引起的</w:t>
      </w:r>
      <w:r>
        <w:rPr>
          <w:rFonts w:ascii="宋体" w:hAnsi="宋体" w:cs="宋体"/>
          <w:sz w:val="24"/>
          <w:szCs w:val="24"/>
        </w:rPr>
        <w:t>投诉、媒体曝光、监察和效能</w:t>
      </w:r>
      <w:r>
        <w:rPr>
          <w:rFonts w:hint="eastAsia" w:ascii="宋体" w:hAnsi="宋体" w:cs="宋体"/>
          <w:sz w:val="24"/>
          <w:szCs w:val="24"/>
        </w:rPr>
        <w:t>建设</w:t>
      </w:r>
      <w:r>
        <w:rPr>
          <w:rFonts w:ascii="宋体" w:hAnsi="宋体" w:cs="宋体"/>
          <w:sz w:val="24"/>
          <w:szCs w:val="24"/>
        </w:rPr>
        <w:t>明察暗访通报等事件</w:t>
      </w:r>
      <w:r>
        <w:rPr>
          <w:rFonts w:hint="eastAsia" w:ascii="宋体" w:hAnsi="宋体" w:cs="宋体"/>
          <w:sz w:val="24"/>
          <w:szCs w:val="24"/>
        </w:rPr>
        <w:t>的</w:t>
      </w:r>
      <w:r>
        <w:rPr>
          <w:rFonts w:ascii="宋体" w:hAnsi="宋体" w:cs="宋体"/>
          <w:sz w:val="24"/>
          <w:szCs w:val="24"/>
        </w:rPr>
        <w:t>发生。</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16.合同签订后提供服务前，招标人有权要求中标人提供外包服务人员的有关资料，包括身份证、健康证、学历证书等进行查证。</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四、人员配备</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为保障人力资源服务外包质量，中标人需配备符合劳动法和相关岗位资质要求的项目服务人员，包括但不限于以下人员：</w:t>
      </w:r>
    </w:p>
    <w:p>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（一）</w:t>
      </w:r>
      <w:r>
        <w:rPr>
          <w:rFonts w:hint="eastAsia" w:ascii="宋体" w:hAnsi="宋体" w:cs="宋体"/>
          <w:sz w:val="24"/>
          <w:szCs w:val="24"/>
        </w:rPr>
        <w:t>人力资源服务外包项目负责人（可非专职为本项目提供服务，相关费用包含在其他人人员综合报价中，不另行支付），具体职责如下：</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1.全面主持招标人各项人力资源服务外包工作，保证人力资源外包服务质量。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2.对接招标人相关人员，及时满足招标人相关需求。</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3.依据招标人需要，及时完成招标人项目人员增减更换等工作，对于薪酬结构和培训方案等工作相关事宜及时提出合理建议。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4.其他需要配合的相关事宜。</w:t>
      </w:r>
    </w:p>
    <w:p>
      <w:pPr>
        <w:spacing w:line="360" w:lineRule="auto"/>
        <w:ind w:firstLine="480" w:firstLineChars="200"/>
        <w:rPr>
          <w:rFonts w:ascii="宋体" w:hAnsi="宋体" w:cs="宋体"/>
          <w:kern w:val="0"/>
          <w:sz w:val="24"/>
          <w:szCs w:val="24"/>
        </w:rPr>
      </w:pPr>
      <w:r>
        <w:rPr>
          <w:rFonts w:hint="eastAsia" w:ascii="宋体" w:hAnsi="宋体" w:cs="宋体"/>
          <w:bCs/>
          <w:kern w:val="0"/>
          <w:sz w:val="24"/>
          <w:szCs w:val="24"/>
        </w:rPr>
        <w:t>（二）</w:t>
      </w:r>
      <w:r>
        <w:rPr>
          <w:rFonts w:hint="eastAsia" w:ascii="宋体" w:hAnsi="宋体" w:cs="宋体"/>
          <w:kern w:val="0"/>
          <w:sz w:val="24"/>
          <w:szCs w:val="24"/>
        </w:rPr>
        <w:t>外包人员，负责按时按量按质完成招标人安排的各项工作，具体工作内容如下：</w:t>
      </w:r>
    </w:p>
    <w:p>
      <w:pPr>
        <w:spacing w:line="360" w:lineRule="auto"/>
        <w:ind w:firstLine="482" w:firstLineChars="200"/>
        <w:rPr>
          <w:rFonts w:hint="eastAsia" w:ascii="宋体" w:hAnsi="宋体"/>
          <w:b/>
          <w:bCs/>
          <w:sz w:val="24"/>
          <w:szCs w:val="24"/>
        </w:rPr>
      </w:pPr>
      <w:r>
        <w:rPr>
          <w:rFonts w:hint="eastAsia" w:ascii="宋体" w:hAnsi="宋体"/>
          <w:b/>
          <w:bCs/>
          <w:sz w:val="24"/>
          <w:szCs w:val="24"/>
          <w:lang w:val="en-US" w:eastAsia="zh-CN"/>
        </w:rPr>
        <w:t>1</w:t>
      </w:r>
      <w:r>
        <w:rPr>
          <w:rFonts w:hint="eastAsia" w:ascii="宋体" w:hAnsi="宋体"/>
          <w:b/>
          <w:bCs/>
          <w:sz w:val="24"/>
          <w:szCs w:val="24"/>
        </w:rPr>
        <w:t>.三国遗址公园售票员</w:t>
      </w:r>
    </w:p>
    <w:p>
      <w:pPr>
        <w:spacing w:line="360" w:lineRule="auto"/>
        <w:ind w:firstLine="480" w:firstLineChars="200"/>
        <w:rPr>
          <w:rFonts w:hint="eastAsia" w:ascii="宋体" w:hAnsi="宋体"/>
          <w:sz w:val="24"/>
          <w:szCs w:val="24"/>
        </w:rPr>
      </w:pPr>
      <w:r>
        <w:rPr>
          <w:rFonts w:hint="eastAsia" w:ascii="宋体" w:hAnsi="宋体"/>
          <w:sz w:val="24"/>
          <w:szCs w:val="24"/>
        </w:rPr>
        <w:t>（1）严格执行运价政策和票据管理及营收报结制度，负责票据的领取、登记、发售、保管工作；遵守售票机滤，严谨无关人员进入售票室；</w:t>
      </w:r>
    </w:p>
    <w:p>
      <w:pPr>
        <w:spacing w:line="360" w:lineRule="auto"/>
        <w:ind w:firstLine="480" w:firstLineChars="200"/>
        <w:rPr>
          <w:rFonts w:hint="eastAsia" w:ascii="宋体" w:hAnsi="宋体"/>
          <w:sz w:val="24"/>
          <w:szCs w:val="24"/>
        </w:rPr>
      </w:pPr>
      <w:r>
        <w:rPr>
          <w:rFonts w:hint="eastAsia" w:ascii="宋体" w:hAnsi="宋体"/>
          <w:sz w:val="24"/>
          <w:szCs w:val="24"/>
        </w:rPr>
        <w:t>（2）根据不同游客的特点，采用多种方式按时保质保量完成售票任务；</w:t>
      </w:r>
    </w:p>
    <w:p>
      <w:pPr>
        <w:spacing w:line="360" w:lineRule="auto"/>
        <w:ind w:firstLine="480" w:firstLineChars="200"/>
        <w:rPr>
          <w:rFonts w:hint="eastAsia" w:ascii="宋体" w:hAnsi="宋体"/>
          <w:sz w:val="24"/>
          <w:szCs w:val="24"/>
        </w:rPr>
      </w:pPr>
      <w:r>
        <w:rPr>
          <w:rFonts w:hint="eastAsia" w:ascii="宋体" w:hAnsi="宋体"/>
          <w:sz w:val="24"/>
          <w:szCs w:val="24"/>
        </w:rPr>
        <w:t>（3）注意观察客流动态，当客流发生变化时，及时向有关人员提供信息，以便加、减班安排；</w:t>
      </w:r>
    </w:p>
    <w:p>
      <w:pPr>
        <w:spacing w:line="360" w:lineRule="auto"/>
        <w:ind w:firstLine="480" w:firstLineChars="200"/>
        <w:rPr>
          <w:rFonts w:hint="eastAsia" w:ascii="宋体" w:hAnsi="宋体"/>
          <w:sz w:val="24"/>
          <w:szCs w:val="24"/>
        </w:rPr>
      </w:pPr>
      <w:r>
        <w:rPr>
          <w:rFonts w:hint="eastAsia" w:ascii="宋体" w:hAnsi="宋体"/>
          <w:sz w:val="24"/>
          <w:szCs w:val="24"/>
        </w:rPr>
        <w:t>（4）熟练掌握售票工具和设备性能及操作技术，爱护设备、定期报修，保持售票室环境整洁、设备和工作台干净清洁；</w:t>
      </w:r>
    </w:p>
    <w:p>
      <w:pPr>
        <w:spacing w:line="360" w:lineRule="auto"/>
        <w:ind w:firstLine="480" w:firstLineChars="200"/>
        <w:rPr>
          <w:rFonts w:hint="eastAsia" w:ascii="宋体" w:hAnsi="宋体"/>
          <w:sz w:val="24"/>
          <w:szCs w:val="24"/>
        </w:rPr>
      </w:pPr>
      <w:r>
        <w:rPr>
          <w:rFonts w:hint="eastAsia" w:ascii="宋体" w:hAnsi="宋体"/>
          <w:sz w:val="24"/>
          <w:szCs w:val="24"/>
        </w:rPr>
        <w:t>（5）按时填写当班工作记录、原始台账，负责交接好当班工作，及时存入现金；</w:t>
      </w:r>
    </w:p>
    <w:p>
      <w:pPr>
        <w:spacing w:line="360" w:lineRule="auto"/>
        <w:ind w:firstLine="480" w:firstLineChars="200"/>
        <w:rPr>
          <w:rFonts w:ascii="宋体" w:hAnsi="宋体"/>
          <w:sz w:val="24"/>
          <w:szCs w:val="24"/>
        </w:rPr>
      </w:pPr>
      <w:r>
        <w:rPr>
          <w:rFonts w:hint="eastAsia" w:ascii="宋体" w:hAnsi="宋体"/>
          <w:sz w:val="24"/>
          <w:szCs w:val="24"/>
        </w:rPr>
        <w:t>（6）招标人交办的其他事项。</w:t>
      </w:r>
    </w:p>
    <w:p>
      <w:pPr>
        <w:spacing w:line="360" w:lineRule="auto"/>
        <w:ind w:firstLine="482" w:firstLineChars="200"/>
        <w:rPr>
          <w:rFonts w:hint="eastAsia" w:ascii="宋体" w:hAnsi="宋体"/>
          <w:b/>
          <w:bCs/>
          <w:sz w:val="24"/>
          <w:szCs w:val="24"/>
        </w:rPr>
      </w:pPr>
      <w:r>
        <w:rPr>
          <w:rFonts w:hint="eastAsia" w:ascii="宋体" w:hAnsi="宋体"/>
          <w:b/>
          <w:bCs/>
          <w:sz w:val="24"/>
          <w:szCs w:val="24"/>
          <w:lang w:val="en-US" w:eastAsia="zh-CN"/>
        </w:rPr>
        <w:t>2</w:t>
      </w:r>
      <w:r>
        <w:rPr>
          <w:rFonts w:hint="eastAsia" w:ascii="宋体" w:hAnsi="宋体"/>
          <w:b/>
          <w:bCs/>
          <w:sz w:val="24"/>
          <w:szCs w:val="24"/>
        </w:rPr>
        <w:t>.项目现场管理人员</w:t>
      </w:r>
    </w:p>
    <w:p>
      <w:pPr>
        <w:spacing w:line="360" w:lineRule="auto"/>
        <w:ind w:firstLine="480" w:firstLineChars="200"/>
        <w:rPr>
          <w:rFonts w:hint="eastAsia" w:ascii="宋体" w:hAnsi="宋体"/>
          <w:sz w:val="24"/>
          <w:szCs w:val="24"/>
        </w:rPr>
      </w:pPr>
      <w:r>
        <w:rPr>
          <w:rFonts w:hint="eastAsia" w:ascii="宋体" w:hAnsi="宋体"/>
          <w:sz w:val="24"/>
          <w:szCs w:val="24"/>
        </w:rPr>
        <w:t>（1）负责片区内安全生产巡查、资产安全巡查、环境卫生基础保障、紧急突发事项反馈处理、日常考察接待服务等日常管理工作；</w:t>
      </w:r>
    </w:p>
    <w:p>
      <w:pPr>
        <w:spacing w:line="360" w:lineRule="auto"/>
        <w:ind w:firstLine="480" w:firstLineChars="200"/>
        <w:rPr>
          <w:rFonts w:hint="eastAsia" w:ascii="宋体" w:hAnsi="宋体"/>
          <w:sz w:val="24"/>
          <w:szCs w:val="24"/>
        </w:rPr>
      </w:pPr>
      <w:r>
        <w:rPr>
          <w:rFonts w:hint="eastAsia" w:ascii="宋体" w:hAnsi="宋体"/>
          <w:sz w:val="24"/>
          <w:szCs w:val="24"/>
        </w:rPr>
        <w:t>（2）协助保障公司开展运营活动，服从公司现场调度；</w:t>
      </w:r>
    </w:p>
    <w:p>
      <w:pPr>
        <w:spacing w:line="360" w:lineRule="auto"/>
        <w:ind w:firstLine="480" w:firstLineChars="200"/>
        <w:rPr>
          <w:rFonts w:hint="eastAsia" w:ascii="宋体" w:hAnsi="宋体"/>
          <w:sz w:val="24"/>
          <w:szCs w:val="24"/>
        </w:rPr>
      </w:pPr>
      <w:r>
        <w:rPr>
          <w:rFonts w:hint="eastAsia" w:ascii="宋体" w:hAnsi="宋体"/>
          <w:sz w:val="24"/>
          <w:szCs w:val="24"/>
        </w:rPr>
        <w:t>（3）与属地政府、村民保持良好沟通，及时反馈并解决日常问题；</w:t>
      </w:r>
    </w:p>
    <w:p>
      <w:pPr>
        <w:spacing w:line="360" w:lineRule="auto"/>
        <w:ind w:firstLine="480" w:firstLineChars="200"/>
        <w:rPr>
          <w:rFonts w:hint="eastAsia" w:ascii="宋体" w:hAnsi="宋体"/>
          <w:sz w:val="24"/>
          <w:szCs w:val="24"/>
        </w:rPr>
      </w:pPr>
      <w:r>
        <w:rPr>
          <w:rFonts w:hint="eastAsia" w:ascii="宋体" w:hAnsi="宋体"/>
          <w:sz w:val="24"/>
          <w:szCs w:val="24"/>
        </w:rPr>
        <w:t>（4）做好对游客的咨询解答工作，认真解答游客的问询，虚心听取游客意见，并总结改进；</w:t>
      </w:r>
    </w:p>
    <w:p>
      <w:pPr>
        <w:spacing w:line="360" w:lineRule="auto"/>
        <w:ind w:firstLine="480" w:firstLineChars="200"/>
        <w:rPr>
          <w:rFonts w:hint="eastAsia" w:ascii="宋体" w:hAnsi="宋体"/>
          <w:sz w:val="24"/>
          <w:szCs w:val="24"/>
        </w:rPr>
      </w:pPr>
      <w:r>
        <w:rPr>
          <w:rFonts w:hint="eastAsia" w:ascii="宋体" w:hAnsi="宋体"/>
          <w:sz w:val="24"/>
          <w:szCs w:val="24"/>
        </w:rPr>
        <w:t>（5）招标人交办的其他事项。</w:t>
      </w:r>
    </w:p>
    <w:p>
      <w:pPr>
        <w:widowControl/>
        <w:spacing w:line="360" w:lineRule="auto"/>
        <w:ind w:firstLine="480" w:firstLineChars="200"/>
        <w:jc w:val="left"/>
        <w:rPr>
          <w:rFonts w:ascii="宋体" w:hAnsi="宋体"/>
          <w:sz w:val="24"/>
          <w:szCs w:val="24"/>
        </w:rPr>
      </w:pPr>
      <w:r>
        <w:rPr>
          <w:rFonts w:hint="eastAsia" w:ascii="宋体" w:hAnsi="宋体"/>
          <w:sz w:val="24"/>
          <w:szCs w:val="24"/>
        </w:rPr>
        <w:t>（三）人员相关要求</w:t>
      </w:r>
    </w:p>
    <w:p>
      <w:pPr>
        <w:spacing w:line="360" w:lineRule="auto"/>
        <w:ind w:firstLine="482" w:firstLineChars="200"/>
        <w:rPr>
          <w:rFonts w:hint="eastAsia" w:ascii="宋体" w:hAnsi="宋体"/>
          <w:sz w:val="24"/>
          <w:szCs w:val="24"/>
          <w:lang w:eastAsia="zh-CN"/>
        </w:rPr>
      </w:pPr>
      <w:r>
        <w:rPr>
          <w:rFonts w:hint="eastAsia" w:ascii="宋体" w:hAnsi="宋体"/>
          <w:b/>
          <w:bCs/>
          <w:sz w:val="24"/>
          <w:szCs w:val="24"/>
          <w:lang w:val="en-US" w:eastAsia="zh-CN"/>
        </w:rPr>
        <w:t>1</w:t>
      </w:r>
      <w:r>
        <w:rPr>
          <w:rFonts w:hint="eastAsia" w:ascii="宋体" w:hAnsi="宋体"/>
          <w:b/>
          <w:bCs/>
          <w:sz w:val="24"/>
          <w:szCs w:val="24"/>
        </w:rPr>
        <w:t>.三国遗址公园售票员</w:t>
      </w:r>
      <w:r>
        <w:rPr>
          <w:rFonts w:hint="eastAsia" w:ascii="宋体" w:hAnsi="宋体"/>
          <w:b/>
          <w:bCs/>
          <w:sz w:val="24"/>
          <w:szCs w:val="24"/>
          <w:lang w:eastAsia="zh-CN"/>
        </w:rPr>
        <w:t>：</w:t>
      </w:r>
      <w:r>
        <w:rPr>
          <w:rFonts w:hint="eastAsia" w:ascii="宋体" w:hAnsi="宋体"/>
          <w:sz w:val="24"/>
          <w:szCs w:val="24"/>
          <w:lang w:val="en-US" w:eastAsia="zh-CN"/>
        </w:rPr>
        <w:t>上班时间：8：00-11：00；12:00-17:00；做五休二，非法定节假日、工作日调休。</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（1）女性</w:t>
      </w:r>
      <w:r>
        <w:rPr>
          <w:rFonts w:hint="eastAsia"/>
          <w:lang w:eastAsia="zh-CN"/>
        </w:rPr>
        <w:t>优先</w:t>
      </w:r>
      <w:r>
        <w:rPr>
          <w:rFonts w:hint="eastAsia" w:ascii="宋体" w:hAnsi="宋体"/>
          <w:sz w:val="24"/>
          <w:szCs w:val="24"/>
          <w:lang w:val="en-US" w:eastAsia="zh-CN"/>
        </w:rPr>
        <w:t>，高中及以上学历，35周岁以下；</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（2）具备良好的职业素养、团队意识、工作责任心，服从工作安排，具备较高的工作配合度；</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（3）居住在三十岗乡本地村民优先考虑。</w:t>
      </w:r>
    </w:p>
    <w:p>
      <w:pPr>
        <w:spacing w:line="360" w:lineRule="auto"/>
        <w:ind w:firstLine="482" w:firstLineChars="200"/>
        <w:rPr>
          <w:rFonts w:hint="eastAsia" w:ascii="宋体" w:hAnsi="宋体"/>
          <w:sz w:val="24"/>
          <w:szCs w:val="24"/>
          <w:lang w:val="en-US" w:eastAsia="zh-CN"/>
        </w:rPr>
      </w:pPr>
      <w:r>
        <w:rPr>
          <w:rFonts w:hint="eastAsia" w:ascii="宋体" w:hAnsi="宋体"/>
          <w:b/>
          <w:bCs/>
          <w:sz w:val="24"/>
          <w:szCs w:val="24"/>
          <w:lang w:val="en-US" w:eastAsia="zh-CN"/>
        </w:rPr>
        <w:t>2.项目现场管理人员：</w:t>
      </w:r>
      <w:r>
        <w:rPr>
          <w:rFonts w:hint="eastAsia" w:ascii="宋体" w:hAnsi="宋体"/>
          <w:sz w:val="24"/>
          <w:szCs w:val="24"/>
          <w:lang w:val="en-US" w:eastAsia="zh-CN"/>
        </w:rPr>
        <w:t>驻点服从公司安排；上班时间：8：00-11：30；13:00-17:30；做五休二，非法定节假日、工作日调休。</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（1）年龄55周岁以下，身体健康；</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（2）工作态度端正，具备团队意识、工作责任心，具备较高的工作配合度；</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（3）居住在三十岗乡本地村民优先考虑。</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注：除评分办法中要求提供的相关证明材料外，投标文件中无需提供上述人员其他相关证明材料，由招标人在合同签订后中标人进场服务前核查，人员须按照招标文件要求配置到位，否则招标人有权解除合同并报监管部门按有关规定处理。</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（四）外包人员需求人数统计表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highlight w:val="yellow"/>
        </w:rPr>
        <w:t>需求人数为暂定数量，实际用工人数以招标人项目实际需求为准</w:t>
      </w:r>
      <w:r>
        <w:rPr>
          <w:rFonts w:hint="eastAsia" w:ascii="宋体" w:hAnsi="宋体" w:cs="宋体"/>
          <w:kern w:val="0"/>
          <w:sz w:val="24"/>
          <w:szCs w:val="24"/>
        </w:rPr>
        <w:t>。</w:t>
      </w:r>
    </w:p>
    <w:p>
      <w:pPr>
        <w:pStyle w:val="24"/>
      </w:pPr>
    </w:p>
    <w:tbl>
      <w:tblPr>
        <w:tblStyle w:val="19"/>
        <w:tblW w:w="8838" w:type="dxa"/>
        <w:jc w:val="center"/>
        <w:tblLayout w:type="fixed"/>
        <w:tblCellMar>
          <w:top w:w="0" w:type="dxa"/>
          <w:left w:w="0" w:type="dxa"/>
          <w:bottom w:w="0" w:type="dxa"/>
          <w:right w:w="0" w:type="dxa"/>
        </w:tblCellMar>
      </w:tblPr>
      <w:tblGrid>
        <w:gridCol w:w="962"/>
        <w:gridCol w:w="3750"/>
        <w:gridCol w:w="2925"/>
        <w:gridCol w:w="1201"/>
      </w:tblGrid>
      <w:tr>
        <w:tblPrEx>
          <w:tblCellMar>
            <w:top w:w="0" w:type="dxa"/>
            <w:left w:w="0" w:type="dxa"/>
            <w:bottom w:w="0" w:type="dxa"/>
            <w:right w:w="0" w:type="dxa"/>
          </w:tblCellMar>
        </w:tblPrEx>
        <w:trPr>
          <w:trHeight w:val="458" w:hRule="atLeast"/>
          <w:jc w:val="center"/>
        </w:trPr>
        <w:tc>
          <w:tcPr>
            <w:tcW w:w="47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宋体" w:hAnsi="宋体" w:cs="宋体"/>
                <w:b/>
                <w:sz w:val="24"/>
                <w:szCs w:val="24"/>
              </w:rPr>
            </w:pPr>
            <w:r>
              <w:rPr>
                <w:rFonts w:hint="eastAsia" w:ascii="宋体" w:hAnsi="宋体" w:cs="宋体"/>
                <w:b/>
                <w:kern w:val="0"/>
                <w:sz w:val="24"/>
                <w:szCs w:val="24"/>
                <w:lang w:bidi="ar"/>
              </w:rPr>
              <w:t>序号</w:t>
            </w:r>
          </w:p>
        </w:tc>
        <w:tc>
          <w:tcPr>
            <w:tcW w:w="2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宋体" w:hAnsi="宋体" w:cs="宋体"/>
                <w:b/>
                <w:sz w:val="24"/>
                <w:szCs w:val="24"/>
              </w:rPr>
            </w:pPr>
            <w:r>
              <w:rPr>
                <w:rFonts w:hint="eastAsia" w:ascii="宋体" w:hAnsi="宋体" w:cs="宋体"/>
                <w:b/>
                <w:sz w:val="24"/>
                <w:szCs w:val="24"/>
              </w:rPr>
              <w:t>暂定人数</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宋体" w:hAnsi="宋体" w:cs="宋体"/>
                <w:b/>
                <w:kern w:val="0"/>
                <w:sz w:val="24"/>
                <w:szCs w:val="24"/>
                <w:lang w:bidi="ar"/>
              </w:rPr>
            </w:pPr>
            <w:r>
              <w:rPr>
                <w:rFonts w:hint="eastAsia" w:ascii="宋体" w:hAnsi="宋体" w:cs="宋体"/>
                <w:b/>
                <w:kern w:val="0"/>
                <w:sz w:val="24"/>
                <w:szCs w:val="24"/>
                <w:lang w:bidi="ar"/>
              </w:rPr>
              <w:t>备注</w:t>
            </w:r>
          </w:p>
        </w:tc>
      </w:tr>
      <w:tr>
        <w:tblPrEx>
          <w:tblCellMar>
            <w:top w:w="0" w:type="dxa"/>
            <w:left w:w="0" w:type="dxa"/>
            <w:bottom w:w="0" w:type="dxa"/>
            <w:right w:w="0" w:type="dxa"/>
          </w:tblCellMar>
        </w:tblPrEx>
        <w:trPr>
          <w:trHeight w:val="427" w:hRule="exact"/>
          <w:jc w:val="center"/>
        </w:trPr>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kern w:val="0"/>
                <w:sz w:val="24"/>
                <w:szCs w:val="24"/>
                <w:lang w:eastAsia="zh-CN" w:bidi="ar"/>
              </w:rPr>
            </w:pPr>
            <w:r>
              <w:rPr>
                <w:rFonts w:hint="eastAsia" w:ascii="宋体" w:hAnsi="宋体" w:cs="宋体"/>
                <w:b/>
                <w:kern w:val="0"/>
                <w:sz w:val="24"/>
                <w:szCs w:val="24"/>
                <w:lang w:val="en-US" w:eastAsia="zh-CN" w:bidi="ar"/>
              </w:rPr>
              <w:t>1</w:t>
            </w:r>
          </w:p>
        </w:tc>
        <w:tc>
          <w:tcPr>
            <w:tcW w:w="37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b/>
                <w:kern w:val="0"/>
                <w:sz w:val="24"/>
                <w:szCs w:val="24"/>
                <w:lang w:bidi="ar"/>
              </w:rPr>
            </w:pPr>
            <w:r>
              <w:rPr>
                <w:rFonts w:hint="eastAsia" w:ascii="宋体" w:hAnsi="宋体" w:cs="宋体"/>
                <w:b/>
                <w:kern w:val="0"/>
                <w:sz w:val="24"/>
                <w:szCs w:val="24"/>
                <w:lang w:bidi="ar"/>
              </w:rPr>
              <w:t>三国遗址公园售票员</w:t>
            </w:r>
          </w:p>
        </w:tc>
        <w:tc>
          <w:tcPr>
            <w:tcW w:w="2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2</w:t>
            </w:r>
          </w:p>
        </w:tc>
        <w:tc>
          <w:tcPr>
            <w:tcW w:w="120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ind w:left="480" w:leftChars="200" w:firstLine="480" w:firstLineChars="200"/>
              <w:rPr>
                <w:rFonts w:ascii="宋体" w:hAnsi="宋体"/>
                <w:sz w:val="24"/>
                <w:szCs w:val="24"/>
              </w:rPr>
            </w:pPr>
          </w:p>
        </w:tc>
      </w:tr>
      <w:tr>
        <w:tblPrEx>
          <w:tblCellMar>
            <w:top w:w="0" w:type="dxa"/>
            <w:left w:w="0" w:type="dxa"/>
            <w:bottom w:w="0" w:type="dxa"/>
            <w:right w:w="0" w:type="dxa"/>
          </w:tblCellMar>
        </w:tblPrEx>
        <w:trPr>
          <w:trHeight w:val="397" w:hRule="exact"/>
          <w:jc w:val="center"/>
        </w:trPr>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b/>
                <w:kern w:val="0"/>
                <w:sz w:val="24"/>
                <w:szCs w:val="24"/>
                <w:lang w:eastAsia="zh-CN" w:bidi="ar"/>
              </w:rPr>
            </w:pPr>
            <w:r>
              <w:rPr>
                <w:rFonts w:hint="eastAsia" w:ascii="宋体" w:hAnsi="宋体" w:cs="宋体"/>
                <w:b/>
                <w:kern w:val="0"/>
                <w:sz w:val="24"/>
                <w:szCs w:val="24"/>
                <w:lang w:val="en-US" w:eastAsia="zh-CN" w:bidi="ar"/>
              </w:rPr>
              <w:t>2</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cs="宋体"/>
                <w:b/>
                <w:kern w:val="0"/>
                <w:sz w:val="24"/>
                <w:szCs w:val="24"/>
                <w:lang w:bidi="ar"/>
              </w:rPr>
            </w:pPr>
            <w:r>
              <w:rPr>
                <w:rFonts w:hint="eastAsia" w:ascii="宋体" w:hAnsi="宋体" w:cs="宋体"/>
                <w:b/>
                <w:kern w:val="0"/>
                <w:sz w:val="24"/>
                <w:szCs w:val="24"/>
                <w:lang w:bidi="ar"/>
              </w:rPr>
              <w:t>项目现场管理人员</w:t>
            </w:r>
          </w:p>
          <w:p>
            <w:pPr>
              <w:widowControl/>
              <w:spacing w:line="360" w:lineRule="auto"/>
              <w:jc w:val="center"/>
              <w:textAlignment w:val="center"/>
              <w:rPr>
                <w:rFonts w:hint="eastAsia" w:ascii="宋体" w:hAnsi="宋体" w:cs="宋体"/>
                <w:b/>
                <w:kern w:val="0"/>
                <w:sz w:val="24"/>
                <w:szCs w:val="24"/>
                <w:lang w:bidi="ar"/>
              </w:rPr>
            </w:pPr>
            <w:r>
              <w:rPr>
                <w:rFonts w:hint="eastAsia" w:ascii="宋体" w:hAnsi="宋体" w:cs="宋体"/>
                <w:b/>
                <w:kern w:val="0"/>
                <w:sz w:val="24"/>
                <w:szCs w:val="24"/>
                <w:lang w:bidi="ar"/>
              </w:rPr>
              <w:t>现场管理人员</w:t>
            </w:r>
          </w:p>
        </w:tc>
        <w:tc>
          <w:tcPr>
            <w:tcW w:w="29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480" w:leftChars="200" w:firstLine="480" w:firstLineChars="200"/>
              <w:rPr>
                <w:rFonts w:ascii="宋体" w:hAnsi="宋体"/>
                <w:sz w:val="24"/>
                <w:szCs w:val="24"/>
              </w:rPr>
            </w:pPr>
          </w:p>
        </w:tc>
      </w:tr>
      <w:tr>
        <w:tblPrEx>
          <w:tblCellMar>
            <w:top w:w="0" w:type="dxa"/>
            <w:left w:w="0" w:type="dxa"/>
            <w:bottom w:w="0" w:type="dxa"/>
            <w:right w:w="0" w:type="dxa"/>
          </w:tblCellMar>
        </w:tblPrEx>
        <w:trPr>
          <w:trHeight w:val="446" w:hRule="exact"/>
          <w:jc w:val="center"/>
        </w:trPr>
        <w:tc>
          <w:tcPr>
            <w:tcW w:w="47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宋体" w:hAnsi="宋体" w:cs="宋体"/>
                <w:b/>
                <w:kern w:val="0"/>
                <w:sz w:val="24"/>
                <w:szCs w:val="24"/>
                <w:lang w:bidi="ar"/>
              </w:rPr>
            </w:pPr>
            <w:r>
              <w:rPr>
                <w:rFonts w:hint="eastAsia" w:ascii="宋体" w:hAnsi="宋体" w:cs="宋体"/>
                <w:b/>
                <w:kern w:val="0"/>
                <w:sz w:val="24"/>
                <w:szCs w:val="24"/>
                <w:lang w:bidi="ar"/>
              </w:rPr>
              <w:t>合计</w:t>
            </w:r>
          </w:p>
        </w:tc>
        <w:tc>
          <w:tcPr>
            <w:tcW w:w="2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480" w:leftChars="200" w:firstLine="480" w:firstLineChars="200"/>
              <w:rPr>
                <w:rFonts w:ascii="宋体" w:hAnsi="宋体"/>
                <w:sz w:val="24"/>
                <w:szCs w:val="24"/>
              </w:rPr>
            </w:pPr>
          </w:p>
        </w:tc>
      </w:tr>
      <w:tr>
        <w:tblPrEx>
          <w:tblCellMar>
            <w:top w:w="0" w:type="dxa"/>
            <w:left w:w="0" w:type="dxa"/>
            <w:bottom w:w="0" w:type="dxa"/>
            <w:right w:w="0" w:type="dxa"/>
          </w:tblCellMar>
        </w:tblPrEx>
        <w:trPr>
          <w:trHeight w:val="2200" w:hRule="exact"/>
          <w:jc w:val="center"/>
        </w:trPr>
        <w:tc>
          <w:tcPr>
            <w:tcW w:w="883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ascii="宋体" w:hAnsi="宋体" w:cs="宋体"/>
                <w:sz w:val="24"/>
                <w:szCs w:val="24"/>
              </w:rPr>
            </w:pPr>
            <w:r>
              <w:rPr>
                <w:rFonts w:hint="eastAsia" w:ascii="宋体" w:hAnsi="宋体"/>
                <w:sz w:val="24"/>
                <w:szCs w:val="24"/>
              </w:rPr>
              <w:t>备注：在以上需求人员之外，单独指派</w:t>
            </w:r>
            <w:r>
              <w:rPr>
                <w:rFonts w:hint="eastAsia" w:ascii="宋体" w:hAnsi="宋体" w:cs="宋体"/>
                <w:sz w:val="24"/>
                <w:szCs w:val="24"/>
              </w:rPr>
              <w:t>项目负责人，可非专职为本项目提供服务，相关费用包含在其他人人员综合报价中，不另行支付，具体职责如下：</w:t>
            </w:r>
          </w:p>
          <w:p>
            <w:pPr>
              <w:adjustRightInd w:val="0"/>
              <w:snapToGrid w:val="0"/>
              <w:jc w:val="left"/>
              <w:rPr>
                <w:rFonts w:hint="eastAsia" w:ascii="宋体" w:hAnsi="宋体" w:cs="宋体"/>
                <w:sz w:val="24"/>
                <w:szCs w:val="24"/>
              </w:rPr>
            </w:pPr>
            <w:r>
              <w:rPr>
                <w:rFonts w:hint="eastAsia" w:ascii="宋体" w:hAnsi="宋体" w:cs="宋体"/>
                <w:sz w:val="24"/>
                <w:szCs w:val="24"/>
              </w:rPr>
              <w:t>1.全面主持招标人各项人力资源服务外包工作，保证人力资源外包服务质量；</w:t>
            </w:r>
          </w:p>
          <w:p>
            <w:pPr>
              <w:adjustRightInd w:val="0"/>
              <w:snapToGrid w:val="0"/>
              <w:jc w:val="left"/>
              <w:rPr>
                <w:rFonts w:hint="eastAsia" w:ascii="宋体" w:hAnsi="宋体" w:cs="宋体"/>
                <w:sz w:val="24"/>
                <w:szCs w:val="24"/>
              </w:rPr>
            </w:pPr>
            <w:r>
              <w:rPr>
                <w:rFonts w:hint="eastAsia" w:ascii="宋体" w:hAnsi="宋体" w:cs="宋体"/>
                <w:sz w:val="24"/>
                <w:szCs w:val="24"/>
              </w:rPr>
              <w:t>2.对接招标人相关人员，及时满足招标人相关需求；</w:t>
            </w:r>
          </w:p>
          <w:p>
            <w:pPr>
              <w:adjustRightInd w:val="0"/>
              <w:snapToGrid w:val="0"/>
              <w:jc w:val="left"/>
              <w:rPr>
                <w:rFonts w:hint="eastAsia" w:ascii="宋体" w:hAnsi="宋体" w:cs="宋体"/>
                <w:sz w:val="24"/>
                <w:szCs w:val="24"/>
              </w:rPr>
            </w:pPr>
            <w:r>
              <w:rPr>
                <w:rFonts w:hint="eastAsia" w:ascii="宋体" w:hAnsi="宋体" w:cs="宋体"/>
                <w:sz w:val="24"/>
                <w:szCs w:val="24"/>
              </w:rPr>
              <w:t>3.依据招标人需要，及时完成招标人项目人员增减更换等工作，对于培训方案等工作相关事宜及时提出合理建议；</w:t>
            </w:r>
          </w:p>
          <w:p>
            <w:pPr>
              <w:adjustRightInd w:val="0"/>
              <w:snapToGrid w:val="0"/>
              <w:jc w:val="left"/>
              <w:rPr>
                <w:rFonts w:hint="eastAsia" w:ascii="宋体" w:hAnsi="宋体"/>
                <w:sz w:val="24"/>
                <w:szCs w:val="24"/>
              </w:rPr>
            </w:pPr>
            <w:r>
              <w:rPr>
                <w:rFonts w:hint="eastAsia" w:ascii="宋体" w:hAnsi="宋体" w:cs="宋体"/>
                <w:sz w:val="24"/>
                <w:szCs w:val="24"/>
              </w:rPr>
              <w:t>4.其他需要配合的相关事宜。</w:t>
            </w:r>
          </w:p>
        </w:tc>
      </w:tr>
    </w:tbl>
    <w:p>
      <w:pPr>
        <w:spacing w:line="360" w:lineRule="auto"/>
        <w:ind w:firstLine="480" w:firstLineChars="200"/>
        <w:jc w:val="left"/>
        <w:rPr>
          <w:rFonts w:ascii="宋体" w:hAnsi="宋体" w:cs="宋体"/>
          <w:b/>
          <w:kern w:val="0"/>
          <w:sz w:val="24"/>
          <w:szCs w:val="24"/>
        </w:rPr>
      </w:pPr>
      <w:r>
        <w:rPr>
          <w:rFonts w:hint="eastAsia" w:ascii="宋体" w:hAnsi="宋体" w:cs="Arial"/>
          <w:kern w:val="0"/>
          <w:sz w:val="24"/>
          <w:szCs w:val="24"/>
        </w:rPr>
        <w:t>（五）发生不可抗力等原因导致招标人项目数减少、招标事项无法履行的，则涉及相关项目的人力资源服务外包自动终止，双方互不承担责任。</w:t>
      </w:r>
    </w:p>
    <w:p>
      <w:pPr>
        <w:spacing w:line="360" w:lineRule="auto"/>
        <w:ind w:firstLine="482" w:firstLineChars="200"/>
        <w:jc w:val="left"/>
        <w:rPr>
          <w:rFonts w:ascii="宋体" w:hAnsi="宋体" w:cs="Arial"/>
          <w:b/>
          <w:bCs/>
          <w:kern w:val="0"/>
          <w:sz w:val="24"/>
          <w:szCs w:val="24"/>
        </w:rPr>
      </w:pPr>
      <w:r>
        <w:rPr>
          <w:rFonts w:hint="eastAsia" w:ascii="宋体" w:hAnsi="宋体" w:cs="宋体"/>
          <w:b/>
          <w:kern w:val="0"/>
          <w:sz w:val="24"/>
          <w:szCs w:val="24"/>
        </w:rPr>
        <w:t>五、外包人员相关权益保障</w:t>
      </w:r>
    </w:p>
    <w:p>
      <w:pPr>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1.中标人依法依规与外包人员签订劳动合同，建立和谐的劳动关系。中标人应严格执行《中华人民共和国劳动法》和《中华人民共和国劳动合同法》的规定，不得发生歇工和维稳事件。</w:t>
      </w:r>
    </w:p>
    <w:p>
      <w:pPr>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2.中标人必须为外包员工购买保险。</w:t>
      </w:r>
    </w:p>
    <w:p>
      <w:pPr>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3.中标人与外包人员解除或终止劳动关系，必须依照《劳动法》、《劳动合同法》和其它规范性文件的规定执行。</w:t>
      </w:r>
    </w:p>
    <w:p>
      <w:pPr>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4.中标人必须执行《劳动法》、《劳动合同法》和其它规范性文件规定的有关外包人员保障的其它规定。</w:t>
      </w:r>
    </w:p>
    <w:p>
      <w:pPr>
        <w:spacing w:line="360" w:lineRule="auto"/>
        <w:ind w:firstLine="480" w:firstLineChars="200"/>
        <w:jc w:val="left"/>
        <w:rPr>
          <w:rFonts w:ascii="宋体" w:hAnsi="宋体" w:cs="宋体"/>
          <w:b/>
          <w:kern w:val="0"/>
          <w:sz w:val="24"/>
          <w:szCs w:val="24"/>
        </w:rPr>
      </w:pPr>
      <w:r>
        <w:rPr>
          <w:rFonts w:hint="eastAsia" w:ascii="宋体" w:hAnsi="宋体" w:cs="Arial"/>
          <w:kern w:val="0"/>
          <w:sz w:val="24"/>
          <w:szCs w:val="24"/>
        </w:rPr>
        <w:t>5.中标人需建立工资发放明细台账，对于银行工资发放流水、保险购买情况等人力资源服务外包材料进行存档，以备招标人查看和索要。</w:t>
      </w:r>
    </w:p>
    <w:p>
      <w:pPr>
        <w:spacing w:line="360" w:lineRule="auto"/>
        <w:ind w:firstLine="482" w:firstLineChars="200"/>
        <w:rPr>
          <w:rFonts w:ascii="宋体" w:hAnsi="宋体"/>
          <w:b/>
          <w:sz w:val="24"/>
          <w:szCs w:val="24"/>
        </w:rPr>
      </w:pPr>
      <w:r>
        <w:rPr>
          <w:rFonts w:hint="eastAsia" w:ascii="宋体" w:hAnsi="宋体"/>
          <w:b/>
          <w:sz w:val="24"/>
          <w:szCs w:val="24"/>
        </w:rPr>
        <w:t>六、报价要求</w:t>
      </w:r>
    </w:p>
    <w:p>
      <w:pPr>
        <w:tabs>
          <w:tab w:val="left" w:pos="420"/>
        </w:tabs>
        <w:spacing w:line="360" w:lineRule="auto"/>
        <w:ind w:firstLine="480" w:firstLineChars="200"/>
        <w:rPr>
          <w:rFonts w:ascii="宋体" w:hAnsi="宋体"/>
          <w:b/>
          <w:bCs/>
          <w:kern w:val="0"/>
          <w:sz w:val="24"/>
          <w:szCs w:val="24"/>
        </w:rPr>
      </w:pPr>
      <w:r>
        <w:rPr>
          <w:rFonts w:hint="eastAsia" w:ascii="宋体" w:hAnsi="宋体" w:cs="宋体"/>
          <w:sz w:val="24"/>
          <w:szCs w:val="24"/>
        </w:rPr>
        <w:t>1.本项目最高限价</w:t>
      </w:r>
      <w:r>
        <w:rPr>
          <w:rFonts w:hint="eastAsia" w:ascii="宋体" w:hAnsi="宋体" w:cs="宋体"/>
          <w:sz w:val="24"/>
          <w:szCs w:val="24"/>
          <w:lang w:val="en-US" w:eastAsia="zh-CN"/>
        </w:rPr>
        <w:t>28.6</w:t>
      </w:r>
      <w:r>
        <w:rPr>
          <w:rFonts w:hint="eastAsia" w:ascii="宋体" w:hAnsi="宋体" w:cs="宋体"/>
          <w:sz w:val="24"/>
          <w:szCs w:val="24"/>
        </w:rPr>
        <w:t>万元/年，投标人须按分项报价表分别报出各分项投标报价及投标总价，投标总价不得超出</w:t>
      </w:r>
      <w:r>
        <w:rPr>
          <w:rFonts w:hint="eastAsia" w:ascii="宋体" w:hAnsi="宋体" w:cs="宋体"/>
          <w:sz w:val="24"/>
          <w:szCs w:val="24"/>
          <w:lang w:val="en-US" w:eastAsia="zh-CN"/>
        </w:rPr>
        <w:t>28.6</w:t>
      </w:r>
      <w:r>
        <w:rPr>
          <w:rFonts w:hint="eastAsia" w:ascii="宋体" w:hAnsi="宋体" w:cs="宋体"/>
          <w:sz w:val="24"/>
          <w:szCs w:val="24"/>
        </w:rPr>
        <w:t>万元，各分项报价不得超出分项最高投标限价，否则投标无效。</w:t>
      </w:r>
      <w:r>
        <w:rPr>
          <w:rFonts w:hint="eastAsia" w:ascii="宋体" w:hAnsi="宋体" w:cs="宋体"/>
          <w:b/>
          <w:bCs/>
          <w:sz w:val="24"/>
          <w:szCs w:val="24"/>
        </w:rPr>
        <w:t>以投标总价作为评标、定标的依据，以分项报价作为结算的依据</w:t>
      </w:r>
      <w:r>
        <w:rPr>
          <w:rFonts w:hint="eastAsia" w:ascii="宋体" w:hAnsi="宋体" w:cs="宋体"/>
          <w:sz w:val="24"/>
          <w:szCs w:val="24"/>
        </w:rPr>
        <w:t>。</w:t>
      </w:r>
      <w:r>
        <w:rPr>
          <w:rFonts w:hint="eastAsia" w:ascii="宋体" w:hAnsi="宋体" w:cs="宋体"/>
          <w:b/>
          <w:bCs/>
          <w:sz w:val="24"/>
          <w:szCs w:val="24"/>
          <w:highlight w:val="none"/>
        </w:rPr>
        <w:t>本项目最终结算总金额不超过项目概算</w:t>
      </w:r>
      <w:r>
        <w:rPr>
          <w:rFonts w:hint="eastAsia" w:ascii="宋体" w:hAnsi="宋体" w:cs="宋体"/>
          <w:sz w:val="24"/>
          <w:szCs w:val="24"/>
          <w:highlight w:val="none"/>
        </w:rPr>
        <w:t>。</w:t>
      </w:r>
      <w:r>
        <w:rPr>
          <w:rFonts w:hint="eastAsia" w:ascii="宋体" w:hAnsi="宋体"/>
          <w:b/>
          <w:bCs/>
          <w:kern w:val="0"/>
          <w:sz w:val="24"/>
          <w:szCs w:val="24"/>
        </w:rPr>
        <w:t>未按要求报价的投标无效。</w:t>
      </w:r>
    </w:p>
    <w:p>
      <w:pPr>
        <w:tabs>
          <w:tab w:val="left" w:pos="420"/>
        </w:tabs>
        <w:spacing w:line="360" w:lineRule="auto"/>
        <w:ind w:firstLine="480" w:firstLineChars="200"/>
        <w:rPr>
          <w:rFonts w:ascii="宋体" w:hAnsi="宋体"/>
          <w:kern w:val="0"/>
          <w:sz w:val="24"/>
          <w:szCs w:val="24"/>
        </w:rPr>
      </w:pPr>
      <w:r>
        <w:rPr>
          <w:rFonts w:hint="eastAsia" w:ascii="宋体" w:hAnsi="宋体"/>
          <w:kern w:val="0"/>
          <w:sz w:val="24"/>
          <w:szCs w:val="24"/>
        </w:rPr>
        <w:t>2.投标报价为完成本次招标项目的全费用价格，其组成包括但不限于人力成本费（工资、保险、劳保、福利、节假日加班费）、管理费、工具采购及耗材费、秩序维护费、误餐补助费、服装费、办公费、交通费、通讯费、培训费、税金、利润、劳动保险费、合同工期内的风险费用等为完成本次招投标项目所发生的一切费用。中标人自行解决员工养老、失业、医疗、工伤、生育、纳税等保险及劳保、工资、福利、食宿、员工上下班交通以及投标人为完成服务所发生的一切费用等。</w:t>
      </w:r>
    </w:p>
    <w:p>
      <w:pPr>
        <w:tabs>
          <w:tab w:val="left" w:pos="420"/>
        </w:tabs>
        <w:spacing w:line="360" w:lineRule="auto"/>
        <w:ind w:firstLine="480" w:firstLineChars="200"/>
        <w:rPr>
          <w:rFonts w:ascii="宋体" w:hAnsi="宋体"/>
          <w:sz w:val="24"/>
          <w:szCs w:val="24"/>
        </w:rPr>
      </w:pPr>
      <w:r>
        <w:rPr>
          <w:rFonts w:hint="eastAsia" w:ascii="宋体" w:hAnsi="宋体"/>
          <w:sz w:val="24"/>
          <w:szCs w:val="24"/>
        </w:rPr>
        <w:t>3.因突发性工作（如文明创建、水侵、防汛、防台、防霉、防暴雨、防雪、火灾应急处理，以及停水、停电、盗窃等应急工作），需要中标人提供额外服务的，中标人须无条件配合，相关费用含在本项目价款中，根据项目实际到岗人员数量、岗位及综合单价据实支付，最终结算金额不超过项目概算。</w:t>
      </w:r>
    </w:p>
    <w:p>
      <w:pPr>
        <w:spacing w:line="360" w:lineRule="auto"/>
        <w:ind w:firstLine="480" w:firstLineChars="200"/>
        <w:rPr>
          <w:rFonts w:ascii="宋体" w:hAnsi="宋体" w:cs="Arial"/>
          <w:kern w:val="0"/>
          <w:sz w:val="24"/>
          <w:szCs w:val="24"/>
        </w:rPr>
      </w:pPr>
      <w:r>
        <w:rPr>
          <w:rFonts w:hint="eastAsia" w:ascii="宋体" w:hAnsi="宋体" w:cs="Arial"/>
          <w:kern w:val="0"/>
          <w:sz w:val="24"/>
          <w:szCs w:val="24"/>
        </w:rPr>
        <w:t>4.投标人报价应建立在对项目服务范围、要求充分了解的基础上，成交后签订合同及履约过程中，投标人不得以不完全了解现场情况等为由，提出任何形式的增加合同外费用或其他的要求。</w:t>
      </w:r>
    </w:p>
    <w:p>
      <w:pPr>
        <w:spacing w:line="360" w:lineRule="auto"/>
        <w:ind w:firstLine="480" w:firstLineChars="200"/>
        <w:rPr>
          <w:rFonts w:ascii="宋体" w:hAnsi="宋体" w:cs="Arial"/>
          <w:kern w:val="0"/>
          <w:sz w:val="24"/>
          <w:szCs w:val="24"/>
        </w:rPr>
      </w:pPr>
      <w:r>
        <w:rPr>
          <w:rFonts w:hint="eastAsia" w:ascii="宋体" w:hAnsi="宋体" w:cs="Arial"/>
          <w:kern w:val="0"/>
          <w:sz w:val="24"/>
          <w:szCs w:val="24"/>
        </w:rPr>
        <w:t>5.招标人将按</w:t>
      </w:r>
      <w:r>
        <w:rPr>
          <w:rFonts w:hint="eastAsia" w:ascii="宋体" w:hAnsi="宋体"/>
          <w:sz w:val="24"/>
          <w:szCs w:val="24"/>
        </w:rPr>
        <w:t>采购需求前附表规定的支付方式进行支付，</w:t>
      </w:r>
      <w:r>
        <w:rPr>
          <w:rFonts w:hint="eastAsia" w:ascii="宋体" w:hAnsi="宋体" w:cs="Arial"/>
          <w:kern w:val="0"/>
          <w:sz w:val="24"/>
          <w:szCs w:val="24"/>
        </w:rPr>
        <w:t>中标人自行</w:t>
      </w:r>
      <w:r>
        <w:rPr>
          <w:rFonts w:hint="eastAsia" w:ascii="宋体" w:hAnsi="宋体" w:cs="宋体"/>
          <w:sz w:val="24"/>
          <w:szCs w:val="24"/>
        </w:rPr>
        <w:t>垫付招标人未支付前所发生的一切相关费用（如垫付3个月及以上人员工资等）</w:t>
      </w:r>
      <w:r>
        <w:rPr>
          <w:rFonts w:hint="eastAsia" w:ascii="宋体" w:hAnsi="宋体" w:cs="Arial"/>
          <w:kern w:val="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6.投标人应考虑合同期内政策性费用调整的风险。报价应考虑合肥市最低工资标准上调等因素，履约期限内不得以最低工资标准上调以及物价指数上涨等理由增加相关费用。</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7.政策性费用测算：</w:t>
      </w:r>
    </w:p>
    <w:tbl>
      <w:tblPr>
        <w:tblStyle w:val="19"/>
        <w:tblpPr w:leftFromText="180" w:rightFromText="180" w:vertAnchor="text" w:horzAnchor="page" w:tblpX="1346" w:tblpY="462"/>
        <w:tblOverlap w:val="never"/>
        <w:tblW w:w="9105" w:type="dxa"/>
        <w:tblInd w:w="0" w:type="dxa"/>
        <w:tblLayout w:type="fixed"/>
        <w:tblCellMar>
          <w:top w:w="0" w:type="dxa"/>
          <w:left w:w="108" w:type="dxa"/>
          <w:bottom w:w="0" w:type="dxa"/>
          <w:right w:w="108" w:type="dxa"/>
        </w:tblCellMar>
      </w:tblPr>
      <w:tblGrid>
        <w:gridCol w:w="940"/>
        <w:gridCol w:w="1486"/>
        <w:gridCol w:w="1169"/>
        <w:gridCol w:w="1770"/>
        <w:gridCol w:w="1665"/>
        <w:gridCol w:w="2075"/>
      </w:tblGrid>
      <w:tr>
        <w:tblPrEx>
          <w:tblCellMar>
            <w:top w:w="0" w:type="dxa"/>
            <w:left w:w="108" w:type="dxa"/>
            <w:bottom w:w="0" w:type="dxa"/>
            <w:right w:w="108" w:type="dxa"/>
          </w:tblCellMar>
        </w:tblPrEx>
        <w:trPr>
          <w:trHeight w:val="840" w:hRule="atLeast"/>
        </w:trPr>
        <w:tc>
          <w:tcPr>
            <w:tcW w:w="9105" w:type="dxa"/>
            <w:gridSpan w:val="6"/>
            <w:tcBorders>
              <w:top w:val="nil"/>
              <w:left w:val="nil"/>
              <w:bottom w:val="single" w:color="000000" w:sz="8" w:space="0"/>
              <w:right w:val="nil"/>
            </w:tcBorders>
            <w:noWrap/>
            <w:vAlign w:val="bottom"/>
          </w:tcPr>
          <w:p>
            <w:pPr>
              <w:widowControl/>
              <w:jc w:val="left"/>
              <w:textAlignment w:val="bottom"/>
              <w:rPr>
                <w:rFonts w:hint="eastAsia" w:ascii="宋体" w:hAnsi="宋体" w:cs="宋体"/>
                <w:color w:val="000000"/>
                <w:sz w:val="24"/>
                <w:szCs w:val="24"/>
              </w:rPr>
            </w:pPr>
            <w:r>
              <w:rPr>
                <w:rFonts w:hint="eastAsia" w:ascii="宋体" w:hAnsi="宋体" w:cs="宋体"/>
                <w:b/>
                <w:bCs/>
                <w:color w:val="000000"/>
                <w:kern w:val="0"/>
                <w:sz w:val="24"/>
                <w:szCs w:val="24"/>
                <w:lang w:bidi="ar"/>
              </w:rPr>
              <w:t>一般纳税人</w:t>
            </w:r>
          </w:p>
        </w:tc>
      </w:tr>
      <w:tr>
        <w:tblPrEx>
          <w:tblCellMar>
            <w:top w:w="0" w:type="dxa"/>
            <w:left w:w="108" w:type="dxa"/>
            <w:bottom w:w="0" w:type="dxa"/>
            <w:right w:w="108" w:type="dxa"/>
          </w:tblCellMar>
        </w:tblPrEx>
        <w:trPr>
          <w:trHeight w:val="424" w:hRule="atLeast"/>
        </w:trPr>
        <w:tc>
          <w:tcPr>
            <w:tcW w:w="940" w:type="dxa"/>
            <w:tcBorders>
              <w:top w:val="single" w:color="000000" w:sz="8" w:space="0"/>
              <w:left w:val="single" w:color="000000" w:sz="8" w:space="0"/>
              <w:bottom w:val="single" w:color="000000" w:sz="8" w:space="0"/>
              <w:right w:val="single" w:color="000000" w:sz="8" w:space="0"/>
            </w:tcBorders>
            <w:noWrap w:val="0"/>
            <w:vAlign w:val="bottom"/>
          </w:tcPr>
          <w:p>
            <w:pPr>
              <w:jc w:val="center"/>
              <w:rPr>
                <w:rFonts w:hint="eastAsia" w:ascii="仿宋_GB2312" w:hAnsi="仿宋_GB2312" w:eastAsia="仿宋_GB2312" w:cs="仿宋_GB2312"/>
                <w:color w:val="000000"/>
                <w:szCs w:val="21"/>
              </w:rPr>
            </w:pPr>
          </w:p>
        </w:tc>
        <w:tc>
          <w:tcPr>
            <w:tcW w:w="1486"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缴费项目</w:t>
            </w:r>
          </w:p>
        </w:tc>
        <w:tc>
          <w:tcPr>
            <w:tcW w:w="1169"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人数</w:t>
            </w:r>
          </w:p>
        </w:tc>
        <w:tc>
          <w:tcPr>
            <w:tcW w:w="1770"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费用</w:t>
            </w:r>
          </w:p>
        </w:tc>
        <w:tc>
          <w:tcPr>
            <w:tcW w:w="1665"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月</w:t>
            </w:r>
          </w:p>
        </w:tc>
        <w:tc>
          <w:tcPr>
            <w:tcW w:w="2075"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小计</w:t>
            </w:r>
          </w:p>
        </w:tc>
      </w:tr>
      <w:tr>
        <w:tblPrEx>
          <w:tblCellMar>
            <w:top w:w="0" w:type="dxa"/>
            <w:left w:w="108" w:type="dxa"/>
            <w:bottom w:w="0" w:type="dxa"/>
            <w:right w:w="108" w:type="dxa"/>
          </w:tblCellMar>
        </w:tblPrEx>
        <w:trPr>
          <w:trHeight w:val="562" w:hRule="atLeast"/>
        </w:trPr>
        <w:tc>
          <w:tcPr>
            <w:tcW w:w="940"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A</w:t>
            </w:r>
          </w:p>
        </w:tc>
        <w:tc>
          <w:tcPr>
            <w:tcW w:w="1486" w:type="dxa"/>
            <w:tcBorders>
              <w:top w:val="nil"/>
              <w:left w:val="nil"/>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最低人员工资</w:t>
            </w:r>
          </w:p>
        </w:tc>
        <w:tc>
          <w:tcPr>
            <w:tcW w:w="1169"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5</w:t>
            </w:r>
          </w:p>
        </w:tc>
        <w:tc>
          <w:tcPr>
            <w:tcW w:w="1770"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kern w:val="0"/>
                <w:szCs w:val="21"/>
                <w:lang w:bidi="ar"/>
              </w:rPr>
            </w:pPr>
            <w:r>
              <w:rPr>
                <w:rFonts w:hint="default" w:ascii="仿宋_GB2312" w:hAnsi="仿宋_GB2312" w:eastAsia="仿宋_GB2312" w:cs="仿宋_GB2312"/>
                <w:color w:val="000000"/>
                <w:kern w:val="0"/>
                <w:szCs w:val="21"/>
                <w:lang w:val="en-US" w:eastAsia="zh-CN" w:bidi="ar"/>
              </w:rPr>
              <w:t>2060</w:t>
            </w:r>
          </w:p>
        </w:tc>
        <w:tc>
          <w:tcPr>
            <w:tcW w:w="1665"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207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123600</w:t>
            </w:r>
          </w:p>
        </w:tc>
      </w:tr>
      <w:tr>
        <w:tblPrEx>
          <w:tblCellMar>
            <w:top w:w="0" w:type="dxa"/>
            <w:left w:w="108" w:type="dxa"/>
            <w:bottom w:w="0" w:type="dxa"/>
            <w:right w:w="108" w:type="dxa"/>
          </w:tblCellMar>
        </w:tblPrEx>
        <w:trPr>
          <w:trHeight w:val="498" w:hRule="atLeast"/>
        </w:trPr>
        <w:tc>
          <w:tcPr>
            <w:tcW w:w="940"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B</w:t>
            </w:r>
          </w:p>
        </w:tc>
        <w:tc>
          <w:tcPr>
            <w:tcW w:w="1486" w:type="dxa"/>
            <w:tcBorders>
              <w:top w:val="nil"/>
              <w:left w:val="nil"/>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社会保险</w:t>
            </w:r>
          </w:p>
        </w:tc>
        <w:tc>
          <w:tcPr>
            <w:tcW w:w="1169"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5</w:t>
            </w:r>
          </w:p>
        </w:tc>
        <w:tc>
          <w:tcPr>
            <w:tcW w:w="1770"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kern w:val="0"/>
                <w:szCs w:val="21"/>
                <w:lang w:bidi="ar"/>
              </w:rPr>
            </w:pPr>
            <w:r>
              <w:rPr>
                <w:rFonts w:hint="default" w:ascii="仿宋_GB2312" w:hAnsi="仿宋_GB2312" w:eastAsia="仿宋_GB2312" w:cs="仿宋_GB2312"/>
                <w:color w:val="000000"/>
                <w:kern w:val="0"/>
                <w:szCs w:val="21"/>
                <w:lang w:val="en-US" w:eastAsia="zh-CN" w:bidi="ar"/>
              </w:rPr>
              <w:t>892.86</w:t>
            </w:r>
          </w:p>
        </w:tc>
        <w:tc>
          <w:tcPr>
            <w:tcW w:w="1665"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207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53571.6</w:t>
            </w:r>
          </w:p>
        </w:tc>
      </w:tr>
      <w:tr>
        <w:tblPrEx>
          <w:tblCellMar>
            <w:top w:w="0" w:type="dxa"/>
            <w:left w:w="108" w:type="dxa"/>
            <w:bottom w:w="0" w:type="dxa"/>
            <w:right w:w="108" w:type="dxa"/>
          </w:tblCellMar>
        </w:tblPrEx>
        <w:trPr>
          <w:trHeight w:val="511" w:hRule="atLeast"/>
        </w:trPr>
        <w:tc>
          <w:tcPr>
            <w:tcW w:w="940"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w:t>
            </w:r>
          </w:p>
        </w:tc>
        <w:tc>
          <w:tcPr>
            <w:tcW w:w="4425" w:type="dxa"/>
            <w:gridSpan w:val="3"/>
            <w:tcBorders>
              <w:top w:val="single" w:color="000000" w:sz="8" w:space="0"/>
              <w:left w:val="single" w:color="000000" w:sz="8" w:space="0"/>
              <w:bottom w:val="single" w:color="000000" w:sz="8" w:space="0"/>
              <w:right w:val="nil"/>
            </w:tcBorders>
            <w:noWrap w:val="0"/>
            <w:vAlign w:val="bottom"/>
          </w:tcPr>
          <w:p>
            <w:pPr>
              <w:widowControl/>
              <w:textAlignment w:val="bottom"/>
              <w:rPr>
                <w:rFonts w:hint="eastAsia" w:ascii="仿宋_GB2312" w:hAnsi="仿宋_GB2312" w:eastAsia="仿宋_GB2312" w:cs="仿宋_GB2312"/>
                <w:color w:val="000000"/>
                <w:szCs w:val="21"/>
              </w:rPr>
            </w:pPr>
            <w:r>
              <w:rPr>
                <w:rStyle w:val="36"/>
                <w:rFonts w:hAnsi="仿宋_GB2312"/>
                <w:sz w:val="21"/>
                <w:szCs w:val="21"/>
                <w:lang w:bidi="ar"/>
              </w:rPr>
              <w:t>工会教育经费</w:t>
            </w:r>
            <w:r>
              <w:rPr>
                <w:rStyle w:val="30"/>
                <w:rFonts w:hint="eastAsia" w:ascii="仿宋_GB2312" w:hAnsi="仿宋_GB2312" w:eastAsia="仿宋_GB2312" w:cs="仿宋_GB2312"/>
                <w:sz w:val="21"/>
                <w:szCs w:val="21"/>
                <w:lang w:bidi="ar"/>
              </w:rPr>
              <w:t>=A*3.5%=A*0.035</w:t>
            </w:r>
          </w:p>
        </w:tc>
        <w:tc>
          <w:tcPr>
            <w:tcW w:w="1665" w:type="dxa"/>
            <w:tcBorders>
              <w:top w:val="nil"/>
              <w:left w:val="nil"/>
              <w:bottom w:val="single" w:color="000000" w:sz="8" w:space="0"/>
              <w:right w:val="single" w:color="000000" w:sz="8" w:space="0"/>
            </w:tcBorders>
            <w:noWrap w:val="0"/>
            <w:vAlign w:val="bottom"/>
          </w:tcPr>
          <w:p>
            <w:pPr>
              <w:rPr>
                <w:rFonts w:hint="eastAsia" w:ascii="仿宋_GB2312" w:hAnsi="仿宋_GB2312" w:eastAsia="仿宋_GB2312" w:cs="仿宋_GB2312"/>
                <w:color w:val="000000"/>
                <w:szCs w:val="21"/>
              </w:rPr>
            </w:pPr>
          </w:p>
        </w:tc>
        <w:tc>
          <w:tcPr>
            <w:tcW w:w="207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4326</w:t>
            </w:r>
          </w:p>
        </w:tc>
      </w:tr>
      <w:tr>
        <w:tblPrEx>
          <w:tblCellMar>
            <w:top w:w="0" w:type="dxa"/>
            <w:left w:w="108" w:type="dxa"/>
            <w:bottom w:w="0" w:type="dxa"/>
            <w:right w:w="108" w:type="dxa"/>
          </w:tblCellMar>
        </w:tblPrEx>
        <w:trPr>
          <w:trHeight w:val="450" w:hRule="atLeast"/>
        </w:trPr>
        <w:tc>
          <w:tcPr>
            <w:tcW w:w="940" w:type="dxa"/>
            <w:tcBorders>
              <w:top w:val="nil"/>
              <w:left w:val="single" w:color="000000" w:sz="8" w:space="0"/>
              <w:bottom w:val="single" w:color="000000" w:sz="8" w:space="0"/>
              <w:right w:val="single" w:color="000000" w:sz="8" w:space="0"/>
            </w:tcBorders>
            <w:noWrap w:val="0"/>
            <w:vAlign w:val="bottom"/>
          </w:tcPr>
          <w:p>
            <w:pPr>
              <w:jc w:val="center"/>
              <w:rPr>
                <w:rFonts w:hint="eastAsia" w:ascii="仿宋_GB2312" w:hAnsi="仿宋_GB2312" w:eastAsia="仿宋_GB2312" w:cs="仿宋_GB2312"/>
                <w:color w:val="000000"/>
                <w:szCs w:val="21"/>
              </w:rPr>
            </w:pPr>
          </w:p>
        </w:tc>
        <w:tc>
          <w:tcPr>
            <w:tcW w:w="6090" w:type="dxa"/>
            <w:gridSpan w:val="4"/>
            <w:tcBorders>
              <w:top w:val="single" w:color="000000" w:sz="8" w:space="0"/>
              <w:left w:val="single" w:color="000000" w:sz="8" w:space="0"/>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color w:val="000000"/>
                <w:szCs w:val="21"/>
              </w:rPr>
            </w:pPr>
            <w:r>
              <w:rPr>
                <w:rStyle w:val="36"/>
                <w:rFonts w:hAnsi="仿宋_GB2312"/>
                <w:sz w:val="21"/>
                <w:szCs w:val="21"/>
                <w:lang w:bidi="ar"/>
              </w:rPr>
              <w:t>小计（</w:t>
            </w:r>
            <w:r>
              <w:rPr>
                <w:rStyle w:val="30"/>
                <w:rFonts w:hint="eastAsia" w:ascii="仿宋_GB2312" w:hAnsi="仿宋_GB2312" w:eastAsia="仿宋_GB2312" w:cs="仿宋_GB2312"/>
                <w:sz w:val="21"/>
                <w:szCs w:val="21"/>
                <w:lang w:bidi="ar"/>
              </w:rPr>
              <w:t>A+B+C</w:t>
            </w:r>
            <w:r>
              <w:rPr>
                <w:rStyle w:val="36"/>
                <w:rFonts w:hAnsi="仿宋_GB2312"/>
                <w:sz w:val="21"/>
                <w:szCs w:val="21"/>
                <w:lang w:bidi="ar"/>
              </w:rPr>
              <w:t>）</w:t>
            </w:r>
          </w:p>
        </w:tc>
        <w:tc>
          <w:tcPr>
            <w:tcW w:w="207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181497.6</w:t>
            </w:r>
          </w:p>
        </w:tc>
      </w:tr>
      <w:tr>
        <w:tblPrEx>
          <w:tblCellMar>
            <w:top w:w="0" w:type="dxa"/>
            <w:left w:w="108" w:type="dxa"/>
            <w:bottom w:w="0" w:type="dxa"/>
            <w:right w:w="108" w:type="dxa"/>
          </w:tblCellMar>
        </w:tblPrEx>
        <w:trPr>
          <w:trHeight w:val="432" w:hRule="atLeast"/>
        </w:trPr>
        <w:tc>
          <w:tcPr>
            <w:tcW w:w="940"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D</w:t>
            </w:r>
          </w:p>
        </w:tc>
        <w:tc>
          <w:tcPr>
            <w:tcW w:w="6090" w:type="dxa"/>
            <w:gridSpan w:val="4"/>
            <w:tcBorders>
              <w:top w:val="single" w:color="000000" w:sz="8" w:space="0"/>
              <w:left w:val="single" w:color="000000" w:sz="8" w:space="0"/>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color w:val="000000"/>
                <w:szCs w:val="21"/>
              </w:rPr>
            </w:pPr>
            <w:r>
              <w:rPr>
                <w:rStyle w:val="36"/>
                <w:rFonts w:hAnsi="仿宋_GB2312"/>
                <w:sz w:val="21"/>
                <w:szCs w:val="21"/>
                <w:lang w:bidi="ar"/>
              </w:rPr>
              <w:t>一般纳税人税金</w:t>
            </w:r>
            <w:r>
              <w:rPr>
                <w:rStyle w:val="30"/>
                <w:rFonts w:hint="eastAsia" w:ascii="仿宋_GB2312" w:hAnsi="仿宋_GB2312" w:eastAsia="仿宋_GB2312" w:cs="仿宋_GB2312"/>
                <w:sz w:val="21"/>
                <w:szCs w:val="21"/>
                <w:lang w:bidi="ar"/>
              </w:rPr>
              <w:t>=</w:t>
            </w:r>
            <w:r>
              <w:rPr>
                <w:rStyle w:val="36"/>
                <w:rFonts w:hAnsi="仿宋_GB2312"/>
                <w:sz w:val="21"/>
                <w:szCs w:val="21"/>
                <w:lang w:bidi="ar"/>
              </w:rPr>
              <w:t>（</w:t>
            </w:r>
            <w:r>
              <w:rPr>
                <w:rStyle w:val="30"/>
                <w:rFonts w:hint="eastAsia" w:ascii="仿宋_GB2312" w:hAnsi="仿宋_GB2312" w:eastAsia="仿宋_GB2312" w:cs="仿宋_GB2312"/>
                <w:sz w:val="21"/>
                <w:szCs w:val="21"/>
                <w:lang w:bidi="ar"/>
              </w:rPr>
              <w:t>A+B+C</w:t>
            </w:r>
            <w:r>
              <w:rPr>
                <w:rStyle w:val="36"/>
                <w:rFonts w:hAnsi="仿宋_GB2312"/>
                <w:sz w:val="21"/>
                <w:szCs w:val="21"/>
                <w:lang w:bidi="ar"/>
              </w:rPr>
              <w:t>）</w:t>
            </w:r>
            <w:r>
              <w:rPr>
                <w:rStyle w:val="30"/>
                <w:rFonts w:hint="eastAsia" w:ascii="仿宋_GB2312" w:hAnsi="仿宋_GB2312" w:eastAsia="仿宋_GB2312" w:cs="仿宋_GB2312"/>
                <w:sz w:val="21"/>
                <w:szCs w:val="21"/>
                <w:lang w:bidi="ar"/>
              </w:rPr>
              <w:t>*6.72%=(A+B+C)*0.0672</w:t>
            </w:r>
          </w:p>
        </w:tc>
        <w:tc>
          <w:tcPr>
            <w:tcW w:w="207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12196.64</w:t>
            </w:r>
          </w:p>
        </w:tc>
      </w:tr>
      <w:tr>
        <w:tblPrEx>
          <w:tblCellMar>
            <w:top w:w="0" w:type="dxa"/>
            <w:left w:w="108" w:type="dxa"/>
            <w:bottom w:w="0" w:type="dxa"/>
            <w:right w:w="108" w:type="dxa"/>
          </w:tblCellMar>
        </w:tblPrEx>
        <w:trPr>
          <w:trHeight w:val="491" w:hRule="atLeast"/>
        </w:trPr>
        <w:tc>
          <w:tcPr>
            <w:tcW w:w="7030" w:type="dxa"/>
            <w:gridSpan w:val="5"/>
            <w:tcBorders>
              <w:top w:val="single" w:color="000000" w:sz="8" w:space="0"/>
              <w:left w:val="single" w:color="000000" w:sz="8" w:space="0"/>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b/>
                <w:bCs/>
                <w:color w:val="000000"/>
                <w:szCs w:val="21"/>
              </w:rPr>
            </w:pPr>
            <w:r>
              <w:rPr>
                <w:rStyle w:val="37"/>
                <w:rFonts w:hAnsi="仿宋_GB2312"/>
                <w:sz w:val="21"/>
                <w:szCs w:val="21"/>
                <w:lang w:bidi="ar"/>
              </w:rPr>
              <w:t>总计（</w:t>
            </w:r>
            <w:r>
              <w:rPr>
                <w:rStyle w:val="31"/>
                <w:rFonts w:hint="eastAsia" w:ascii="仿宋_GB2312" w:hAnsi="仿宋_GB2312" w:eastAsia="仿宋_GB2312" w:cs="仿宋_GB2312"/>
                <w:sz w:val="21"/>
                <w:szCs w:val="21"/>
                <w:lang w:bidi="ar"/>
              </w:rPr>
              <w:t>A+B+C+D</w:t>
            </w:r>
            <w:r>
              <w:rPr>
                <w:rStyle w:val="37"/>
                <w:rFonts w:hAnsi="仿宋_GB2312"/>
                <w:sz w:val="21"/>
                <w:szCs w:val="21"/>
                <w:lang w:bidi="ar"/>
              </w:rPr>
              <w:t>）</w:t>
            </w:r>
          </w:p>
        </w:tc>
        <w:tc>
          <w:tcPr>
            <w:tcW w:w="207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193694.24</w:t>
            </w:r>
          </w:p>
        </w:tc>
      </w:tr>
    </w:tbl>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政策性费用测算表如下：</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br w:type="page"/>
      </w:r>
    </w:p>
    <w:tbl>
      <w:tblPr>
        <w:tblStyle w:val="19"/>
        <w:tblpPr w:leftFromText="180" w:rightFromText="180" w:vertAnchor="text" w:horzAnchor="page" w:tblpX="1435" w:tblpY="357"/>
        <w:tblOverlap w:val="never"/>
        <w:tblW w:w="9135" w:type="dxa"/>
        <w:tblInd w:w="0" w:type="dxa"/>
        <w:tblLayout w:type="fixed"/>
        <w:tblCellMar>
          <w:top w:w="0" w:type="dxa"/>
          <w:left w:w="108" w:type="dxa"/>
          <w:bottom w:w="0" w:type="dxa"/>
          <w:right w:w="108" w:type="dxa"/>
        </w:tblCellMar>
      </w:tblPr>
      <w:tblGrid>
        <w:gridCol w:w="924"/>
        <w:gridCol w:w="1774"/>
        <w:gridCol w:w="1016"/>
        <w:gridCol w:w="1656"/>
        <w:gridCol w:w="1710"/>
        <w:gridCol w:w="2055"/>
      </w:tblGrid>
      <w:tr>
        <w:trPr>
          <w:trHeight w:val="840" w:hRule="atLeast"/>
        </w:trPr>
        <w:tc>
          <w:tcPr>
            <w:tcW w:w="9135" w:type="dxa"/>
            <w:gridSpan w:val="6"/>
            <w:tcBorders>
              <w:top w:val="nil"/>
              <w:left w:val="nil"/>
              <w:bottom w:val="single" w:color="000000" w:sz="8" w:space="0"/>
              <w:right w:val="nil"/>
            </w:tcBorders>
            <w:noWrap/>
            <w:vAlign w:val="bottom"/>
          </w:tcPr>
          <w:p>
            <w:pPr>
              <w:widowControl/>
              <w:jc w:val="left"/>
              <w:textAlignment w:val="bottom"/>
              <w:rPr>
                <w:rFonts w:hint="eastAsia" w:ascii="宋体" w:hAnsi="宋体" w:cs="宋体"/>
                <w:color w:val="000000"/>
                <w:sz w:val="52"/>
                <w:szCs w:val="52"/>
              </w:rPr>
            </w:pPr>
            <w:r>
              <w:rPr>
                <w:rFonts w:hint="eastAsia" w:ascii="宋体" w:hAnsi="宋体" w:eastAsia="宋体" w:cs="宋体"/>
                <w:b/>
                <w:bCs/>
                <w:color w:val="000000"/>
                <w:kern w:val="0"/>
                <w:sz w:val="24"/>
                <w:szCs w:val="24"/>
                <w:lang w:bidi="ar"/>
              </w:rPr>
              <w:t>小规模纳税人</w:t>
            </w:r>
          </w:p>
        </w:tc>
      </w:tr>
      <w:tr>
        <w:tblPrEx>
          <w:tblCellMar>
            <w:top w:w="0" w:type="dxa"/>
            <w:left w:w="108" w:type="dxa"/>
            <w:bottom w:w="0" w:type="dxa"/>
            <w:right w:w="108" w:type="dxa"/>
          </w:tblCellMar>
        </w:tblPrEx>
        <w:trPr>
          <w:trHeight w:val="465" w:hRule="atLeast"/>
        </w:trPr>
        <w:tc>
          <w:tcPr>
            <w:tcW w:w="924" w:type="dxa"/>
            <w:tcBorders>
              <w:top w:val="single" w:color="000000" w:sz="8" w:space="0"/>
              <w:left w:val="single" w:color="000000" w:sz="8" w:space="0"/>
              <w:bottom w:val="single" w:color="000000" w:sz="8" w:space="0"/>
              <w:right w:val="single" w:color="000000" w:sz="8" w:space="0"/>
            </w:tcBorders>
            <w:noWrap w:val="0"/>
            <w:vAlign w:val="bottom"/>
          </w:tcPr>
          <w:p>
            <w:pPr>
              <w:rPr>
                <w:rFonts w:hint="eastAsia" w:ascii="仿宋_GB2312" w:hAnsi="仿宋_GB2312" w:eastAsia="仿宋_GB2312" w:cs="仿宋_GB2312"/>
                <w:color w:val="000000"/>
                <w:szCs w:val="21"/>
              </w:rPr>
            </w:pPr>
          </w:p>
        </w:tc>
        <w:tc>
          <w:tcPr>
            <w:tcW w:w="1774"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缴费项目</w:t>
            </w:r>
          </w:p>
        </w:tc>
        <w:tc>
          <w:tcPr>
            <w:tcW w:w="1016"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人数</w:t>
            </w:r>
          </w:p>
        </w:tc>
        <w:tc>
          <w:tcPr>
            <w:tcW w:w="1656"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费用</w:t>
            </w:r>
          </w:p>
        </w:tc>
        <w:tc>
          <w:tcPr>
            <w:tcW w:w="1710"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月</w:t>
            </w:r>
          </w:p>
        </w:tc>
        <w:tc>
          <w:tcPr>
            <w:tcW w:w="2055" w:type="dxa"/>
            <w:tcBorders>
              <w:top w:val="single" w:color="000000" w:sz="8" w:space="0"/>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小计</w:t>
            </w:r>
          </w:p>
        </w:tc>
      </w:tr>
      <w:tr>
        <w:tblPrEx>
          <w:tblCellMar>
            <w:top w:w="0" w:type="dxa"/>
            <w:left w:w="108" w:type="dxa"/>
            <w:bottom w:w="0" w:type="dxa"/>
            <w:right w:w="108" w:type="dxa"/>
          </w:tblCellMar>
        </w:tblPrEx>
        <w:trPr>
          <w:trHeight w:val="521" w:hRule="atLeast"/>
        </w:trPr>
        <w:tc>
          <w:tcPr>
            <w:tcW w:w="92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A</w:t>
            </w:r>
          </w:p>
        </w:tc>
        <w:tc>
          <w:tcPr>
            <w:tcW w:w="1774" w:type="dxa"/>
            <w:tcBorders>
              <w:top w:val="nil"/>
              <w:left w:val="nil"/>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最低人员工资</w:t>
            </w:r>
          </w:p>
        </w:tc>
        <w:tc>
          <w:tcPr>
            <w:tcW w:w="1016"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5</w:t>
            </w:r>
          </w:p>
        </w:tc>
        <w:tc>
          <w:tcPr>
            <w:tcW w:w="1656"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default" w:ascii="仿宋_GB2312" w:hAnsi="仿宋_GB2312" w:eastAsia="仿宋_GB2312" w:cs="仿宋_GB2312"/>
                <w:color w:val="000000"/>
                <w:kern w:val="0"/>
                <w:szCs w:val="21"/>
                <w:lang w:val="en-US" w:eastAsia="zh-CN" w:bidi="ar"/>
              </w:rPr>
              <w:t>2060</w:t>
            </w:r>
          </w:p>
        </w:tc>
        <w:tc>
          <w:tcPr>
            <w:tcW w:w="1710"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205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123600</w:t>
            </w:r>
          </w:p>
        </w:tc>
      </w:tr>
      <w:tr>
        <w:tblPrEx>
          <w:tblCellMar>
            <w:top w:w="0" w:type="dxa"/>
            <w:left w:w="108" w:type="dxa"/>
            <w:bottom w:w="0" w:type="dxa"/>
            <w:right w:w="108" w:type="dxa"/>
          </w:tblCellMar>
        </w:tblPrEx>
        <w:trPr>
          <w:trHeight w:val="470" w:hRule="atLeast"/>
        </w:trPr>
        <w:tc>
          <w:tcPr>
            <w:tcW w:w="92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B</w:t>
            </w:r>
          </w:p>
        </w:tc>
        <w:tc>
          <w:tcPr>
            <w:tcW w:w="1774" w:type="dxa"/>
            <w:tcBorders>
              <w:top w:val="nil"/>
              <w:left w:val="nil"/>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社会保险</w:t>
            </w:r>
          </w:p>
        </w:tc>
        <w:tc>
          <w:tcPr>
            <w:tcW w:w="1016"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5</w:t>
            </w:r>
          </w:p>
        </w:tc>
        <w:tc>
          <w:tcPr>
            <w:tcW w:w="1656"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default" w:ascii="仿宋_GB2312" w:hAnsi="仿宋_GB2312" w:eastAsia="仿宋_GB2312" w:cs="仿宋_GB2312"/>
                <w:color w:val="000000"/>
                <w:kern w:val="0"/>
                <w:szCs w:val="21"/>
                <w:lang w:val="en-US" w:eastAsia="zh-CN" w:bidi="ar"/>
              </w:rPr>
              <w:t>892.86</w:t>
            </w:r>
          </w:p>
        </w:tc>
        <w:tc>
          <w:tcPr>
            <w:tcW w:w="1710"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205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53571.6</w:t>
            </w:r>
          </w:p>
        </w:tc>
      </w:tr>
      <w:tr>
        <w:tblPrEx>
          <w:tblCellMar>
            <w:top w:w="0" w:type="dxa"/>
            <w:left w:w="108" w:type="dxa"/>
            <w:bottom w:w="0" w:type="dxa"/>
            <w:right w:w="108" w:type="dxa"/>
          </w:tblCellMar>
        </w:tblPrEx>
        <w:trPr>
          <w:trHeight w:val="525" w:hRule="atLeast"/>
        </w:trPr>
        <w:tc>
          <w:tcPr>
            <w:tcW w:w="92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w:t>
            </w:r>
          </w:p>
        </w:tc>
        <w:tc>
          <w:tcPr>
            <w:tcW w:w="4446" w:type="dxa"/>
            <w:gridSpan w:val="3"/>
            <w:tcBorders>
              <w:top w:val="single" w:color="000000" w:sz="8" w:space="0"/>
              <w:left w:val="single" w:color="000000" w:sz="8" w:space="0"/>
              <w:bottom w:val="single" w:color="000000" w:sz="8" w:space="0"/>
              <w:right w:val="nil"/>
            </w:tcBorders>
            <w:noWrap w:val="0"/>
            <w:vAlign w:val="bottom"/>
          </w:tcPr>
          <w:p>
            <w:pPr>
              <w:widowControl/>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工会教育经费=A*3.5%=A*0.035</w:t>
            </w:r>
          </w:p>
        </w:tc>
        <w:tc>
          <w:tcPr>
            <w:tcW w:w="1710" w:type="dxa"/>
            <w:tcBorders>
              <w:top w:val="nil"/>
              <w:left w:val="nil"/>
              <w:bottom w:val="single" w:color="000000" w:sz="8" w:space="0"/>
              <w:right w:val="single" w:color="000000" w:sz="8" w:space="0"/>
            </w:tcBorders>
            <w:noWrap w:val="0"/>
            <w:vAlign w:val="bottom"/>
          </w:tcPr>
          <w:p>
            <w:pPr>
              <w:rPr>
                <w:rFonts w:hint="eastAsia" w:ascii="仿宋_GB2312" w:hAnsi="仿宋_GB2312" w:eastAsia="仿宋_GB2312" w:cs="仿宋_GB2312"/>
                <w:color w:val="000000"/>
                <w:szCs w:val="21"/>
              </w:rPr>
            </w:pPr>
          </w:p>
        </w:tc>
        <w:tc>
          <w:tcPr>
            <w:tcW w:w="205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4326</w:t>
            </w:r>
          </w:p>
        </w:tc>
      </w:tr>
      <w:tr>
        <w:tblPrEx>
          <w:tblCellMar>
            <w:top w:w="0" w:type="dxa"/>
            <w:left w:w="108" w:type="dxa"/>
            <w:bottom w:w="0" w:type="dxa"/>
            <w:right w:w="108" w:type="dxa"/>
          </w:tblCellMar>
        </w:tblPrEx>
        <w:trPr>
          <w:trHeight w:val="518" w:hRule="atLeast"/>
        </w:trPr>
        <w:tc>
          <w:tcPr>
            <w:tcW w:w="924" w:type="dxa"/>
            <w:tcBorders>
              <w:top w:val="nil"/>
              <w:left w:val="single" w:color="000000" w:sz="8" w:space="0"/>
              <w:bottom w:val="single" w:color="000000" w:sz="8" w:space="0"/>
              <w:right w:val="single" w:color="000000" w:sz="8" w:space="0"/>
            </w:tcBorders>
            <w:noWrap w:val="0"/>
            <w:vAlign w:val="bottom"/>
          </w:tcPr>
          <w:p>
            <w:pPr>
              <w:jc w:val="center"/>
              <w:rPr>
                <w:rFonts w:hint="eastAsia" w:ascii="仿宋_GB2312" w:hAnsi="仿宋_GB2312" w:eastAsia="仿宋_GB2312" w:cs="仿宋_GB2312"/>
                <w:color w:val="000000"/>
                <w:szCs w:val="21"/>
              </w:rPr>
            </w:pPr>
          </w:p>
        </w:tc>
        <w:tc>
          <w:tcPr>
            <w:tcW w:w="6156" w:type="dxa"/>
            <w:gridSpan w:val="4"/>
            <w:tcBorders>
              <w:top w:val="single" w:color="000000" w:sz="8" w:space="0"/>
              <w:left w:val="single" w:color="000000" w:sz="8" w:space="0"/>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小计（A+B+C）</w:t>
            </w:r>
          </w:p>
        </w:tc>
        <w:tc>
          <w:tcPr>
            <w:tcW w:w="205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181497.6</w:t>
            </w:r>
          </w:p>
        </w:tc>
      </w:tr>
      <w:tr>
        <w:tblPrEx>
          <w:tblCellMar>
            <w:top w:w="0" w:type="dxa"/>
            <w:left w:w="108" w:type="dxa"/>
            <w:bottom w:w="0" w:type="dxa"/>
            <w:right w:w="108" w:type="dxa"/>
          </w:tblCellMar>
        </w:tblPrEx>
        <w:trPr>
          <w:trHeight w:val="514" w:hRule="atLeast"/>
        </w:trPr>
        <w:tc>
          <w:tcPr>
            <w:tcW w:w="92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D</w:t>
            </w:r>
          </w:p>
        </w:tc>
        <w:tc>
          <w:tcPr>
            <w:tcW w:w="6156" w:type="dxa"/>
            <w:gridSpan w:val="4"/>
            <w:tcBorders>
              <w:top w:val="single" w:color="000000" w:sz="8" w:space="0"/>
              <w:left w:val="single" w:color="000000" w:sz="8" w:space="0"/>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小规模纳税人税金=（A+B+C）*3.36%=(A+B+C)*0.0336</w:t>
            </w:r>
          </w:p>
        </w:tc>
        <w:tc>
          <w:tcPr>
            <w:tcW w:w="205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6098.32</w:t>
            </w:r>
          </w:p>
        </w:tc>
      </w:tr>
      <w:tr>
        <w:tblPrEx>
          <w:tblCellMar>
            <w:top w:w="0" w:type="dxa"/>
            <w:left w:w="108" w:type="dxa"/>
            <w:bottom w:w="0" w:type="dxa"/>
            <w:right w:w="108" w:type="dxa"/>
          </w:tblCellMar>
        </w:tblPrEx>
        <w:trPr>
          <w:trHeight w:val="478" w:hRule="atLeast"/>
        </w:trPr>
        <w:tc>
          <w:tcPr>
            <w:tcW w:w="7080" w:type="dxa"/>
            <w:gridSpan w:val="5"/>
            <w:tcBorders>
              <w:top w:val="single" w:color="000000" w:sz="8" w:space="0"/>
              <w:left w:val="single" w:color="000000" w:sz="8" w:space="0"/>
              <w:bottom w:val="single" w:color="000000" w:sz="8" w:space="0"/>
              <w:right w:val="single" w:color="000000" w:sz="8" w:space="0"/>
            </w:tcBorders>
            <w:noWrap w:val="0"/>
            <w:vAlign w:val="bottom"/>
          </w:tcPr>
          <w:p>
            <w:pPr>
              <w:widowControl/>
              <w:textAlignment w:val="bottom"/>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总计（A+B+C+D）</w:t>
            </w:r>
          </w:p>
        </w:tc>
        <w:tc>
          <w:tcPr>
            <w:tcW w:w="2055"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187595.92</w:t>
            </w:r>
          </w:p>
        </w:tc>
      </w:tr>
    </w:tbl>
    <w:p>
      <w:pPr>
        <w:spacing w:line="360" w:lineRule="auto"/>
        <w:rPr>
          <w:rFonts w:hint="eastAsia" w:ascii="宋体" w:hAnsi="宋体" w:cs="宋体"/>
          <w:b/>
          <w:bCs/>
          <w:sz w:val="24"/>
          <w:szCs w:val="24"/>
        </w:rPr>
      </w:pPr>
      <w:r>
        <w:rPr>
          <w:rFonts w:hint="eastAsia" w:ascii="宋体" w:hAnsi="宋体" w:cs="宋体"/>
          <w:b/>
          <w:bCs/>
          <w:sz w:val="24"/>
          <w:szCs w:val="24"/>
        </w:rPr>
        <w:t>备注：如投标人以小规模纳税人税金费率报价，投标文件中须提供税务部门出具的小规模纳税人证明材料（如：企业税种核定材料等），否则将导致投标无效。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（1）人员工资不低于合肥市市区最低工资标准（2060元/人/月）。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（2）社会保险（五险）缴费基数最低为3832元，计算缴费金额以每人每月为基数。社会保险（五险）企业缴纳费用（缴费费率：23.3%）组成为：养老保险16%、工伤保险0.4%、失业保险0.5%、医疗保险6.4%。</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（3）一般纳税人税金 6.72%；小规模纳税人税金 3.36%；</w:t>
      </w:r>
      <w:r>
        <w:rPr>
          <w:rFonts w:hint="eastAsia" w:ascii="宋体" w:hAnsi="宋体" w:cs="宋体"/>
          <w:b/>
          <w:bCs/>
          <w:sz w:val="24"/>
          <w:szCs w:val="24"/>
        </w:rPr>
        <w:t>如投标供应商以小规模纳税人税金费率报价，投标文件中须提供税务部门出具的小规模纳税人证明材料（如：企业税种核定材料等），否则将导致投标无效。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（4）请投标供应商自行核算以上政策性费用，如投标供应商对以上费用有疑问，请在本项目答疑期内提出。如无疑问，投标报价应不低于上述政策性费用价格，否则将导致投标无效。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（5）政策性费用不接受赠送及优惠，其他相关项，作为可竞争费用，可由投标供应商自行报价。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（6）供应商应自行踏勘服务现场，如供应商因未及时踏勘现场而导致的报价缺项漏项或成交后无法兑现服务，供应商自行承担一切后果。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（7）供应商应考虑合同期内政策性费用调整的风险。报价应考虑合肥市最低工资标准上调等风险，履约期限内不得以最低工资标准上调以及物价指数上涨等理由增加费用。</w:t>
      </w:r>
    </w:p>
    <w:p>
      <w:pPr>
        <w:spacing w:line="360" w:lineRule="auto"/>
        <w:ind w:firstLine="480" w:firstLineChars="200"/>
        <w:rPr>
          <w:rFonts w:hint="eastAsia" w:ascii="宋体" w:hAnsi="宋体" w:cs="宋体"/>
          <w:b/>
          <w:kern w:val="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其他未尽事宜，双方协商解决，经协商不成的，按合同有关规定处理。</w:t>
      </w:r>
    </w:p>
    <w:p>
      <w:pPr>
        <w:spacing w:line="360" w:lineRule="auto"/>
        <w:ind w:firstLine="482" w:firstLineChars="200"/>
        <w:rPr>
          <w:rFonts w:ascii="宋体" w:hAnsi="宋体"/>
          <w:b/>
          <w:bCs/>
          <w:sz w:val="24"/>
          <w:szCs w:val="24"/>
        </w:rPr>
      </w:pPr>
      <w:r>
        <w:rPr>
          <w:rFonts w:hint="eastAsia" w:ascii="宋体" w:hAnsi="宋体" w:cs="宋体"/>
          <w:b/>
          <w:kern w:val="0"/>
          <w:sz w:val="24"/>
          <w:szCs w:val="24"/>
        </w:rPr>
        <w:t>附件1 ：投标分项报价表</w:t>
      </w:r>
    </w:p>
    <w:tbl>
      <w:tblPr>
        <w:tblStyle w:val="19"/>
        <w:tblpPr w:leftFromText="180" w:rightFromText="180" w:vertAnchor="text" w:horzAnchor="margin" w:tblpXSpec="center" w:tblpY="326"/>
        <w:tblOverlap w:val="never"/>
        <w:tblW w:w="8626" w:type="dxa"/>
        <w:tblInd w:w="1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797"/>
        <w:gridCol w:w="763"/>
        <w:gridCol w:w="791"/>
        <w:gridCol w:w="1528"/>
        <w:gridCol w:w="143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679" w:type="dxa"/>
            <w:noWrap w:val="0"/>
            <w:vAlign w:val="center"/>
          </w:tcPr>
          <w:p>
            <w:pPr>
              <w:widowControl/>
              <w:jc w:val="center"/>
              <w:textAlignment w:val="center"/>
              <w:rPr>
                <w:rFonts w:ascii="宋体" w:hAnsi="宋体" w:cs="仿宋_GB2312"/>
                <w:b/>
                <w:kern w:val="0"/>
                <w:sz w:val="24"/>
                <w:szCs w:val="24"/>
                <w:lang w:bidi="ar"/>
              </w:rPr>
            </w:pPr>
            <w:r>
              <w:rPr>
                <w:rFonts w:hint="eastAsia" w:ascii="宋体" w:hAnsi="宋体" w:cs="仿宋_GB2312"/>
                <w:b/>
                <w:kern w:val="0"/>
                <w:sz w:val="24"/>
                <w:szCs w:val="24"/>
                <w:lang w:bidi="ar"/>
              </w:rPr>
              <w:t>序号</w:t>
            </w:r>
          </w:p>
        </w:tc>
        <w:tc>
          <w:tcPr>
            <w:tcW w:w="1797" w:type="dxa"/>
            <w:noWrap w:val="0"/>
            <w:tcMar>
              <w:top w:w="15" w:type="dxa"/>
              <w:left w:w="15" w:type="dxa"/>
              <w:right w:w="15" w:type="dxa"/>
            </w:tcMar>
            <w:vAlign w:val="center"/>
          </w:tcPr>
          <w:p>
            <w:pPr>
              <w:widowControl/>
              <w:jc w:val="center"/>
              <w:textAlignment w:val="center"/>
              <w:rPr>
                <w:rFonts w:ascii="宋体" w:hAnsi="宋体" w:cs="仿宋_GB2312"/>
                <w:b/>
                <w:sz w:val="24"/>
                <w:szCs w:val="24"/>
              </w:rPr>
            </w:pPr>
            <w:r>
              <w:rPr>
                <w:rFonts w:hint="eastAsia" w:ascii="宋体" w:hAnsi="宋体" w:cs="仿宋_GB2312"/>
                <w:b/>
                <w:kern w:val="0"/>
                <w:sz w:val="24"/>
                <w:szCs w:val="24"/>
                <w:lang w:bidi="ar"/>
              </w:rPr>
              <w:t>岗位</w:t>
            </w:r>
          </w:p>
        </w:tc>
        <w:tc>
          <w:tcPr>
            <w:tcW w:w="763" w:type="dxa"/>
            <w:noWrap w:val="0"/>
            <w:tcMar>
              <w:top w:w="15" w:type="dxa"/>
              <w:left w:w="15" w:type="dxa"/>
              <w:right w:w="15" w:type="dxa"/>
            </w:tcMar>
            <w:vAlign w:val="center"/>
          </w:tcPr>
          <w:p>
            <w:pPr>
              <w:widowControl/>
              <w:jc w:val="center"/>
              <w:textAlignment w:val="center"/>
              <w:rPr>
                <w:rFonts w:hint="eastAsia" w:ascii="宋体" w:hAnsi="宋体" w:cs="仿宋_GB2312"/>
                <w:b/>
                <w:kern w:val="0"/>
                <w:sz w:val="24"/>
                <w:szCs w:val="24"/>
                <w:lang w:bidi="ar"/>
              </w:rPr>
            </w:pPr>
            <w:r>
              <w:rPr>
                <w:rFonts w:hint="eastAsia" w:ascii="宋体" w:hAnsi="宋体" w:cs="仿宋_GB2312"/>
                <w:b/>
                <w:kern w:val="0"/>
                <w:sz w:val="24"/>
                <w:szCs w:val="24"/>
                <w:lang w:bidi="ar"/>
              </w:rPr>
              <w:t>暂定</w:t>
            </w:r>
          </w:p>
          <w:p>
            <w:pPr>
              <w:widowControl/>
              <w:jc w:val="center"/>
              <w:textAlignment w:val="center"/>
              <w:rPr>
                <w:rFonts w:ascii="宋体" w:hAnsi="宋体" w:cs="仿宋_GB2312"/>
                <w:b/>
                <w:kern w:val="0"/>
                <w:sz w:val="24"/>
                <w:szCs w:val="24"/>
                <w:lang w:bidi="ar"/>
              </w:rPr>
            </w:pPr>
            <w:r>
              <w:rPr>
                <w:rFonts w:hint="eastAsia" w:ascii="宋体" w:hAnsi="宋体" w:cs="仿宋_GB2312"/>
                <w:b/>
                <w:kern w:val="0"/>
                <w:sz w:val="24"/>
                <w:szCs w:val="24"/>
                <w:lang w:bidi="ar"/>
              </w:rPr>
              <w:t>人数</w:t>
            </w:r>
          </w:p>
          <w:p>
            <w:pPr>
              <w:widowControl/>
              <w:jc w:val="center"/>
              <w:textAlignment w:val="center"/>
              <w:rPr>
                <w:rFonts w:ascii="宋体" w:hAnsi="宋体" w:cs="仿宋_GB2312"/>
                <w:b/>
                <w:sz w:val="24"/>
                <w:szCs w:val="24"/>
              </w:rPr>
            </w:pPr>
            <w:r>
              <w:rPr>
                <w:rFonts w:hint="eastAsia" w:ascii="宋体" w:hAnsi="宋体" w:cs="仿宋_GB2312"/>
                <w:b/>
                <w:kern w:val="0"/>
                <w:sz w:val="24"/>
                <w:szCs w:val="24"/>
                <w:lang w:bidi="ar"/>
              </w:rPr>
              <w:t>（人）</w:t>
            </w:r>
          </w:p>
        </w:tc>
        <w:tc>
          <w:tcPr>
            <w:tcW w:w="791" w:type="dxa"/>
            <w:noWrap w:val="0"/>
            <w:vAlign w:val="center"/>
          </w:tcPr>
          <w:p>
            <w:pPr>
              <w:widowControl/>
              <w:jc w:val="center"/>
              <w:textAlignment w:val="center"/>
              <w:rPr>
                <w:rFonts w:hint="eastAsia" w:ascii="宋体" w:hAnsi="宋体" w:cs="仿宋_GB2312"/>
                <w:b/>
                <w:sz w:val="24"/>
                <w:szCs w:val="24"/>
              </w:rPr>
            </w:pPr>
            <w:r>
              <w:rPr>
                <w:rFonts w:hint="eastAsia" w:ascii="宋体" w:hAnsi="宋体" w:cs="仿宋_GB2312"/>
                <w:b/>
                <w:sz w:val="24"/>
                <w:szCs w:val="24"/>
              </w:rPr>
              <w:t>期限</w:t>
            </w:r>
          </w:p>
          <w:p>
            <w:pPr>
              <w:widowControl/>
              <w:jc w:val="center"/>
              <w:textAlignment w:val="center"/>
              <w:rPr>
                <w:rFonts w:ascii="宋体" w:hAnsi="宋体" w:cs="仿宋_GB2312"/>
                <w:b/>
                <w:sz w:val="24"/>
                <w:szCs w:val="24"/>
              </w:rPr>
            </w:pPr>
            <w:r>
              <w:rPr>
                <w:rFonts w:hint="eastAsia" w:ascii="宋体" w:hAnsi="宋体" w:cs="仿宋_GB2312"/>
                <w:b/>
                <w:sz w:val="24"/>
                <w:szCs w:val="24"/>
              </w:rPr>
              <w:t>（月）</w:t>
            </w:r>
          </w:p>
        </w:tc>
        <w:tc>
          <w:tcPr>
            <w:tcW w:w="1528" w:type="dxa"/>
            <w:noWrap w:val="0"/>
            <w:tcMar>
              <w:top w:w="15" w:type="dxa"/>
              <w:left w:w="15" w:type="dxa"/>
              <w:right w:w="15" w:type="dxa"/>
            </w:tcMar>
            <w:vAlign w:val="center"/>
          </w:tcPr>
          <w:p>
            <w:pPr>
              <w:widowControl/>
              <w:jc w:val="center"/>
              <w:textAlignment w:val="center"/>
              <w:rPr>
                <w:rFonts w:hint="eastAsia" w:ascii="宋体" w:hAnsi="宋体" w:cs="仿宋_GB2312"/>
                <w:b/>
                <w:sz w:val="24"/>
                <w:szCs w:val="24"/>
              </w:rPr>
            </w:pPr>
            <w:r>
              <w:rPr>
                <w:rFonts w:hint="eastAsia" w:ascii="宋体" w:hAnsi="宋体" w:cs="仿宋_GB2312"/>
                <w:b/>
                <w:sz w:val="24"/>
                <w:szCs w:val="24"/>
                <w:lang w:val="en-US" w:eastAsia="zh-CN"/>
              </w:rPr>
              <w:t>岗位</w:t>
            </w:r>
            <w:r>
              <w:rPr>
                <w:rFonts w:hint="eastAsia" w:ascii="宋体" w:hAnsi="宋体" w:cs="仿宋_GB2312"/>
                <w:b/>
                <w:sz w:val="24"/>
                <w:szCs w:val="24"/>
              </w:rPr>
              <w:t>最高投标限价</w:t>
            </w:r>
          </w:p>
          <w:p>
            <w:pPr>
              <w:widowControl/>
              <w:jc w:val="center"/>
              <w:textAlignment w:val="center"/>
              <w:rPr>
                <w:rFonts w:hint="eastAsia" w:ascii="宋体" w:hAnsi="宋体" w:cs="仿宋_GB2312"/>
                <w:b/>
                <w:sz w:val="24"/>
                <w:szCs w:val="24"/>
              </w:rPr>
            </w:pPr>
            <w:r>
              <w:rPr>
                <w:rFonts w:hint="eastAsia" w:ascii="宋体" w:hAnsi="宋体" w:cs="仿宋_GB2312"/>
                <w:b/>
                <w:sz w:val="24"/>
                <w:szCs w:val="24"/>
              </w:rPr>
              <w:t>（</w:t>
            </w:r>
            <w:r>
              <w:rPr>
                <w:rFonts w:hint="eastAsia" w:ascii="宋体" w:hAnsi="宋体" w:cs="宋体"/>
                <w:b/>
                <w:kern w:val="0"/>
                <w:sz w:val="24"/>
                <w:szCs w:val="24"/>
                <w:lang w:bidi="ar"/>
              </w:rPr>
              <w:t>元/人·月</w:t>
            </w:r>
            <w:r>
              <w:rPr>
                <w:rFonts w:hint="eastAsia" w:ascii="宋体" w:hAnsi="宋体" w:cs="仿宋_GB2312"/>
                <w:b/>
                <w:sz w:val="24"/>
                <w:szCs w:val="24"/>
              </w:rPr>
              <w:t>）</w:t>
            </w:r>
          </w:p>
        </w:tc>
        <w:tc>
          <w:tcPr>
            <w:tcW w:w="1431" w:type="dxa"/>
            <w:noWrap w:val="0"/>
            <w:tcMar>
              <w:top w:w="15" w:type="dxa"/>
              <w:left w:w="15" w:type="dxa"/>
              <w:right w:w="15" w:type="dxa"/>
            </w:tcMar>
            <w:vAlign w:val="center"/>
          </w:tcPr>
          <w:p>
            <w:pPr>
              <w:widowControl/>
              <w:jc w:val="center"/>
              <w:textAlignment w:val="center"/>
              <w:rPr>
                <w:rFonts w:hint="eastAsia" w:ascii="宋体" w:hAnsi="宋体" w:cs="仿宋_GB2312"/>
                <w:b/>
                <w:sz w:val="24"/>
                <w:szCs w:val="24"/>
              </w:rPr>
            </w:pPr>
            <w:r>
              <w:rPr>
                <w:rFonts w:hint="eastAsia" w:ascii="宋体" w:hAnsi="宋体" w:cs="宋体"/>
                <w:b/>
                <w:kern w:val="0"/>
                <w:sz w:val="24"/>
                <w:szCs w:val="24"/>
                <w:lang w:bidi="ar"/>
              </w:rPr>
              <w:t>综合单价</w:t>
            </w:r>
          </w:p>
          <w:p>
            <w:pPr>
              <w:widowControl/>
              <w:jc w:val="center"/>
              <w:textAlignment w:val="center"/>
              <w:rPr>
                <w:rFonts w:hint="eastAsia" w:ascii="宋体" w:hAnsi="宋体" w:cs="宋体"/>
                <w:b/>
                <w:kern w:val="0"/>
                <w:sz w:val="24"/>
                <w:szCs w:val="24"/>
                <w:lang w:bidi="ar"/>
              </w:rPr>
            </w:pPr>
            <w:r>
              <w:rPr>
                <w:rFonts w:hint="eastAsia" w:ascii="宋体" w:hAnsi="宋体" w:cs="宋体"/>
                <w:b/>
                <w:kern w:val="0"/>
                <w:sz w:val="24"/>
                <w:szCs w:val="24"/>
                <w:lang w:bidi="ar"/>
              </w:rPr>
              <w:t>（元/人·月）</w:t>
            </w:r>
          </w:p>
        </w:tc>
        <w:tc>
          <w:tcPr>
            <w:tcW w:w="1637" w:type="dxa"/>
            <w:noWrap w:val="0"/>
            <w:vAlign w:val="top"/>
          </w:tcPr>
          <w:p>
            <w:pPr>
              <w:widowControl/>
              <w:jc w:val="center"/>
              <w:textAlignment w:val="center"/>
              <w:rPr>
                <w:rFonts w:hint="eastAsia" w:ascii="宋体" w:hAnsi="宋体" w:cs="宋体"/>
                <w:b/>
                <w:kern w:val="0"/>
                <w:sz w:val="24"/>
                <w:szCs w:val="24"/>
                <w:highlight w:val="none"/>
                <w:lang w:bidi="ar"/>
              </w:rPr>
            </w:pPr>
            <w:r>
              <w:rPr>
                <w:rFonts w:hint="eastAsia" w:ascii="宋体" w:hAnsi="宋体" w:cs="宋体"/>
                <w:b/>
                <w:kern w:val="0"/>
                <w:sz w:val="24"/>
                <w:szCs w:val="24"/>
                <w:highlight w:val="none"/>
                <w:lang w:val="en-US" w:eastAsia="zh-CN" w:bidi="ar"/>
              </w:rPr>
              <w:t>岗位</w:t>
            </w:r>
            <w:r>
              <w:rPr>
                <w:rFonts w:hint="eastAsia" w:ascii="宋体" w:hAnsi="宋体" w:cs="宋体"/>
                <w:b/>
                <w:kern w:val="0"/>
                <w:sz w:val="24"/>
                <w:szCs w:val="24"/>
                <w:highlight w:val="none"/>
                <w:lang w:bidi="ar"/>
              </w:rPr>
              <w:t>人员</w:t>
            </w:r>
            <w:r>
              <w:rPr>
                <w:rFonts w:hint="eastAsia" w:ascii="宋体" w:hAnsi="宋体" w:cs="宋体"/>
                <w:b/>
                <w:kern w:val="0"/>
                <w:sz w:val="24"/>
                <w:szCs w:val="24"/>
                <w:highlight w:val="none"/>
                <w:lang w:eastAsia="zh-CN" w:bidi="ar"/>
              </w:rPr>
              <w:t>最低</w:t>
            </w:r>
            <w:r>
              <w:rPr>
                <w:rFonts w:hint="eastAsia" w:ascii="宋体" w:hAnsi="宋体" w:cs="宋体"/>
                <w:b/>
                <w:kern w:val="0"/>
                <w:sz w:val="24"/>
                <w:szCs w:val="24"/>
                <w:highlight w:val="none"/>
                <w:lang w:bidi="ar"/>
              </w:rPr>
              <w:t>工资单价（</w:t>
            </w:r>
            <w:r>
              <w:rPr>
                <w:rFonts w:hint="eastAsia" w:ascii="宋体" w:hAnsi="宋体" w:cs="宋体"/>
                <w:b/>
                <w:kern w:val="0"/>
                <w:sz w:val="24"/>
                <w:szCs w:val="24"/>
                <w:lang w:bidi="ar"/>
              </w:rPr>
              <w:t>元/人·月</w:t>
            </w:r>
            <w:r>
              <w:rPr>
                <w:rFonts w:hint="eastAsia" w:ascii="宋体" w:hAnsi="宋体" w:cs="宋体"/>
                <w:b/>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exact"/>
        </w:trPr>
        <w:tc>
          <w:tcPr>
            <w:tcW w:w="679" w:type="dxa"/>
            <w:noWrap w:val="0"/>
            <w:vAlign w:val="center"/>
          </w:tcPr>
          <w:p>
            <w:pPr>
              <w:widowControl/>
              <w:spacing w:line="360" w:lineRule="auto"/>
              <w:jc w:val="center"/>
              <w:textAlignment w:val="center"/>
              <w:rPr>
                <w:rFonts w:hint="eastAsia" w:ascii="宋体" w:hAnsi="宋体" w:eastAsia="宋体" w:cs="宋体"/>
                <w:bCs/>
                <w:kern w:val="0"/>
                <w:sz w:val="24"/>
                <w:szCs w:val="24"/>
                <w:lang w:eastAsia="zh-CN" w:bidi="ar"/>
              </w:rPr>
            </w:pPr>
            <w:r>
              <w:rPr>
                <w:rFonts w:hint="eastAsia" w:ascii="宋体" w:hAnsi="宋体" w:cs="宋体"/>
                <w:bCs/>
                <w:kern w:val="0"/>
                <w:sz w:val="24"/>
                <w:szCs w:val="24"/>
                <w:lang w:val="en-US" w:eastAsia="zh-CN" w:bidi="ar"/>
              </w:rPr>
              <w:t>1</w:t>
            </w:r>
          </w:p>
        </w:tc>
        <w:tc>
          <w:tcPr>
            <w:tcW w:w="1797" w:type="dxa"/>
            <w:noWrap/>
            <w:tcMar>
              <w:top w:w="15" w:type="dxa"/>
              <w:left w:w="15" w:type="dxa"/>
              <w:right w:w="15" w:type="dxa"/>
            </w:tcMar>
            <w:vAlign w:val="center"/>
          </w:tcPr>
          <w:p>
            <w:pPr>
              <w:widowControl/>
              <w:spacing w:line="360" w:lineRule="auto"/>
              <w:jc w:val="center"/>
              <w:textAlignment w:val="center"/>
              <w:rPr>
                <w:rFonts w:hint="eastAsia" w:ascii="宋体" w:hAnsi="宋体" w:cs="宋体"/>
                <w:b/>
                <w:kern w:val="0"/>
                <w:sz w:val="24"/>
                <w:szCs w:val="24"/>
                <w:lang w:bidi="ar"/>
              </w:rPr>
            </w:pPr>
            <w:r>
              <w:rPr>
                <w:rFonts w:hint="eastAsia" w:ascii="宋体" w:hAnsi="宋体" w:cs="宋体"/>
                <w:b/>
                <w:kern w:val="0"/>
                <w:sz w:val="24"/>
                <w:szCs w:val="24"/>
                <w:lang w:bidi="ar"/>
              </w:rPr>
              <w:t>三国遗址公园</w:t>
            </w:r>
          </w:p>
          <w:p>
            <w:pPr>
              <w:widowControl/>
              <w:spacing w:line="360" w:lineRule="auto"/>
              <w:jc w:val="center"/>
              <w:textAlignment w:val="center"/>
              <w:rPr>
                <w:rFonts w:hint="eastAsia" w:ascii="宋体" w:hAnsi="宋体" w:cs="宋体"/>
                <w:bCs/>
                <w:kern w:val="0"/>
                <w:sz w:val="24"/>
                <w:szCs w:val="24"/>
                <w:lang w:bidi="ar"/>
              </w:rPr>
            </w:pPr>
            <w:r>
              <w:rPr>
                <w:rFonts w:hint="eastAsia" w:ascii="宋体" w:hAnsi="宋体" w:cs="宋体"/>
                <w:b/>
                <w:kern w:val="0"/>
                <w:sz w:val="24"/>
                <w:szCs w:val="24"/>
                <w:lang w:bidi="ar"/>
              </w:rPr>
              <w:t>售票员</w:t>
            </w:r>
          </w:p>
        </w:tc>
        <w:tc>
          <w:tcPr>
            <w:tcW w:w="763" w:type="dxa"/>
            <w:noWrap w:val="0"/>
            <w:tcMar>
              <w:top w:w="15" w:type="dxa"/>
              <w:left w:w="15" w:type="dxa"/>
              <w:right w:w="15" w:type="dxa"/>
            </w:tcMar>
            <w:vAlign w:val="center"/>
          </w:tcPr>
          <w:p>
            <w:pPr>
              <w:widowControl/>
              <w:spacing w:line="360" w:lineRule="auto"/>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2</w:t>
            </w:r>
          </w:p>
        </w:tc>
        <w:tc>
          <w:tcPr>
            <w:tcW w:w="791" w:type="dxa"/>
            <w:noWrap w:val="0"/>
            <w:vAlign w:val="center"/>
          </w:tcPr>
          <w:p>
            <w:pPr>
              <w:widowControl/>
              <w:spacing w:line="360" w:lineRule="auto"/>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12</w:t>
            </w:r>
          </w:p>
        </w:tc>
        <w:tc>
          <w:tcPr>
            <w:tcW w:w="1528" w:type="dxa"/>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val="en-US" w:eastAsia="zh-CN" w:bidi="ar"/>
              </w:rPr>
              <w:t>5146.82</w:t>
            </w:r>
          </w:p>
        </w:tc>
        <w:tc>
          <w:tcPr>
            <w:tcW w:w="1431" w:type="dxa"/>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val="en-US" w:eastAsia="zh-CN" w:bidi="ar"/>
              </w:rPr>
              <w:t>5146.82</w:t>
            </w:r>
          </w:p>
        </w:tc>
        <w:tc>
          <w:tcPr>
            <w:tcW w:w="1637" w:type="dxa"/>
            <w:noWrap w:val="0"/>
            <w:vAlign w:val="center"/>
          </w:tcPr>
          <w:p>
            <w:pPr>
              <w:widowControl/>
              <w:spacing w:line="360" w:lineRule="auto"/>
              <w:jc w:val="center"/>
              <w:textAlignment w:val="center"/>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exact"/>
        </w:trPr>
        <w:tc>
          <w:tcPr>
            <w:tcW w:w="679" w:type="dxa"/>
            <w:noWrap w:val="0"/>
            <w:vAlign w:val="center"/>
          </w:tcPr>
          <w:p>
            <w:pPr>
              <w:widowControl/>
              <w:spacing w:line="360" w:lineRule="auto"/>
              <w:jc w:val="center"/>
              <w:textAlignment w:val="center"/>
              <w:rPr>
                <w:rFonts w:hint="eastAsia" w:ascii="宋体" w:hAnsi="宋体" w:eastAsia="宋体" w:cs="宋体"/>
                <w:bCs/>
                <w:kern w:val="0"/>
                <w:sz w:val="24"/>
                <w:szCs w:val="24"/>
                <w:lang w:eastAsia="zh-CN" w:bidi="ar"/>
              </w:rPr>
            </w:pPr>
            <w:r>
              <w:rPr>
                <w:rFonts w:hint="eastAsia" w:ascii="宋体" w:hAnsi="宋体" w:cs="宋体"/>
                <w:bCs/>
                <w:kern w:val="0"/>
                <w:sz w:val="24"/>
                <w:szCs w:val="24"/>
                <w:lang w:val="en-US" w:eastAsia="zh-CN" w:bidi="ar"/>
              </w:rPr>
              <w:t>2</w:t>
            </w:r>
          </w:p>
        </w:tc>
        <w:tc>
          <w:tcPr>
            <w:tcW w:w="1797" w:type="dxa"/>
            <w:noWrap/>
            <w:tcMar>
              <w:top w:w="15" w:type="dxa"/>
              <w:left w:w="15" w:type="dxa"/>
              <w:right w:w="15" w:type="dxa"/>
            </w:tcMar>
            <w:vAlign w:val="center"/>
          </w:tcPr>
          <w:p>
            <w:pPr>
              <w:widowControl/>
              <w:spacing w:line="360" w:lineRule="auto"/>
              <w:jc w:val="center"/>
              <w:textAlignment w:val="center"/>
              <w:rPr>
                <w:rFonts w:hint="eastAsia" w:ascii="宋体" w:hAnsi="宋体" w:cs="宋体"/>
                <w:b/>
                <w:kern w:val="0"/>
                <w:sz w:val="24"/>
                <w:szCs w:val="24"/>
                <w:lang w:bidi="ar"/>
              </w:rPr>
            </w:pPr>
            <w:r>
              <w:rPr>
                <w:rFonts w:hint="eastAsia" w:ascii="宋体" w:hAnsi="宋体" w:cs="宋体"/>
                <w:b/>
                <w:kern w:val="0"/>
                <w:sz w:val="24"/>
                <w:szCs w:val="24"/>
                <w:lang w:bidi="ar"/>
              </w:rPr>
              <w:t>项目</w:t>
            </w:r>
          </w:p>
          <w:p>
            <w:pPr>
              <w:widowControl/>
              <w:spacing w:line="360" w:lineRule="auto"/>
              <w:jc w:val="center"/>
              <w:textAlignment w:val="center"/>
              <w:rPr>
                <w:rFonts w:ascii="宋体" w:hAnsi="宋体" w:cs="宋体"/>
                <w:bCs/>
                <w:kern w:val="0"/>
                <w:sz w:val="24"/>
                <w:szCs w:val="24"/>
                <w:lang w:bidi="ar"/>
              </w:rPr>
            </w:pPr>
            <w:r>
              <w:rPr>
                <w:rFonts w:hint="eastAsia" w:ascii="宋体" w:hAnsi="宋体" w:cs="宋体"/>
                <w:b/>
                <w:kern w:val="0"/>
                <w:sz w:val="24"/>
                <w:szCs w:val="24"/>
                <w:lang w:bidi="ar"/>
              </w:rPr>
              <w:t>现场管理人员</w:t>
            </w:r>
          </w:p>
        </w:tc>
        <w:tc>
          <w:tcPr>
            <w:tcW w:w="763" w:type="dxa"/>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bCs/>
                <w:kern w:val="0"/>
                <w:sz w:val="24"/>
                <w:szCs w:val="24"/>
                <w:lang w:eastAsia="zh-CN" w:bidi="ar"/>
              </w:rPr>
            </w:pPr>
            <w:r>
              <w:rPr>
                <w:rFonts w:hint="eastAsia" w:ascii="宋体" w:hAnsi="宋体" w:cs="宋体"/>
                <w:bCs/>
                <w:kern w:val="0"/>
                <w:sz w:val="24"/>
                <w:szCs w:val="24"/>
                <w:lang w:val="en-US" w:eastAsia="zh-CN" w:bidi="ar"/>
              </w:rPr>
              <w:t>3</w:t>
            </w:r>
          </w:p>
        </w:tc>
        <w:tc>
          <w:tcPr>
            <w:tcW w:w="791" w:type="dxa"/>
            <w:noWrap w:val="0"/>
            <w:vAlign w:val="center"/>
          </w:tcPr>
          <w:p>
            <w:pPr>
              <w:widowControl/>
              <w:spacing w:line="360" w:lineRule="auto"/>
              <w:jc w:val="center"/>
              <w:textAlignment w:val="center"/>
              <w:rPr>
                <w:rFonts w:ascii="宋体" w:hAnsi="宋体" w:cs="宋体"/>
                <w:bCs/>
                <w:kern w:val="0"/>
                <w:sz w:val="24"/>
                <w:szCs w:val="24"/>
                <w:lang w:bidi="ar"/>
              </w:rPr>
            </w:pPr>
            <w:r>
              <w:rPr>
                <w:rFonts w:hint="eastAsia" w:ascii="宋体" w:hAnsi="宋体" w:cs="宋体"/>
                <w:bCs/>
                <w:kern w:val="0"/>
                <w:sz w:val="24"/>
                <w:szCs w:val="24"/>
                <w:lang w:bidi="ar"/>
              </w:rPr>
              <w:t>12</w:t>
            </w:r>
          </w:p>
        </w:tc>
        <w:tc>
          <w:tcPr>
            <w:tcW w:w="1528" w:type="dxa"/>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val="en-US" w:eastAsia="zh-CN" w:bidi="ar"/>
              </w:rPr>
              <w:t>4510.82</w:t>
            </w:r>
          </w:p>
        </w:tc>
        <w:tc>
          <w:tcPr>
            <w:tcW w:w="1431" w:type="dxa"/>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val="en-US" w:eastAsia="zh-CN" w:bidi="ar"/>
              </w:rPr>
              <w:t>4510.82</w:t>
            </w:r>
          </w:p>
        </w:tc>
        <w:tc>
          <w:tcPr>
            <w:tcW w:w="1637" w:type="dxa"/>
            <w:noWrap w:val="0"/>
            <w:vAlign w:val="center"/>
          </w:tcPr>
          <w:p>
            <w:pPr>
              <w:widowControl/>
              <w:spacing w:line="360" w:lineRule="auto"/>
              <w:jc w:val="center"/>
              <w:textAlignment w:val="center"/>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exact"/>
        </w:trPr>
        <w:tc>
          <w:tcPr>
            <w:tcW w:w="5558" w:type="dxa"/>
            <w:gridSpan w:val="5"/>
            <w:noWrap w:val="0"/>
            <w:vAlign w:val="top"/>
          </w:tcPr>
          <w:p>
            <w:pPr>
              <w:widowControl/>
              <w:spacing w:line="360" w:lineRule="auto"/>
              <w:jc w:val="center"/>
              <w:textAlignment w:val="center"/>
              <w:rPr>
                <w:rFonts w:ascii="宋体" w:hAnsi="宋体" w:cs="仿宋_GB2312"/>
                <w:b/>
                <w:kern w:val="0"/>
                <w:sz w:val="24"/>
                <w:szCs w:val="24"/>
                <w:lang w:bidi="ar"/>
              </w:rPr>
            </w:pPr>
            <w:r>
              <w:rPr>
                <w:rFonts w:hint="eastAsia" w:ascii="宋体" w:hAnsi="宋体" w:cs="宋体"/>
                <w:b/>
                <w:bCs/>
                <w:kern w:val="0"/>
                <w:sz w:val="24"/>
                <w:szCs w:val="24"/>
                <w:lang w:bidi="ar"/>
              </w:rPr>
              <w:t>合计</w:t>
            </w:r>
            <w:r>
              <w:rPr>
                <w:rFonts w:hint="eastAsia" w:ascii="宋体" w:hAnsi="宋体" w:cs="仿宋_GB2312"/>
                <w:b/>
                <w:kern w:val="0"/>
                <w:sz w:val="24"/>
                <w:szCs w:val="24"/>
                <w:lang w:bidi="ar"/>
              </w:rPr>
              <w:t>金额（元）</w:t>
            </w:r>
          </w:p>
          <w:p>
            <w:pPr>
              <w:widowControl/>
              <w:spacing w:line="360" w:lineRule="auto"/>
              <w:jc w:val="center"/>
              <w:textAlignment w:val="center"/>
              <w:rPr>
                <w:rFonts w:ascii="宋体" w:hAnsi="宋体" w:cs="宋体"/>
                <w:b/>
                <w:bCs/>
                <w:sz w:val="24"/>
                <w:szCs w:val="24"/>
              </w:rPr>
            </w:pPr>
            <w:r>
              <w:rPr>
                <w:rFonts w:hint="eastAsia" w:ascii="宋体" w:hAnsi="宋体" w:cs="仿宋_GB2312"/>
                <w:b/>
                <w:kern w:val="0"/>
                <w:sz w:val="24"/>
                <w:szCs w:val="24"/>
                <w:lang w:bidi="ar"/>
              </w:rPr>
              <w:t>（元）</w:t>
            </w:r>
          </w:p>
          <w:p>
            <w:pPr>
              <w:widowControl/>
              <w:spacing w:line="360" w:lineRule="auto"/>
              <w:textAlignment w:val="center"/>
              <w:rPr>
                <w:rFonts w:ascii="宋体" w:hAnsi="宋体" w:cs="宋体"/>
                <w:b/>
                <w:bCs/>
                <w:kern w:val="0"/>
                <w:sz w:val="24"/>
                <w:szCs w:val="24"/>
                <w:lang w:bidi="ar"/>
              </w:rPr>
            </w:pPr>
          </w:p>
          <w:p>
            <w:pPr>
              <w:widowControl/>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w:t>
            </w:r>
          </w:p>
          <w:p>
            <w:pPr>
              <w:spacing w:line="360" w:lineRule="auto"/>
              <w:jc w:val="center"/>
              <w:rPr>
                <w:rFonts w:hint="eastAsia" w:ascii="宋体" w:hAnsi="宋体" w:cs="宋体"/>
                <w:b/>
                <w:bCs/>
                <w:kern w:val="0"/>
                <w:sz w:val="24"/>
                <w:szCs w:val="24"/>
                <w:lang w:bidi="ar"/>
              </w:rPr>
            </w:pPr>
            <w:r>
              <w:rPr>
                <w:rFonts w:hint="eastAsia" w:ascii="宋体" w:hAnsi="宋体" w:cs="宋体"/>
                <w:b/>
                <w:bCs/>
                <w:kern w:val="0"/>
                <w:sz w:val="24"/>
                <w:szCs w:val="24"/>
                <w:lang w:bidi="ar"/>
              </w:rPr>
              <w:t>-</w:t>
            </w:r>
          </w:p>
        </w:tc>
        <w:tc>
          <w:tcPr>
            <w:tcW w:w="1431" w:type="dxa"/>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285913.2</w:t>
            </w:r>
          </w:p>
        </w:tc>
        <w:tc>
          <w:tcPr>
            <w:tcW w:w="1637" w:type="dxa"/>
            <w:noWrap w:val="0"/>
            <w:vAlign w:val="top"/>
          </w:tcPr>
          <w:p>
            <w:pPr>
              <w:spacing w:line="360" w:lineRule="auto"/>
              <w:jc w:val="center"/>
              <w:rPr>
                <w:rFonts w:hint="eastAsia" w:ascii="宋体" w:hAnsi="宋体" w:cs="宋体"/>
                <w:b/>
                <w:bCs/>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8" w:hRule="exact"/>
        </w:trPr>
        <w:tc>
          <w:tcPr>
            <w:tcW w:w="8626" w:type="dxa"/>
            <w:gridSpan w:val="7"/>
            <w:noWrap w:val="0"/>
            <w:vAlign w:val="top"/>
          </w:tcPr>
          <w:p>
            <w:pPr>
              <w:widowControl/>
              <w:textAlignment w:val="center"/>
              <w:rPr>
                <w:rFonts w:hint="eastAsia" w:ascii="宋体" w:hAnsi="宋体" w:eastAsia="宋体" w:cs="宋体"/>
                <w:sz w:val="24"/>
                <w:szCs w:val="24"/>
              </w:rPr>
            </w:pPr>
            <w:r>
              <w:rPr>
                <w:rFonts w:hint="eastAsia" w:ascii="宋体" w:hAnsi="宋体" w:eastAsia="宋体" w:cs="宋体"/>
                <w:sz w:val="24"/>
                <w:szCs w:val="24"/>
              </w:rPr>
              <w:t>说明：</w:t>
            </w:r>
          </w:p>
          <w:p>
            <w:pPr>
              <w:widowControl/>
              <w:textAlignment w:val="center"/>
              <w:rPr>
                <w:rFonts w:hint="eastAsia" w:ascii="宋体" w:hAnsi="宋体" w:eastAsia="宋体" w:cs="宋体"/>
                <w:sz w:val="24"/>
                <w:szCs w:val="24"/>
              </w:rPr>
            </w:pPr>
            <w:r>
              <w:rPr>
                <w:rFonts w:hint="eastAsia" w:ascii="宋体" w:hAnsi="宋体" w:eastAsia="宋体" w:cs="宋体"/>
                <w:sz w:val="24"/>
                <w:szCs w:val="24"/>
              </w:rPr>
              <w:t>1、投标人自行考虑不同标准对应的人员要求（如年龄、技术水平等）以及人力成本，合理报价。</w:t>
            </w:r>
          </w:p>
          <w:p>
            <w:pPr>
              <w:widowControl/>
              <w:textAlignment w:val="center"/>
              <w:rPr>
                <w:rFonts w:hint="eastAsia" w:ascii="宋体" w:hAnsi="宋体" w:eastAsia="宋体" w:cs="宋体"/>
                <w:sz w:val="24"/>
                <w:szCs w:val="24"/>
              </w:rPr>
            </w:pPr>
            <w:r>
              <w:rPr>
                <w:rFonts w:hint="eastAsia" w:ascii="宋体" w:hAnsi="宋体" w:eastAsia="宋体" w:cs="宋体"/>
                <w:sz w:val="24"/>
                <w:szCs w:val="24"/>
              </w:rPr>
              <w:t>2、综合单价包含管理费用、人员工资、服装，工具采购及耗材等和保险、税费、意外伤害伤亡险等应由中标人承担的及中标人为完成本项目所需要的一切费用。</w:t>
            </w:r>
          </w:p>
          <w:p>
            <w:pPr>
              <w:widowControl/>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人员</w:t>
            </w:r>
            <w:r>
              <w:rPr>
                <w:rFonts w:hint="eastAsia" w:ascii="宋体" w:hAnsi="宋体" w:eastAsia="宋体" w:cs="宋体"/>
                <w:sz w:val="24"/>
                <w:szCs w:val="24"/>
                <w:lang w:eastAsia="zh-CN"/>
              </w:rPr>
              <w:t>最低</w:t>
            </w:r>
            <w:r>
              <w:rPr>
                <w:rFonts w:hint="eastAsia" w:ascii="宋体" w:hAnsi="宋体" w:eastAsia="宋体" w:cs="宋体"/>
                <w:sz w:val="24"/>
                <w:szCs w:val="24"/>
              </w:rPr>
              <w:t>工资单价（元/人</w:t>
            </w:r>
            <w:r>
              <w:rPr>
                <w:rFonts w:hint="eastAsia" w:ascii="宋体" w:hAnsi="宋体" w:eastAsia="宋体" w:cs="宋体"/>
                <w:sz w:val="24"/>
                <w:szCs w:val="24"/>
                <w:lang w:val="en-US"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为该职位最低工资标准。</w:t>
            </w:r>
          </w:p>
          <w:p>
            <w:pPr>
              <w:widowControl/>
              <w:textAlignment w:val="center"/>
              <w:rPr>
                <w:rFonts w:hint="default" w:eastAsia="宋体"/>
                <w:lang w:val="en-US" w:eastAsia="zh-CN"/>
              </w:rPr>
            </w:pPr>
            <w:r>
              <w:rPr>
                <w:rFonts w:hint="eastAsia" w:ascii="宋体" w:hAnsi="宋体" w:eastAsia="宋体" w:cs="宋体"/>
                <w:sz w:val="24"/>
                <w:szCs w:val="24"/>
                <w:lang w:val="en-US" w:eastAsia="zh-CN"/>
              </w:rPr>
              <w:t>4.</w:t>
            </w:r>
            <w:r>
              <w:rPr>
                <w:rFonts w:hint="eastAsia" w:ascii="宋体" w:hAnsi="宋体" w:eastAsia="宋体" w:cs="宋体"/>
                <w:b/>
                <w:bCs/>
                <w:sz w:val="24"/>
                <w:szCs w:val="24"/>
                <w:lang w:val="en-US" w:eastAsia="zh-CN"/>
              </w:rPr>
              <w:t>岗位单价报价不得高于岗位最高投标限价，不得低于岗位人员最低工资单价，否则做</w:t>
            </w:r>
            <w:r>
              <w:rPr>
                <w:rFonts w:hint="eastAsia" w:ascii="宋体" w:hAnsi="宋体" w:eastAsia="宋体" w:cs="宋体"/>
                <w:b/>
                <w:bCs/>
                <w:color w:val="FF0000"/>
                <w:sz w:val="24"/>
                <w:szCs w:val="24"/>
                <w:lang w:val="en-US" w:eastAsia="zh-CN"/>
              </w:rPr>
              <w:t>无效标处理</w:t>
            </w:r>
            <w:r>
              <w:rPr>
                <w:rFonts w:hint="eastAsia" w:ascii="宋体" w:hAnsi="宋体" w:eastAsia="宋体" w:cs="宋体"/>
                <w:b/>
                <w:bCs/>
                <w:sz w:val="24"/>
                <w:szCs w:val="24"/>
                <w:lang w:val="en-US" w:eastAsia="zh-CN"/>
              </w:rPr>
              <w:t>。</w:t>
            </w:r>
          </w:p>
        </w:tc>
      </w:tr>
    </w:tbl>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七、费用结算要求</w:t>
      </w:r>
    </w:p>
    <w:p>
      <w:pPr>
        <w:spacing w:line="360" w:lineRule="auto"/>
        <w:ind w:firstLine="480" w:firstLineChars="200"/>
        <w:rPr>
          <w:rFonts w:ascii="宋体" w:hAnsi="宋体" w:cs="Arial"/>
          <w:color w:val="000000"/>
          <w:kern w:val="0"/>
          <w:sz w:val="24"/>
          <w:szCs w:val="24"/>
        </w:rPr>
      </w:pPr>
      <w:r>
        <w:rPr>
          <w:rFonts w:hint="eastAsia" w:ascii="宋体" w:hAnsi="宋体" w:cs="Arial"/>
          <w:kern w:val="0"/>
          <w:sz w:val="24"/>
          <w:szCs w:val="24"/>
        </w:rPr>
        <w:t>1.根据各项目实际到岗人员数量、岗位及相应中标单价和考核结果，</w:t>
      </w:r>
      <w:r>
        <w:rPr>
          <w:rFonts w:hint="eastAsia" w:ascii="宋体" w:hAnsi="宋体" w:cs="Arial"/>
          <w:color w:val="000000"/>
          <w:kern w:val="0"/>
          <w:sz w:val="24"/>
          <w:szCs w:val="24"/>
        </w:rPr>
        <w:t>按季度支付，下季度支付上季度服务费。累计结算总金额不超过项目概算。</w:t>
      </w:r>
    </w:p>
    <w:p>
      <w:pPr>
        <w:spacing w:line="360" w:lineRule="auto"/>
        <w:ind w:firstLine="480" w:firstLineChars="200"/>
        <w:rPr>
          <w:rFonts w:hint="eastAsia" w:ascii="宋体" w:hAnsi="宋体" w:cs="Arial"/>
          <w:color w:val="000000"/>
          <w:kern w:val="0"/>
          <w:sz w:val="24"/>
          <w:szCs w:val="24"/>
        </w:rPr>
      </w:pPr>
      <w:r>
        <w:rPr>
          <w:rFonts w:hint="eastAsia" w:ascii="宋体" w:hAnsi="宋体" w:cs="Arial"/>
          <w:color w:val="000000"/>
          <w:kern w:val="0"/>
          <w:sz w:val="24"/>
          <w:szCs w:val="24"/>
        </w:rPr>
        <w:t>2.对临时增减的人员，服务期限满一月的按照一月计算，不满一月的按相应岗位的中标单价/30（天）*实际服务天数计算，四舍五入保留两位小数结算。</w:t>
      </w:r>
    </w:p>
    <w:p>
      <w:pPr>
        <w:pStyle w:val="24"/>
        <w:ind w:left="0" w:leftChars="0" w:firstLine="0" w:firstLineChars="0"/>
        <w:rPr>
          <w:rFonts w:hint="default" w:eastAsia="宋体"/>
          <w:lang w:val="en-US" w:eastAsia="zh-CN"/>
        </w:rPr>
      </w:pPr>
      <w:r>
        <w:rPr>
          <w:rFonts w:hint="eastAsia" w:ascii="宋体" w:hAnsi="宋体" w:cs="Arial"/>
          <w:color w:val="000000"/>
          <w:kern w:val="0"/>
          <w:sz w:val="24"/>
          <w:szCs w:val="24"/>
          <w:lang w:val="en-US" w:eastAsia="zh-CN"/>
        </w:rPr>
        <w:t xml:space="preserve">    3.本项目最终结算总金额不超过项目概算28.6万元。</w:t>
      </w:r>
    </w:p>
    <w:p>
      <w:pPr>
        <w:spacing w:line="360" w:lineRule="auto"/>
        <w:ind w:firstLine="480" w:firstLineChars="200"/>
        <w:rPr>
          <w:rFonts w:ascii="宋体" w:hAnsi="宋体" w:cs="宋体"/>
          <w:color w:val="000000"/>
          <w:sz w:val="24"/>
          <w:szCs w:val="24"/>
        </w:rPr>
      </w:pPr>
      <w:r>
        <w:rPr>
          <w:rFonts w:hint="eastAsia" w:ascii="宋体" w:hAnsi="宋体" w:cs="Arial"/>
          <w:color w:val="000000"/>
          <w:kern w:val="0"/>
          <w:sz w:val="24"/>
          <w:szCs w:val="24"/>
          <w:lang w:val="en-US" w:eastAsia="zh-CN"/>
        </w:rPr>
        <w:t>4</w:t>
      </w:r>
      <w:r>
        <w:rPr>
          <w:rFonts w:hint="eastAsia" w:ascii="宋体" w:hAnsi="宋体" w:cs="Arial"/>
          <w:color w:val="000000"/>
          <w:kern w:val="0"/>
          <w:sz w:val="24"/>
          <w:szCs w:val="24"/>
        </w:rPr>
        <w:t>.中标人</w:t>
      </w:r>
      <w:r>
        <w:rPr>
          <w:rFonts w:hint="eastAsia" w:ascii="宋体" w:hAnsi="宋体" w:cs="宋体"/>
          <w:color w:val="000000"/>
          <w:sz w:val="24"/>
          <w:szCs w:val="24"/>
        </w:rPr>
        <w:t>开具正规的增值税发票，发票以招标人要求为准。</w:t>
      </w:r>
    </w:p>
    <w:p>
      <w:pPr>
        <w:spacing w:line="360" w:lineRule="auto"/>
        <w:ind w:firstLine="482" w:firstLineChars="200"/>
        <w:jc w:val="left"/>
        <w:rPr>
          <w:rFonts w:ascii="宋体" w:hAnsi="宋体" w:cs="Arial"/>
          <w:b/>
          <w:bCs/>
          <w:color w:val="000000"/>
          <w:kern w:val="0"/>
          <w:sz w:val="24"/>
          <w:szCs w:val="24"/>
        </w:rPr>
      </w:pPr>
      <w:r>
        <w:rPr>
          <w:rFonts w:hint="eastAsia" w:ascii="宋体" w:hAnsi="宋体" w:cs="宋体"/>
          <w:b/>
          <w:color w:val="000000"/>
          <w:kern w:val="0"/>
          <w:sz w:val="24"/>
          <w:szCs w:val="24"/>
        </w:rPr>
        <w:t>八、管理、监督和考核</w:t>
      </w:r>
      <w:r>
        <w:rPr>
          <w:rFonts w:hint="eastAsia" w:ascii="宋体" w:hAnsi="宋体" w:cs="Arial"/>
          <w:b/>
          <w:bCs/>
          <w:color w:val="000000"/>
          <w:kern w:val="0"/>
          <w:sz w:val="24"/>
          <w:szCs w:val="24"/>
        </w:rPr>
        <w:t xml:space="preserve"> </w:t>
      </w:r>
    </w:p>
    <w:p>
      <w:pPr>
        <w:spacing w:line="360" w:lineRule="auto"/>
        <w:ind w:firstLine="480" w:firstLineChars="200"/>
        <w:jc w:val="left"/>
        <w:rPr>
          <w:rFonts w:ascii="宋体" w:hAnsi="宋体" w:cs="Arial"/>
          <w:color w:val="000000"/>
          <w:kern w:val="0"/>
          <w:sz w:val="24"/>
          <w:szCs w:val="24"/>
        </w:rPr>
      </w:pPr>
      <w:r>
        <w:rPr>
          <w:rFonts w:hint="eastAsia" w:ascii="宋体" w:hAnsi="宋体" w:cs="Arial"/>
          <w:color w:val="000000"/>
          <w:kern w:val="0"/>
          <w:sz w:val="24"/>
          <w:szCs w:val="24"/>
        </w:rPr>
        <w:t>1.依据招标人和中标人签订的合同及《中标人考核表》</w:t>
      </w:r>
      <w:r>
        <w:rPr>
          <w:rFonts w:hint="eastAsia" w:ascii="宋体" w:hAnsi="宋体" w:cs="Arial"/>
          <w:color w:val="000000"/>
          <w:kern w:val="0"/>
          <w:sz w:val="24"/>
          <w:szCs w:val="24"/>
          <w:lang w:eastAsia="zh-CN"/>
        </w:rPr>
        <w:t>、《售票员/项目现场管理人员定期考核表》</w:t>
      </w:r>
      <w:r>
        <w:rPr>
          <w:rFonts w:hint="eastAsia" w:ascii="宋体" w:hAnsi="宋体" w:cs="Arial"/>
          <w:color w:val="000000"/>
          <w:kern w:val="0"/>
          <w:sz w:val="24"/>
          <w:szCs w:val="24"/>
        </w:rPr>
        <w:t>（附件1</w:t>
      </w:r>
      <w:r>
        <w:rPr>
          <w:rFonts w:hint="eastAsia" w:ascii="宋体" w:hAnsi="宋体" w:cs="Arial"/>
          <w:color w:val="000000"/>
          <w:kern w:val="0"/>
          <w:sz w:val="24"/>
          <w:szCs w:val="24"/>
          <w:lang w:eastAsia="zh-CN"/>
        </w:rPr>
        <w:t>、</w:t>
      </w:r>
      <w:r>
        <w:rPr>
          <w:rFonts w:hint="eastAsia" w:ascii="宋体" w:hAnsi="宋体" w:cs="Arial"/>
          <w:color w:val="000000"/>
          <w:kern w:val="0"/>
          <w:sz w:val="24"/>
          <w:szCs w:val="24"/>
          <w:lang w:val="en-US" w:eastAsia="zh-CN"/>
        </w:rPr>
        <w:t>附件2</w:t>
      </w:r>
      <w:r>
        <w:rPr>
          <w:rFonts w:hint="eastAsia" w:ascii="宋体" w:hAnsi="宋体" w:cs="Arial"/>
          <w:color w:val="000000"/>
          <w:kern w:val="0"/>
          <w:sz w:val="24"/>
          <w:szCs w:val="24"/>
        </w:rPr>
        <w:t>）等有关规定对中标人进行考核，并将考核结果作为支付服务费用的依据。</w:t>
      </w:r>
    </w:p>
    <w:p>
      <w:pPr>
        <w:spacing w:line="360" w:lineRule="auto"/>
        <w:ind w:firstLine="480" w:firstLineChars="200"/>
        <w:jc w:val="left"/>
        <w:rPr>
          <w:rFonts w:ascii="宋体" w:hAnsi="宋体" w:cs="Arial"/>
          <w:color w:val="000000"/>
          <w:kern w:val="0"/>
          <w:sz w:val="24"/>
          <w:szCs w:val="24"/>
        </w:rPr>
      </w:pPr>
      <w:r>
        <w:rPr>
          <w:rFonts w:hint="eastAsia" w:ascii="宋体" w:hAnsi="宋体" w:cs="Arial"/>
          <w:color w:val="000000"/>
          <w:kern w:val="0"/>
          <w:sz w:val="24"/>
          <w:szCs w:val="24"/>
        </w:rPr>
        <w:t>2.合同履行期间，中标人未能按合同约定履行义务，并经招标人函告后，仍然未整改的，招标人可单方面终止合同。</w:t>
      </w:r>
    </w:p>
    <w:p>
      <w:pPr>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3.合同履行期间，中标人因违反法律、法规、规章及规定引起群体上访事件或歇工事件影响招标人项目工作开展的，招标人可以单方面解除合同而由此产生的经济损失和法律责任均由中标人承担。</w:t>
      </w:r>
    </w:p>
    <w:p>
      <w:pPr>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4.严禁中标人对人力资源服务外包进行转包或分包，中标人擅自将人力资源服务外包转包或分包给第三人的，招标人可以单方面解除合同而无须向中标人支付任何费用或承担其他的任何责任，由此产生的经济损失和法律责任均由中标人承担。</w:t>
      </w:r>
    </w:p>
    <w:p>
      <w:pPr>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5.对于工作服务质量不符合要求的，招标人有权提出限期整改，未整改或整改效果不符合要求的，招标人可以单方面解除合同而无须向中标人支付任何费用或承担其他的任何责任，由此产生的经济损失和法律责任均由中标人承担。</w:t>
      </w:r>
    </w:p>
    <w:p>
      <w:pPr>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6.招标人有权根据项目的服务需要制订相应的服务规范、考评办法，并要求中标人执行；服务规范、考评办法的解释权属招标人所有；招标人有权要求中标人外包服务人员遵照招标人的服务规范和合同的约定为招标人提供服务。</w:t>
      </w:r>
    </w:p>
    <w:p>
      <w:pPr>
        <w:spacing w:line="360" w:lineRule="auto"/>
        <w:ind w:firstLine="480" w:firstLineChars="200"/>
        <w:rPr>
          <w:rFonts w:ascii="宋体" w:hAnsi="宋体" w:cs="宋体"/>
          <w:sz w:val="24"/>
          <w:szCs w:val="24"/>
        </w:rPr>
      </w:pPr>
      <w:r>
        <w:rPr>
          <w:rFonts w:hint="eastAsia" w:ascii="宋体" w:hAnsi="宋体" w:cs="宋体"/>
          <w:sz w:val="24"/>
          <w:szCs w:val="24"/>
        </w:rPr>
        <w:t>7.招标人按月对中标人进行考核，如有相应处罚则在服务费中扣除。</w:t>
      </w:r>
    </w:p>
    <w:p>
      <w:pPr>
        <w:spacing w:line="360" w:lineRule="auto"/>
        <w:ind w:firstLine="480" w:firstLineChars="200"/>
        <w:jc w:val="left"/>
        <w:rPr>
          <w:rFonts w:hint="eastAsia" w:ascii="宋体" w:hAnsi="宋体" w:cs="Arial"/>
          <w:kern w:val="0"/>
          <w:sz w:val="24"/>
          <w:szCs w:val="24"/>
        </w:rPr>
      </w:pPr>
      <w:r>
        <w:rPr>
          <w:rFonts w:hint="eastAsia" w:ascii="宋体" w:hAnsi="宋体" w:cs="宋体"/>
          <w:sz w:val="24"/>
          <w:szCs w:val="24"/>
        </w:rPr>
        <w:t>8.</w:t>
      </w:r>
      <w:r>
        <w:rPr>
          <w:rFonts w:hint="eastAsia" w:ascii="宋体" w:hAnsi="宋体" w:cs="Arial"/>
          <w:kern w:val="0"/>
          <w:sz w:val="24"/>
          <w:szCs w:val="24"/>
        </w:rPr>
        <w:t>考核形式分为定期考核和随机抽查：</w:t>
      </w:r>
    </w:p>
    <w:p>
      <w:pPr>
        <w:spacing w:line="360" w:lineRule="auto"/>
        <w:ind w:firstLine="480" w:firstLineChars="200"/>
        <w:rPr>
          <w:rFonts w:hint="eastAsia" w:ascii="宋体" w:hAnsi="宋体" w:cs="Arial"/>
          <w:kern w:val="0"/>
          <w:sz w:val="24"/>
          <w:szCs w:val="24"/>
        </w:rPr>
      </w:pPr>
      <w:r>
        <w:rPr>
          <w:rFonts w:hint="eastAsia" w:ascii="宋体" w:hAnsi="宋体" w:cs="Arial"/>
          <w:kern w:val="0"/>
          <w:sz w:val="24"/>
          <w:szCs w:val="24"/>
        </w:rPr>
        <w:t>（1）定期考核总分为100分。按月度考核，由甲方组织相关单位在每月月初，对上月服务进行综合评分。月度平均考核得分在90分（含）以上的，全额支付本季度服务费；月度平均考核得分在85分（含）以上，90分以下的，按中标价该季度的95%支付服务费；月度平均考核得分在80分（含）以上85分以下的，按中标价该季度的90%支付服务费；月度平均考核得分在75分（含）以上80分以下的，按中标价该季度的85%支付服务费；月度平均考核得分在70分（含）以上75分以下的，按中标价该季度的80%支付服务费。</w:t>
      </w:r>
    </w:p>
    <w:p>
      <w:pPr>
        <w:spacing w:line="360" w:lineRule="auto"/>
        <w:ind w:firstLine="480" w:firstLineChars="200"/>
        <w:jc w:val="left"/>
        <w:rPr>
          <w:rFonts w:hint="eastAsia" w:ascii="宋体" w:hAnsi="宋体" w:cs="Arial"/>
          <w:kern w:val="0"/>
          <w:sz w:val="24"/>
          <w:szCs w:val="24"/>
        </w:rPr>
      </w:pPr>
      <w:r>
        <w:rPr>
          <w:rFonts w:hint="eastAsia" w:ascii="宋体" w:hAnsi="宋体" w:cs="Arial"/>
          <w:kern w:val="0"/>
          <w:sz w:val="24"/>
          <w:szCs w:val="24"/>
        </w:rPr>
        <w:t>（2）对连续三个月考核得分达不到70分的，甲方将单方面终止合同，取消中标单位资格，并全额扣减其所有履约保证金，重新组织招标选择单位。</w:t>
      </w:r>
    </w:p>
    <w:p>
      <w:pPr>
        <w:spacing w:line="360" w:lineRule="auto"/>
        <w:ind w:firstLine="480" w:firstLineChars="200"/>
        <w:jc w:val="left"/>
        <w:rPr>
          <w:rFonts w:hint="eastAsia" w:ascii="宋体" w:hAnsi="宋体" w:cs="Arial"/>
          <w:kern w:val="0"/>
          <w:sz w:val="24"/>
          <w:szCs w:val="24"/>
        </w:rPr>
      </w:pPr>
      <w:r>
        <w:rPr>
          <w:rFonts w:hint="eastAsia" w:ascii="宋体" w:hAnsi="宋体" w:cs="Arial"/>
          <w:kern w:val="0"/>
          <w:sz w:val="24"/>
          <w:szCs w:val="24"/>
        </w:rPr>
        <w:t>（3）有权要求乙方按照本合同约定及附件内容提供服务，并兑现所有承诺，如不兑现或乙方达不到相关安全技术规范、标准及合同、合同附件约定的标准或要求的，每发现一次，甲方有权直接扣除5000元违约金。</w:t>
      </w:r>
    </w:p>
    <w:p>
      <w:pPr>
        <w:spacing w:line="360" w:lineRule="auto"/>
        <w:ind w:firstLine="480" w:firstLineChars="200"/>
        <w:jc w:val="left"/>
        <w:rPr>
          <w:rFonts w:hint="eastAsia" w:ascii="宋体" w:hAnsi="宋体" w:cs="Arial"/>
          <w:kern w:val="0"/>
          <w:sz w:val="24"/>
          <w:szCs w:val="24"/>
        </w:rPr>
      </w:pPr>
      <w:r>
        <w:rPr>
          <w:rFonts w:hint="eastAsia" w:ascii="宋体" w:hAnsi="宋体" w:cs="Arial"/>
          <w:kern w:val="0"/>
          <w:sz w:val="24"/>
          <w:szCs w:val="24"/>
        </w:rPr>
        <w:t>（4）乙方应严格按照本合同约定履行义务，若乙方未能按照合同约定履行任何一项义务的，经甲方书面催告仍未能履行的、或履行的不符合合同约定的，甲方可视情节严重扣除乙方200元/次—1000元/次违约金。</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br w:type="page"/>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附件1：中标人考核表（总分100）</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968"/>
        <w:gridCol w:w="3257"/>
        <w:gridCol w:w="81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3" w:type="dxa"/>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2968" w:type="dxa"/>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考核内容</w:t>
            </w:r>
          </w:p>
        </w:tc>
        <w:tc>
          <w:tcPr>
            <w:tcW w:w="3257" w:type="dxa"/>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处罚和考核扣分标准</w:t>
            </w:r>
          </w:p>
        </w:tc>
        <w:tc>
          <w:tcPr>
            <w:tcW w:w="814" w:type="dxa"/>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800" w:type="dxa"/>
            <w:noWrap w:val="0"/>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岗位配备人员须按照招标人时间要求到岗，不得以任何理由拖延人员到岗。</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经招标人核查，未按要求到岗，每少一人的从当月服务费用中扣除500元/人，并限期3天内补足调整，给招标人造成损失的由中标人负责赔偿。扣考核评分1分/人次。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岗位配备人数须达到招标人需求人数。承诺派驻的人员须同现场实际到岗人员一致，未经招标人同意，不得擅自更换人员。</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经招标人核查，每少一人或擅自更换一人次的从当月服务费用中扣除500元/人次，并限期3天内补足调整。给招标人造成损失的由中标人负责赔偿。扣考核评分 1分/人次。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配备人员须达到合同约定标准及招标人要求，或经考核不胜任工作的，限期3天予以调换合适人员。</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未按期调换，或经调换1次后仍达不到约定标准的，从当月服务费用中扣除500元/例。扣考核评分1分/人次。 </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中标人人员不得与游客发生正面冲突或引起游客的投诉。</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每发现一例从当月服务费用中扣除500元。扣考核评分1分/例。 </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人员需经岗前培训，考核合格后方可上岗。</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经查未进行岗前培训上岗人员一人，从当月服务费用中扣除100 元/人次。扣考核评分1分/人次。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中标人人员入场后7日内，中标人需提供有关人员身份证明、人员名册等材料。</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未及时提供的从当月服务费用中扣除200元/人次。扣考核评分1 分/人次。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中标人发生人员变动的，在3 天内及时变更有关材料并报招标人。</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未及时变更的从当月服务费用中扣除100元/人次。扣考核评分1 分/人次。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中标人人员无交接班记录或记录不完整。</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发现后根据整改情况扣除100元/人次。扣考核评分1分/人次。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中标人人员须遵守招标人管理规定，不得迟到、早退、脱岗、缺岗及做与工作无关的事。</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每发现一例从当月服务费用中扣除200元。扣考核评分1分/例。 </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中标人人员仪容仪表规范，按规定着装，佩戴标志，制服整洁。</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不符合规定的每发现一例从当月服务费用中扣除100元。扣考核评分1分/例。 </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每季与招标人项目管理人员及外包人员召开一次工作沟通协调会议。</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因中标人原因导致会议未能按时召开的，从当季服务费用中扣除500元/次。扣考核评分1分/次。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中标人人员应正确履行岗位职责，按时完成招标人交办事项。</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每发现一例从当月服务费用中扣除200元。扣考核评分1分/例。 </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熟悉掌握各类紧急情况预案，遇重大事项须及时报备招标人。</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因中标人原因未及时报备招标人，导致任何事项发生的从当月服务费用中扣除500元/次。扣考核评分1分/次。 </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中标人未及时与派遣员工签订劳动合同、为外包人员办理保险的。</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由此产生的一切不利后果由中标人承担，包括但不限于社保尚未办理或未生效期间发生工伤、医疗等所产生的费用和纠纷。每发现一例从当月服务费中扣除400元。扣考核评分1分/人次。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2968"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中标人未能及时、足额支付外包人员的月工资、保险费用等待遇费用的。</w:t>
            </w:r>
          </w:p>
        </w:tc>
        <w:tc>
          <w:tcPr>
            <w:tcW w:w="3257"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因此引起的不利后果由中标人承担。招标人有权从中标人的相关服务费用中等额扣除其应发而未发部分，招标人可将工资直接发给外包人员并有权提出解除合同。经招标人函告后，仍未发的，招标人有权暂缓支付中标人的相关服务费 用。中标人负责处理向员工支付拖欠的工资、为其缴纳社保等相关待遇并承担相关责任。每发现一例无故未发工资等行为，从当月服务费中扣除300元，扣考核评分1分/人次。</w:t>
            </w:r>
          </w:p>
        </w:tc>
        <w:tc>
          <w:tcPr>
            <w:tcW w:w="81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合计</w:t>
            </w:r>
          </w:p>
        </w:tc>
        <w:tc>
          <w:tcPr>
            <w:tcW w:w="7039"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800" w:type="dxa"/>
            <w:noWrap w:val="0"/>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2" w:type="dxa"/>
            <w:gridSpan w:val="4"/>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备注：1.招标人每月对中标人的服务进行一次考核，如有相应处罚则在当月服务费中扣除；2.招标人在日常监督考核中发现中标人通过虚报人数、工时等方式获取不正当收益的，招标人有权立即终止合同，并追究中标人全部责任，由此造成招标人经济损失的，损失金额从当月服务费用中扣除。</w:t>
            </w:r>
          </w:p>
        </w:tc>
        <w:tc>
          <w:tcPr>
            <w:tcW w:w="800" w:type="dxa"/>
            <w:noWrap w:val="0"/>
            <w:vAlign w:val="center"/>
          </w:tcPr>
          <w:p>
            <w:pPr>
              <w:rPr>
                <w:rFonts w:hint="eastAsia" w:ascii="仿宋_GB2312" w:hAnsi="仿宋_GB2312" w:eastAsia="仿宋_GB2312" w:cs="仿宋_GB2312"/>
                <w:szCs w:val="21"/>
              </w:rPr>
            </w:pPr>
          </w:p>
        </w:tc>
      </w:tr>
    </w:tbl>
    <w:p>
      <w:pPr>
        <w:rPr>
          <w:rFonts w:ascii="宋体" w:hAnsi="宋体" w:cs="宋体"/>
          <w:sz w:val="24"/>
          <w:szCs w:val="24"/>
        </w:rPr>
      </w:pPr>
      <w:r>
        <w:rPr>
          <w:rFonts w:ascii="宋体" w:hAnsi="宋体" w:cs="宋体"/>
          <w:sz w:val="24"/>
          <w:szCs w:val="24"/>
        </w:rPr>
        <w:br w:type="page"/>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附件2：售票员/项目现场管理人员定期考核表（总分100）</w:t>
      </w:r>
    </w:p>
    <w:p>
      <w:pPr>
        <w:pStyle w:val="18"/>
        <w:rPr>
          <w:rFonts w:hint="eastAsia"/>
        </w:rPr>
      </w:pPr>
    </w:p>
    <w:tbl>
      <w:tblPr>
        <w:tblStyle w:val="19"/>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039"/>
        <w:gridCol w:w="4105"/>
        <w:gridCol w:w="947"/>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2" w:type="dxa"/>
            <w:noWrap w:val="0"/>
            <w:vAlign w:val="center"/>
          </w:tcPr>
          <w:p>
            <w:pPr>
              <w:pStyle w:val="18"/>
              <w:spacing w:line="240" w:lineRule="auto"/>
              <w:ind w:left="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3039" w:type="dxa"/>
            <w:noWrap w:val="0"/>
            <w:vAlign w:val="center"/>
          </w:tcPr>
          <w:p>
            <w:pPr>
              <w:pStyle w:val="18"/>
              <w:spacing w:line="24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服务标准</w:t>
            </w:r>
          </w:p>
        </w:tc>
        <w:tc>
          <w:tcPr>
            <w:tcW w:w="4105" w:type="dxa"/>
            <w:noWrap w:val="0"/>
            <w:vAlign w:val="center"/>
          </w:tcPr>
          <w:p>
            <w:pPr>
              <w:pStyle w:val="18"/>
              <w:spacing w:line="240" w:lineRule="auto"/>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考核标准</w:t>
            </w:r>
          </w:p>
        </w:tc>
        <w:tc>
          <w:tcPr>
            <w:tcW w:w="947" w:type="dxa"/>
            <w:noWrap w:val="0"/>
            <w:vAlign w:val="center"/>
          </w:tcPr>
          <w:p>
            <w:pPr>
              <w:pStyle w:val="18"/>
              <w:spacing w:line="240" w:lineRule="auto"/>
              <w:ind w:left="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c>
          <w:tcPr>
            <w:tcW w:w="833" w:type="dxa"/>
            <w:noWrap w:val="0"/>
            <w:vAlign w:val="center"/>
          </w:tcPr>
          <w:p>
            <w:pPr>
              <w:pStyle w:val="18"/>
              <w:spacing w:line="240" w:lineRule="auto"/>
              <w:ind w:left="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52" w:type="dxa"/>
            <w:noWrap w:val="0"/>
            <w:vAlign w:val="center"/>
          </w:tcPr>
          <w:p>
            <w:pPr>
              <w:pStyle w:val="18"/>
              <w:spacing w:line="240" w:lineRule="auto"/>
              <w:ind w:left="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039" w:type="dxa"/>
            <w:noWrap w:val="0"/>
            <w:vAlign w:val="center"/>
          </w:tcPr>
          <w:p>
            <w:pPr>
              <w:pStyle w:val="18"/>
              <w:spacing w:line="240" w:lineRule="auto"/>
              <w:ind w:left="0" w:firstLine="0" w:firstLineChars="0"/>
              <w:jc w:val="left"/>
              <w:rPr>
                <w:rFonts w:hint="eastAsia" w:ascii="仿宋_GB2312" w:hAnsi="仿宋_GB2312" w:eastAsia="仿宋_GB2312" w:cs="仿宋_GB2312"/>
                <w:spacing w:val="5"/>
                <w:sz w:val="21"/>
                <w:szCs w:val="21"/>
              </w:rPr>
            </w:pPr>
            <w:r>
              <w:rPr>
                <w:rFonts w:hint="eastAsia" w:ascii="仿宋_GB2312" w:hAnsi="仿宋_GB2312" w:eastAsia="仿宋_GB2312" w:cs="仿宋_GB2312"/>
                <w:sz w:val="21"/>
                <w:szCs w:val="21"/>
              </w:rPr>
              <w:t>服从工作安排，严于职守，姿态良好，严禁大声喧哗和打闹。</w:t>
            </w:r>
          </w:p>
        </w:tc>
        <w:tc>
          <w:tcPr>
            <w:tcW w:w="4105" w:type="dxa"/>
            <w:noWrap w:val="0"/>
            <w:vAlign w:val="center"/>
          </w:tcPr>
          <w:p>
            <w:pPr>
              <w:pStyle w:val="18"/>
              <w:spacing w:line="240" w:lineRule="auto"/>
              <w:ind w:left="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不按时交接班，私下调班、顶班，窜岗、睡岗或除旷工外违反考勤制度的行为，经发现扣2分/次；出现喧哗、打闹现象1分/人/次。</w:t>
            </w:r>
          </w:p>
        </w:tc>
        <w:tc>
          <w:tcPr>
            <w:tcW w:w="947" w:type="dxa"/>
            <w:noWrap w:val="0"/>
            <w:vAlign w:val="center"/>
          </w:tcPr>
          <w:p>
            <w:pPr>
              <w:pStyle w:val="18"/>
              <w:spacing w:line="240" w:lineRule="auto"/>
              <w:ind w:left="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833" w:type="dxa"/>
            <w:noWrap w:val="0"/>
            <w:vAlign w:val="top"/>
          </w:tcPr>
          <w:p>
            <w:pPr>
              <w:pStyle w:val="18"/>
              <w:spacing w:line="240" w:lineRule="auto"/>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52" w:type="dxa"/>
            <w:noWrap w:val="0"/>
            <w:vAlign w:val="center"/>
          </w:tcPr>
          <w:p>
            <w:pPr>
              <w:pStyle w:val="18"/>
              <w:spacing w:line="240" w:lineRule="auto"/>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039" w:type="dxa"/>
            <w:noWrap w:val="0"/>
            <w:vAlign w:val="center"/>
          </w:tcPr>
          <w:p>
            <w:pPr>
              <w:pStyle w:val="18"/>
              <w:spacing w:line="240" w:lineRule="auto"/>
              <w:ind w:left="0" w:firstLine="0" w:firstLineChars="0"/>
              <w:jc w:val="left"/>
              <w:rPr>
                <w:rFonts w:hint="eastAsia" w:ascii="仿宋_GB2312" w:hAnsi="仿宋_GB2312" w:eastAsia="仿宋_GB2312" w:cs="仿宋_GB2312"/>
                <w:spacing w:val="5"/>
                <w:sz w:val="21"/>
                <w:szCs w:val="21"/>
              </w:rPr>
            </w:pPr>
            <w:r>
              <w:rPr>
                <w:rFonts w:hint="eastAsia" w:ascii="仿宋_GB2312" w:hAnsi="仿宋_GB2312" w:eastAsia="仿宋_GB2312" w:cs="仿宋_GB2312"/>
                <w:sz w:val="21"/>
                <w:szCs w:val="21"/>
              </w:rPr>
              <w:t>举止文明，礼貌待人，维护招标人形象。</w:t>
            </w:r>
          </w:p>
        </w:tc>
        <w:tc>
          <w:tcPr>
            <w:tcW w:w="4105" w:type="dxa"/>
            <w:noWrap w:val="0"/>
            <w:vAlign w:val="center"/>
          </w:tcPr>
          <w:p>
            <w:pPr>
              <w:pStyle w:val="18"/>
              <w:spacing w:line="240" w:lineRule="auto"/>
              <w:ind w:left="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与游客、同事发生争吵打架的1 分/次；酗酒（含酒后上班）1 分/人/次；见利忘义监守自盗1分/次。</w:t>
            </w:r>
          </w:p>
        </w:tc>
        <w:tc>
          <w:tcPr>
            <w:tcW w:w="947" w:type="dxa"/>
            <w:noWrap w:val="0"/>
            <w:vAlign w:val="center"/>
          </w:tcPr>
          <w:p>
            <w:pPr>
              <w:pStyle w:val="18"/>
              <w:spacing w:line="240" w:lineRule="auto"/>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833" w:type="dxa"/>
            <w:noWrap w:val="0"/>
            <w:vAlign w:val="top"/>
          </w:tcPr>
          <w:p>
            <w:pPr>
              <w:pStyle w:val="18"/>
              <w:spacing w:line="240" w:lineRule="auto"/>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652" w:type="dxa"/>
            <w:noWrap w:val="0"/>
            <w:vAlign w:val="center"/>
          </w:tcPr>
          <w:p>
            <w:pPr>
              <w:pStyle w:val="18"/>
              <w:spacing w:line="240" w:lineRule="auto"/>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039" w:type="dxa"/>
            <w:noWrap w:val="0"/>
            <w:vAlign w:val="center"/>
          </w:tcPr>
          <w:p>
            <w:pPr>
              <w:pStyle w:val="18"/>
              <w:spacing w:line="240" w:lineRule="auto"/>
              <w:ind w:left="0" w:firstLine="0" w:firstLineChars="0"/>
              <w:jc w:val="left"/>
              <w:rPr>
                <w:rFonts w:hint="eastAsia" w:ascii="仿宋_GB2312" w:hAnsi="仿宋_GB2312" w:eastAsia="仿宋_GB2312" w:cs="仿宋_GB2312"/>
                <w:spacing w:val="5"/>
                <w:sz w:val="21"/>
                <w:szCs w:val="21"/>
              </w:rPr>
            </w:pPr>
            <w:r>
              <w:rPr>
                <w:rFonts w:hint="eastAsia" w:ascii="仿宋_GB2312" w:hAnsi="仿宋_GB2312" w:eastAsia="仿宋_GB2312" w:cs="仿宋_GB2312"/>
                <w:sz w:val="21"/>
                <w:szCs w:val="21"/>
              </w:rPr>
              <w:t>按时上下班，上班不做与工作无关的事（如玩手机、睡觉等）。</w:t>
            </w:r>
          </w:p>
        </w:tc>
        <w:tc>
          <w:tcPr>
            <w:tcW w:w="4105" w:type="dxa"/>
            <w:noWrap w:val="0"/>
            <w:vAlign w:val="center"/>
          </w:tcPr>
          <w:p>
            <w:pPr>
              <w:pStyle w:val="18"/>
              <w:spacing w:line="240" w:lineRule="auto"/>
              <w:ind w:left="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脱岗或迟到、早退或上班串岗20分钟及以上，经核实1分/次，计旷工1次。上班时间做与工作无关的事，扣1分/次。 </w:t>
            </w:r>
          </w:p>
        </w:tc>
        <w:tc>
          <w:tcPr>
            <w:tcW w:w="947" w:type="dxa"/>
            <w:noWrap w:val="0"/>
            <w:vAlign w:val="center"/>
          </w:tcPr>
          <w:p>
            <w:pPr>
              <w:pStyle w:val="18"/>
              <w:spacing w:line="240" w:lineRule="auto"/>
              <w:ind w:left="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33" w:type="dxa"/>
            <w:noWrap w:val="0"/>
            <w:vAlign w:val="top"/>
          </w:tcPr>
          <w:p>
            <w:pPr>
              <w:pStyle w:val="18"/>
              <w:spacing w:line="240" w:lineRule="auto"/>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52" w:type="dxa"/>
            <w:noWrap w:val="0"/>
            <w:vAlign w:val="center"/>
          </w:tcPr>
          <w:p>
            <w:pPr>
              <w:pStyle w:val="18"/>
              <w:spacing w:line="240" w:lineRule="auto"/>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039" w:type="dxa"/>
            <w:noWrap w:val="0"/>
            <w:vAlign w:val="center"/>
          </w:tcPr>
          <w:p>
            <w:pPr>
              <w:pStyle w:val="18"/>
              <w:spacing w:line="240" w:lineRule="auto"/>
              <w:ind w:left="0" w:firstLine="0" w:firstLineChars="0"/>
              <w:jc w:val="left"/>
              <w:rPr>
                <w:rFonts w:hint="eastAsia" w:ascii="仿宋_GB2312" w:hAnsi="仿宋_GB2312" w:eastAsia="仿宋_GB2312" w:cs="仿宋_GB2312"/>
                <w:spacing w:val="5"/>
                <w:sz w:val="21"/>
                <w:szCs w:val="21"/>
              </w:rPr>
            </w:pPr>
            <w:r>
              <w:rPr>
                <w:rFonts w:hint="eastAsia" w:ascii="仿宋_GB2312" w:hAnsi="仿宋_GB2312" w:eastAsia="仿宋_GB2312" w:cs="仿宋_GB2312"/>
                <w:sz w:val="21"/>
                <w:szCs w:val="21"/>
              </w:rPr>
              <w:t>工作期间禁止因私会客。</w:t>
            </w:r>
          </w:p>
        </w:tc>
        <w:tc>
          <w:tcPr>
            <w:tcW w:w="4105" w:type="dxa"/>
            <w:noWrap w:val="0"/>
            <w:vAlign w:val="center"/>
          </w:tcPr>
          <w:p>
            <w:pPr>
              <w:pStyle w:val="18"/>
              <w:spacing w:line="240" w:lineRule="auto"/>
              <w:ind w:left="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出现带学龄前儿童上班或会见工作以外人员超过15分钟者扣2分/次。</w:t>
            </w:r>
          </w:p>
        </w:tc>
        <w:tc>
          <w:tcPr>
            <w:tcW w:w="947" w:type="dxa"/>
            <w:noWrap w:val="0"/>
            <w:vAlign w:val="center"/>
          </w:tcPr>
          <w:p>
            <w:pPr>
              <w:pStyle w:val="18"/>
              <w:spacing w:line="240" w:lineRule="auto"/>
              <w:ind w:left="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33" w:type="dxa"/>
            <w:noWrap w:val="0"/>
            <w:vAlign w:val="top"/>
          </w:tcPr>
          <w:p>
            <w:pPr>
              <w:pStyle w:val="18"/>
              <w:spacing w:line="240" w:lineRule="auto"/>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52" w:type="dxa"/>
            <w:noWrap w:val="0"/>
            <w:vAlign w:val="center"/>
          </w:tcPr>
          <w:p>
            <w:pPr>
              <w:pStyle w:val="18"/>
              <w:spacing w:line="240" w:lineRule="auto"/>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039" w:type="dxa"/>
            <w:noWrap w:val="0"/>
            <w:vAlign w:val="center"/>
          </w:tcPr>
          <w:p>
            <w:pPr>
              <w:pStyle w:val="18"/>
              <w:spacing w:line="240" w:lineRule="auto"/>
              <w:ind w:left="0" w:firstLine="0" w:firstLineChars="0"/>
              <w:jc w:val="left"/>
              <w:rPr>
                <w:rFonts w:hint="eastAsia" w:ascii="仿宋_GB2312" w:hAnsi="仿宋_GB2312" w:eastAsia="仿宋_GB2312" w:cs="仿宋_GB2312"/>
                <w:spacing w:val="5"/>
                <w:sz w:val="21"/>
                <w:szCs w:val="21"/>
              </w:rPr>
            </w:pPr>
            <w:r>
              <w:rPr>
                <w:rFonts w:hint="eastAsia" w:ascii="仿宋_GB2312" w:hAnsi="仿宋_GB2312" w:eastAsia="仿宋_GB2312" w:cs="仿宋_GB2312"/>
                <w:sz w:val="21"/>
                <w:szCs w:val="21"/>
              </w:rPr>
              <w:t>禁止向游客索取小费、敲诈、私收现金等同类行为。</w:t>
            </w:r>
          </w:p>
        </w:tc>
        <w:tc>
          <w:tcPr>
            <w:tcW w:w="4105" w:type="dxa"/>
            <w:noWrap w:val="0"/>
            <w:vAlign w:val="center"/>
          </w:tcPr>
          <w:p>
            <w:pPr>
              <w:pStyle w:val="18"/>
              <w:spacing w:line="240" w:lineRule="auto"/>
              <w:ind w:left="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出现2分/人/次。</w:t>
            </w:r>
          </w:p>
        </w:tc>
        <w:tc>
          <w:tcPr>
            <w:tcW w:w="947" w:type="dxa"/>
            <w:noWrap w:val="0"/>
            <w:vAlign w:val="center"/>
          </w:tcPr>
          <w:p>
            <w:pPr>
              <w:pStyle w:val="18"/>
              <w:spacing w:line="240" w:lineRule="auto"/>
              <w:ind w:left="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33" w:type="dxa"/>
            <w:noWrap w:val="0"/>
            <w:vAlign w:val="top"/>
          </w:tcPr>
          <w:p>
            <w:pPr>
              <w:pStyle w:val="18"/>
              <w:spacing w:line="240" w:lineRule="auto"/>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52" w:type="dxa"/>
            <w:noWrap w:val="0"/>
            <w:vAlign w:val="center"/>
          </w:tcPr>
          <w:p>
            <w:pPr>
              <w:pStyle w:val="18"/>
              <w:spacing w:line="240" w:lineRule="auto"/>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039" w:type="dxa"/>
            <w:noWrap w:val="0"/>
            <w:vAlign w:val="center"/>
          </w:tcPr>
          <w:p>
            <w:pPr>
              <w:tabs>
                <w:tab w:val="left" w:pos="486"/>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询问、查验并登记来访人员，按照规定做好相应引导、办事说明。</w:t>
            </w:r>
          </w:p>
        </w:tc>
        <w:tc>
          <w:tcPr>
            <w:tcW w:w="4105" w:type="dxa"/>
            <w:noWrap w:val="0"/>
            <w:vAlign w:val="center"/>
          </w:tcPr>
          <w:p>
            <w:pPr>
              <w:tabs>
                <w:tab w:val="left" w:pos="486"/>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发现未查验、登记来访人员证件或服务不周全的扣2分/次</w:t>
            </w:r>
          </w:p>
        </w:tc>
        <w:tc>
          <w:tcPr>
            <w:tcW w:w="947" w:type="dxa"/>
            <w:noWrap w:val="0"/>
            <w:vAlign w:val="center"/>
          </w:tcPr>
          <w:p>
            <w:pPr>
              <w:pStyle w:val="18"/>
              <w:spacing w:line="240" w:lineRule="auto"/>
              <w:ind w:left="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33" w:type="dxa"/>
            <w:noWrap w:val="0"/>
            <w:vAlign w:val="top"/>
          </w:tcPr>
          <w:p>
            <w:pPr>
              <w:pStyle w:val="18"/>
              <w:spacing w:line="240" w:lineRule="auto"/>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noWrap w:val="0"/>
            <w:vAlign w:val="center"/>
          </w:tcPr>
          <w:p>
            <w:pPr>
              <w:pStyle w:val="18"/>
              <w:spacing w:line="240" w:lineRule="auto"/>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039" w:type="dxa"/>
            <w:noWrap w:val="0"/>
            <w:vAlign w:val="center"/>
          </w:tcPr>
          <w:p>
            <w:pPr>
              <w:tabs>
                <w:tab w:val="left" w:pos="486"/>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遇来访客人时，马上进行引导，引导率和及时跟进服务率 85%以上。</w:t>
            </w:r>
          </w:p>
        </w:tc>
        <w:tc>
          <w:tcPr>
            <w:tcW w:w="4105" w:type="dxa"/>
            <w:noWrap w:val="0"/>
            <w:vAlign w:val="center"/>
          </w:tcPr>
          <w:p>
            <w:pPr>
              <w:tabs>
                <w:tab w:val="left" w:pos="486"/>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不引导来访客人，每次扣2分。</w:t>
            </w:r>
          </w:p>
        </w:tc>
        <w:tc>
          <w:tcPr>
            <w:tcW w:w="947" w:type="dxa"/>
            <w:noWrap w:val="0"/>
            <w:vAlign w:val="center"/>
          </w:tcPr>
          <w:p>
            <w:pPr>
              <w:pStyle w:val="18"/>
              <w:spacing w:line="240" w:lineRule="auto"/>
              <w:ind w:left="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33" w:type="dxa"/>
            <w:noWrap w:val="0"/>
            <w:vAlign w:val="top"/>
          </w:tcPr>
          <w:p>
            <w:pPr>
              <w:pStyle w:val="18"/>
              <w:spacing w:line="240" w:lineRule="auto"/>
              <w:ind w:firstLine="0" w:firstLine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52" w:type="dxa"/>
            <w:noWrap w:val="0"/>
            <w:vAlign w:val="center"/>
          </w:tcPr>
          <w:p>
            <w:pPr>
              <w:pStyle w:val="18"/>
              <w:spacing w:line="240" w:lineRule="auto"/>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039" w:type="dxa"/>
            <w:noWrap w:val="0"/>
            <w:vAlign w:val="center"/>
          </w:tcPr>
          <w:p>
            <w:pPr>
              <w:tabs>
                <w:tab w:val="left" w:pos="486"/>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巡视卫生、绿化、维修等工作情况，发现问题及时处理并报告有关负责人做好记录工作，跟进处理情况。</w:t>
            </w:r>
          </w:p>
        </w:tc>
        <w:tc>
          <w:tcPr>
            <w:tcW w:w="4105" w:type="dxa"/>
            <w:noWrap w:val="0"/>
            <w:vAlign w:val="center"/>
          </w:tcPr>
          <w:p>
            <w:pPr>
              <w:tabs>
                <w:tab w:val="left" w:pos="486"/>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发现工作未及时处理或处理不当的，扣2分/次。</w:t>
            </w:r>
          </w:p>
        </w:tc>
        <w:tc>
          <w:tcPr>
            <w:tcW w:w="947"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33" w:type="dxa"/>
            <w:noWrap w:val="0"/>
            <w:vAlign w:val="top"/>
          </w:tcPr>
          <w:p>
            <w:pPr>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52" w:type="dxa"/>
            <w:noWrap w:val="0"/>
            <w:vAlign w:val="center"/>
          </w:tcPr>
          <w:p>
            <w:pPr>
              <w:pStyle w:val="18"/>
              <w:spacing w:line="240" w:lineRule="auto"/>
              <w:ind w:left="0"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039" w:type="dxa"/>
            <w:noWrap w:val="0"/>
            <w:vAlign w:val="center"/>
          </w:tcPr>
          <w:p>
            <w:pPr>
              <w:tabs>
                <w:tab w:val="left" w:pos="486"/>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服务人员应严格遵守保密规定，不得泄露公司保密内容。</w:t>
            </w:r>
          </w:p>
        </w:tc>
        <w:tc>
          <w:tcPr>
            <w:tcW w:w="4105" w:type="dxa"/>
            <w:noWrap w:val="0"/>
            <w:vAlign w:val="center"/>
          </w:tcPr>
          <w:p>
            <w:pPr>
              <w:tabs>
                <w:tab w:val="left" w:pos="486"/>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发现一次或发生投诉事件的，扣5分。</w:t>
            </w:r>
          </w:p>
        </w:tc>
        <w:tc>
          <w:tcPr>
            <w:tcW w:w="947"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833" w:type="dxa"/>
            <w:noWrap w:val="0"/>
            <w:vAlign w:val="top"/>
          </w:tcPr>
          <w:p>
            <w:pPr>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2" w:type="dxa"/>
            <w:noWrap w:val="0"/>
            <w:vAlign w:val="center"/>
          </w:tcPr>
          <w:p>
            <w:pPr>
              <w:pStyle w:val="18"/>
              <w:spacing w:line="240" w:lineRule="auto"/>
              <w:ind w:left="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8091"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833" w:type="dxa"/>
            <w:noWrap w:val="0"/>
            <w:vAlign w:val="top"/>
          </w:tcPr>
          <w:p>
            <w:pPr>
              <w:jc w:val="left"/>
              <w:rPr>
                <w:rFonts w:hint="eastAsia" w:ascii="仿宋_GB2312" w:hAnsi="仿宋_GB2312" w:eastAsia="仿宋_GB2312" w:cs="仿宋_GB2312"/>
                <w:szCs w:val="21"/>
              </w:rPr>
            </w:pPr>
          </w:p>
        </w:tc>
      </w:tr>
      <w:bookmarkEnd w:id="41"/>
    </w:tbl>
    <w:p>
      <w:pPr>
        <w:pStyle w:val="2"/>
        <w:ind w:left="0"/>
        <w:rPr>
          <w:rFonts w:ascii="仿宋_GB2312" w:hAnsi="仿宋_GB2312" w:eastAsia="仿宋_GB2312" w:cs="仿宋_GB2312"/>
          <w:sz w:val="21"/>
          <w:szCs w:val="21"/>
          <w:lang w:val="en-US"/>
        </w:rPr>
      </w:pPr>
    </w:p>
    <w:p>
      <w:pPr>
        <w:pStyle w:val="18"/>
        <w:ind w:left="0" w:firstLine="0" w:firstLineChars="0"/>
        <w:rPr>
          <w:rFonts w:hint="eastAsia"/>
        </w:rPr>
      </w:pPr>
    </w:p>
    <w:p>
      <w:pPr>
        <w:pStyle w:val="24"/>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bCs/>
          <w:kern w:val="2"/>
          <w:sz w:val="28"/>
          <w:szCs w:val="28"/>
          <w:highlight w:val="none"/>
          <w:lang w:val="en-US" w:eastAsia="zh-CN"/>
        </w:rPr>
      </w:pPr>
    </w:p>
    <w:p>
      <w:pPr>
        <w:pStyle w:val="3"/>
        <w:rPr>
          <w:rFonts w:hint="eastAsia" w:ascii="宋体" w:hAnsi="宋体"/>
          <w:sz w:val="24"/>
          <w:szCs w:val="24"/>
        </w:rPr>
      </w:pPr>
    </w:p>
    <w:p>
      <w:pPr>
        <w:pStyle w:val="4"/>
        <w:jc w:val="center"/>
        <w:rPr>
          <w:rFonts w:hint="eastAsia" w:hAnsi="宋体" w:eastAsia="黑体"/>
          <w:szCs w:val="22"/>
          <w:highlight w:val="none"/>
          <w:lang w:eastAsia="zh-CN"/>
        </w:rPr>
      </w:pPr>
      <w:bookmarkStart w:id="42" w:name="_Toc63412030"/>
      <w:bookmarkStart w:id="43" w:name="_Toc38879335"/>
      <w:bookmarkStart w:id="44" w:name="_Toc27554"/>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2"/>
      <w:bookmarkEnd w:id="43"/>
      <w:r>
        <w:rPr>
          <w:rFonts w:hint="eastAsia" w:ascii="黑体" w:hAnsi="黑体" w:eastAsia="黑体"/>
          <w:b w:val="0"/>
          <w:highlight w:val="none"/>
          <w:lang w:eastAsia="zh-CN"/>
        </w:rPr>
        <w:t>与标准</w:t>
      </w:r>
      <w:bookmarkEnd w:id="44"/>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5"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3"/>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4"/>
        <w:gridCol w:w="2182"/>
        <w:gridCol w:w="77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noWrap w:val="0"/>
            <w:vAlign w:val="center"/>
          </w:tcPr>
          <w:p>
            <w:pPr>
              <w:pStyle w:val="3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84" w:type="pct"/>
            <w:tcBorders>
              <w:bottom w:val="single" w:color="auto" w:sz="4" w:space="0"/>
            </w:tcBorders>
            <w:noWrap w:val="0"/>
            <w:vAlign w:val="center"/>
          </w:tcPr>
          <w:p>
            <w:pPr>
              <w:pStyle w:val="3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1497"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3" w:type="pct"/>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84"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1251"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1497" w:type="pct"/>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7"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7" w:type="pct"/>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1251" w:type="pct"/>
            <w:noWrap w:val="0"/>
            <w:vAlign w:val="center"/>
          </w:tcPr>
          <w:p>
            <w:pPr>
              <w:pStyle w:val="3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7"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3"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9</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7"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 xml:space="preserve">70  </w:t>
      </w:r>
      <w:r>
        <w:rPr>
          <w:rFonts w:hint="eastAsia" w:ascii="宋体" w:hAnsi="宋体" w:eastAsia="宋体" w:cs="Times New Roman"/>
          <w:sz w:val="24"/>
          <w:u w:val="single"/>
          <w:lang w:val="en-US" w:eastAsia="zh-CN"/>
        </w:rPr>
        <w:t>%</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30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20"/>
        <w:tblW w:w="918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695"/>
        <w:gridCol w:w="47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0" w:type="dxa"/>
            <w:noWrap w:val="0"/>
            <w:vAlign w:val="top"/>
          </w:tcPr>
          <w:p>
            <w:pPr>
              <w:pStyle w:val="38"/>
              <w:spacing w:before="40" w:line="219"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pacing w:val="-5"/>
                <w:sz w:val="24"/>
                <w:szCs w:val="24"/>
              </w:rPr>
              <w:t>类别</w:t>
            </w:r>
          </w:p>
        </w:tc>
        <w:tc>
          <w:tcPr>
            <w:tcW w:w="1695" w:type="dxa"/>
            <w:noWrap w:val="0"/>
            <w:vAlign w:val="top"/>
          </w:tcPr>
          <w:p>
            <w:pPr>
              <w:pStyle w:val="38"/>
              <w:spacing w:before="40" w:line="219" w:lineRule="auto"/>
              <w:ind w:left="144" w:leftChars="0"/>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pacing w:val="-2"/>
                <w:sz w:val="24"/>
                <w:szCs w:val="24"/>
              </w:rPr>
              <w:t>评分内容</w:t>
            </w:r>
          </w:p>
        </w:tc>
        <w:tc>
          <w:tcPr>
            <w:tcW w:w="4755" w:type="dxa"/>
            <w:noWrap w:val="0"/>
            <w:vAlign w:val="top"/>
          </w:tcPr>
          <w:p>
            <w:pPr>
              <w:pStyle w:val="38"/>
              <w:spacing w:before="39" w:line="220"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pacing w:val="-2"/>
                <w:sz w:val="24"/>
                <w:szCs w:val="24"/>
              </w:rPr>
              <w:t>评分标准</w:t>
            </w:r>
          </w:p>
        </w:tc>
        <w:tc>
          <w:tcPr>
            <w:tcW w:w="1320" w:type="dxa"/>
            <w:noWrap w:val="0"/>
            <w:vAlign w:val="top"/>
          </w:tcPr>
          <w:p>
            <w:pPr>
              <w:pStyle w:val="38"/>
              <w:spacing w:before="40" w:line="219"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pacing w:val="-3"/>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10" w:type="dxa"/>
            <w:vMerge w:val="restart"/>
            <w:noWrap w:val="0"/>
            <w:vAlign w:val="top"/>
          </w:tcPr>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en-US" w:bidi="ar-SA"/>
              </w:rPr>
            </w:pPr>
          </w:p>
          <w:p>
            <w:pPr>
              <w:pStyle w:val="38"/>
              <w:spacing w:before="78" w:line="359" w:lineRule="auto"/>
              <w:ind w:right="228"/>
              <w:jc w:val="center"/>
              <w:rPr>
                <w:rFonts w:hint="eastAsia" w:ascii="宋体" w:hAnsi="宋体" w:eastAsia="宋体" w:cs="宋体"/>
                <w:snapToGrid w:val="0"/>
                <w:color w:val="000000"/>
                <w:spacing w:val="-3"/>
                <w:kern w:val="0"/>
                <w:position w:val="17"/>
                <w:sz w:val="21"/>
                <w:szCs w:val="21"/>
                <w:lang w:val="en-US" w:eastAsia="zh-CN" w:bidi="ar-SA"/>
              </w:rPr>
            </w:pPr>
            <w:r>
              <w:rPr>
                <w:rFonts w:hint="eastAsia" w:ascii="宋体" w:hAnsi="宋体" w:eastAsia="宋体" w:cs="宋体"/>
                <w:snapToGrid w:val="0"/>
                <w:color w:val="000000"/>
                <w:spacing w:val="-3"/>
                <w:kern w:val="0"/>
                <w:position w:val="17"/>
                <w:sz w:val="21"/>
                <w:szCs w:val="21"/>
                <w:lang w:val="en-US" w:eastAsia="en-US" w:bidi="ar-SA"/>
              </w:rPr>
              <w:t>技术资信</w:t>
            </w:r>
            <w:r>
              <w:rPr>
                <w:rFonts w:hint="eastAsia" w:ascii="宋体" w:hAnsi="宋体" w:eastAsia="宋体" w:cs="宋体"/>
                <w:snapToGrid w:val="0"/>
                <w:color w:val="000000"/>
                <w:spacing w:val="-3"/>
                <w:kern w:val="0"/>
                <w:position w:val="17"/>
                <w:sz w:val="21"/>
                <w:szCs w:val="21"/>
                <w:lang w:val="en-US" w:eastAsia="zh-CN" w:bidi="ar-SA"/>
              </w:rPr>
              <w:t>分</w:t>
            </w:r>
          </w:p>
          <w:p>
            <w:pPr>
              <w:pStyle w:val="38"/>
              <w:spacing w:before="78" w:line="359" w:lineRule="auto"/>
              <w:ind w:right="228"/>
              <w:jc w:val="both"/>
              <w:rPr>
                <w:sz w:val="21"/>
                <w:szCs w:val="21"/>
                <w:vertAlign w:val="baseline"/>
              </w:rPr>
            </w:pPr>
            <w:r>
              <w:rPr>
                <w:rFonts w:hint="eastAsia" w:ascii="宋体" w:hAnsi="宋体" w:eastAsia="宋体" w:cs="宋体"/>
                <w:snapToGrid w:val="0"/>
                <w:color w:val="000000"/>
                <w:spacing w:val="-3"/>
                <w:kern w:val="0"/>
                <w:position w:val="17"/>
                <w:sz w:val="21"/>
                <w:szCs w:val="21"/>
                <w:lang w:val="en-US" w:eastAsia="en-US" w:bidi="ar-SA"/>
              </w:rPr>
              <w:t>（90</w:t>
            </w:r>
            <w:r>
              <w:rPr>
                <w:rFonts w:hint="eastAsia" w:cs="宋体"/>
                <w:snapToGrid w:val="0"/>
                <w:color w:val="000000"/>
                <w:spacing w:val="-3"/>
                <w:kern w:val="0"/>
                <w:position w:val="17"/>
                <w:sz w:val="21"/>
                <w:szCs w:val="21"/>
                <w:lang w:val="en-US" w:eastAsia="zh-CN" w:bidi="ar-SA"/>
              </w:rPr>
              <w:t>分</w:t>
            </w:r>
            <w:r>
              <w:rPr>
                <w:rFonts w:hint="eastAsia" w:ascii="宋体" w:hAnsi="宋体" w:eastAsia="宋体" w:cs="宋体"/>
                <w:snapToGrid w:val="0"/>
                <w:color w:val="000000"/>
                <w:spacing w:val="-3"/>
                <w:kern w:val="0"/>
                <w:position w:val="17"/>
                <w:sz w:val="21"/>
                <w:szCs w:val="21"/>
                <w:lang w:val="en-US" w:eastAsia="en-US" w:bidi="ar-SA"/>
              </w:rPr>
              <w:t>）</w:t>
            </w:r>
          </w:p>
        </w:tc>
        <w:tc>
          <w:tcPr>
            <w:tcW w:w="1695" w:type="dxa"/>
            <w:noWrap w:val="0"/>
            <w:vAlign w:val="top"/>
          </w:tcPr>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r>
              <w:rPr>
                <w:rFonts w:hint="eastAsia" w:ascii="宋体" w:hAnsi="宋体" w:eastAsia="宋体" w:cs="宋体"/>
                <w:spacing w:val="-3"/>
                <w:position w:val="17"/>
                <w:sz w:val="21"/>
                <w:szCs w:val="21"/>
              </w:rPr>
              <w:t>拟配备项目管理团队</w:t>
            </w:r>
          </w:p>
        </w:tc>
        <w:tc>
          <w:tcPr>
            <w:tcW w:w="4755" w:type="dxa"/>
            <w:noWrap w:val="0"/>
            <w:vAlign w:val="top"/>
          </w:tcPr>
          <w:p>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项目负责人（1人）：</w:t>
            </w:r>
          </w:p>
          <w:p>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1.大专及以上学历证书，得 2 分，满分2分；</w:t>
            </w:r>
          </w:p>
          <w:p>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2.具有企业人力资源管理师二级及以上资格证书，得 3 分，满分3分；</w:t>
            </w:r>
          </w:p>
          <w:p>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highlight w:val="yellow"/>
                <w:lang w:val="en-US" w:eastAsia="zh-CN" w:bidi="ar-SA"/>
              </w:rPr>
            </w:pPr>
            <w:r>
              <w:rPr>
                <w:rFonts w:hint="eastAsia" w:ascii="宋体" w:hAnsi="宋体" w:eastAsia="宋体" w:cs="宋体"/>
                <w:sz w:val="21"/>
                <w:szCs w:val="21"/>
                <w:highlight w:val="none"/>
                <w:lang w:val="en-US" w:eastAsia="zh-CN" w:bidi="ar-SA"/>
              </w:rPr>
              <w:t>3.</w:t>
            </w:r>
            <w:r>
              <w:rPr>
                <w:rFonts w:hint="eastAsia" w:ascii="宋体" w:hAnsi="宋体" w:eastAsia="宋体" w:cs="宋体"/>
                <w:sz w:val="21"/>
                <w:szCs w:val="21"/>
                <w:lang w:val="en-US" w:eastAsia="zh-CN" w:bidi="ar-SA"/>
              </w:rPr>
              <w:t>具有劳务派遣管理员资格证书，得3分，满分3分</w:t>
            </w:r>
            <w:r>
              <w:rPr>
                <w:rFonts w:hint="eastAsia" w:ascii="宋体" w:hAnsi="宋体" w:eastAsia="宋体" w:cs="宋体"/>
                <w:sz w:val="21"/>
                <w:szCs w:val="21"/>
                <w:highlight w:val="none"/>
                <w:lang w:val="en-US" w:eastAsia="zh-CN" w:bidi="ar-SA"/>
              </w:rPr>
              <w:t>；</w:t>
            </w:r>
          </w:p>
          <w:p>
            <w:pPr>
              <w:keepNext w:val="0"/>
              <w:keepLines w:val="0"/>
              <w:pageBreakBefore w:val="0"/>
              <w:widowControl/>
              <w:tabs>
                <w:tab w:val="left" w:pos="1155"/>
              </w:tabs>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b/>
                <w:bCs/>
                <w:sz w:val="21"/>
                <w:szCs w:val="21"/>
              </w:rPr>
            </w:pP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团队人员</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除项目负责人外</w:t>
            </w:r>
            <w:r>
              <w:rPr>
                <w:rFonts w:hint="eastAsia" w:ascii="宋体" w:hAnsi="宋体" w:eastAsia="宋体" w:cs="宋体"/>
                <w:b/>
                <w:bCs/>
                <w:sz w:val="21"/>
                <w:szCs w:val="21"/>
              </w:rPr>
              <w:t>）：</w:t>
            </w:r>
          </w:p>
          <w:p>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1.具有企业人力资源相关资格证书，每个得1分，满分4分；</w:t>
            </w:r>
          </w:p>
          <w:p>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2.具有劳务派遣管理员资格证书，每个得1分，满分4分。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注：须提供人员证书材料扫描件或影印件，同时须提供投标单位为其连续缴</w:t>
            </w:r>
            <w:r>
              <w:rPr>
                <w:rFonts w:hint="eastAsia" w:ascii="宋体" w:hAnsi="宋体" w:eastAsia="宋体" w:cs="宋体"/>
                <w:sz w:val="21"/>
                <w:szCs w:val="21"/>
                <w:highlight w:val="none"/>
              </w:rPr>
              <w:t>纳近</w:t>
            </w:r>
            <w:r>
              <w:rPr>
                <w:rFonts w:hint="eastAsia" w:hAnsi="宋体" w:cs="宋体"/>
                <w:sz w:val="21"/>
                <w:szCs w:val="21"/>
                <w:highlight w:val="none"/>
                <w:lang w:val="en-US" w:eastAsia="zh-CN"/>
              </w:rPr>
              <w:t>3</w:t>
            </w:r>
            <w:r>
              <w:rPr>
                <w:rFonts w:hint="eastAsia" w:ascii="宋体" w:hAnsi="宋体" w:eastAsia="宋体" w:cs="宋体"/>
                <w:sz w:val="21"/>
                <w:szCs w:val="21"/>
                <w:highlight w:val="none"/>
              </w:rPr>
              <w:t>个月的</w:t>
            </w:r>
            <w:r>
              <w:rPr>
                <w:rFonts w:hint="eastAsia" w:ascii="宋体" w:hAnsi="宋体" w:eastAsia="宋体" w:cs="宋体"/>
                <w:sz w:val="21"/>
                <w:szCs w:val="21"/>
              </w:rPr>
              <w:t>经评委会认可的社保证明材料，具体可通过下述形式之一：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⑴社保局官方网站查询的缴费记录截图打印件；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sz w:val="21"/>
                <w:szCs w:val="21"/>
              </w:rPr>
              <w:t>⑵社保局的书面证明材料；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vertAlign w:val="baseline"/>
              </w:rPr>
            </w:pPr>
            <w:r>
              <w:rPr>
                <w:rFonts w:hint="eastAsia" w:ascii="宋体" w:hAnsi="宋体" w:eastAsia="宋体" w:cs="宋体"/>
                <w:sz w:val="21"/>
                <w:szCs w:val="21"/>
              </w:rPr>
              <w:t>⑶其他经评审小组认可的证明材料。</w:t>
            </w:r>
          </w:p>
        </w:tc>
        <w:tc>
          <w:tcPr>
            <w:tcW w:w="1320" w:type="dxa"/>
            <w:noWrap w:val="0"/>
            <w:vAlign w:val="top"/>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r>
              <w:rPr>
                <w:rFonts w:hint="eastAsia" w:hAnsi="宋体" w:cs="宋体"/>
                <w:sz w:val="21"/>
                <w:szCs w:val="21"/>
                <w:vertAlign w:val="baseline"/>
                <w:lang w:val="en-US" w:eastAsia="zh-CN"/>
              </w:rPr>
              <w:t>6</w:t>
            </w:r>
            <w:r>
              <w:rPr>
                <w:rFonts w:hint="eastAsia" w:ascii="宋体" w:hAnsi="宋体" w:eastAsia="宋体" w:cs="宋体"/>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10" w:type="dxa"/>
            <w:vMerge w:val="continue"/>
            <w:noWrap w:val="0"/>
            <w:vAlign w:val="top"/>
          </w:tcPr>
          <w:p>
            <w:pPr>
              <w:rPr>
                <w:sz w:val="21"/>
                <w:szCs w:val="21"/>
                <w:vertAlign w:val="baseline"/>
              </w:rPr>
            </w:pPr>
          </w:p>
        </w:tc>
        <w:tc>
          <w:tcPr>
            <w:tcW w:w="1695" w:type="dxa"/>
            <w:noWrap w:val="0"/>
            <w:vAlign w:val="top"/>
          </w:tcPr>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r>
              <w:rPr>
                <w:rFonts w:hint="eastAsia" w:ascii="宋体" w:hAnsi="宋体" w:eastAsia="宋体" w:cs="宋体"/>
                <w:spacing w:val="-3"/>
                <w:position w:val="17"/>
                <w:sz w:val="21"/>
                <w:szCs w:val="21"/>
              </w:rPr>
              <w:t>投标人荣誉</w:t>
            </w:r>
          </w:p>
        </w:tc>
        <w:tc>
          <w:tcPr>
            <w:tcW w:w="4755" w:type="dxa"/>
            <w:noWrap w:val="0"/>
            <w:vAlign w:val="top"/>
          </w:tcPr>
          <w:p>
            <w:pPr>
              <w:spacing w:line="36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近年来投标人获得省级及以上部门颁发的信用等级证书:</w:t>
            </w:r>
          </w:p>
          <w:p>
            <w:pPr>
              <w:spacing w:line="36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1.“AAAA”级的得 </w:t>
            </w:r>
            <w:r>
              <w:rPr>
                <w:rFonts w:hint="eastAsia"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分；</w:t>
            </w:r>
          </w:p>
          <w:p>
            <w:pPr>
              <w:spacing w:line="36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2.“AAA”级的得 2 分；</w:t>
            </w:r>
          </w:p>
          <w:p>
            <w:pPr>
              <w:spacing w:line="36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3.“AA”级的得 1 分；</w:t>
            </w:r>
          </w:p>
          <w:p>
            <w:pPr>
              <w:spacing w:line="360" w:lineRule="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4.无信用等级证书的不得分。</w:t>
            </w:r>
          </w:p>
        </w:tc>
        <w:tc>
          <w:tcPr>
            <w:tcW w:w="1320" w:type="dxa"/>
            <w:noWrap w:val="0"/>
            <w:vAlign w:val="top"/>
          </w:tcPr>
          <w:p>
            <w:pPr>
              <w:jc w:val="center"/>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lang w:val="en-US" w:eastAsia="zh-CN"/>
              </w:rPr>
            </w:pP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r>
              <w:rPr>
                <w:rFonts w:hint="eastAsia" w:hAnsi="宋体" w:cs="宋体"/>
                <w:sz w:val="21"/>
                <w:szCs w:val="21"/>
                <w:vertAlign w:val="baseline"/>
                <w:lang w:val="en-US" w:eastAsia="zh-CN"/>
              </w:rPr>
              <w:t>5</w:t>
            </w:r>
            <w:r>
              <w:rPr>
                <w:rFonts w:hint="eastAsia" w:ascii="宋体" w:hAnsi="宋体" w:eastAsia="宋体" w:cs="宋体"/>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10" w:type="dxa"/>
            <w:vMerge w:val="continue"/>
            <w:noWrap w:val="0"/>
            <w:vAlign w:val="top"/>
          </w:tcPr>
          <w:p>
            <w:pPr>
              <w:rPr>
                <w:sz w:val="21"/>
                <w:szCs w:val="21"/>
                <w:vertAlign w:val="baseline"/>
              </w:rPr>
            </w:pPr>
          </w:p>
        </w:tc>
        <w:tc>
          <w:tcPr>
            <w:tcW w:w="1695" w:type="dxa"/>
            <w:noWrap w:val="0"/>
            <w:vAlign w:val="top"/>
          </w:tcPr>
          <w:p>
            <w:pPr>
              <w:widowControl w:val="0"/>
              <w:autoSpaceDE w:val="0"/>
              <w:autoSpaceDN w:val="0"/>
              <w:spacing w:before="0" w:after="0" w:line="360" w:lineRule="auto"/>
              <w:ind w:left="0" w:right="0"/>
              <w:jc w:val="left"/>
              <w:rPr>
                <w:rFonts w:hint="eastAsia" w:ascii="宋体" w:hAnsi="宋体" w:eastAsia="宋体" w:cs="宋体"/>
                <w:color w:val="000000"/>
                <w:spacing w:val="0"/>
                <w:sz w:val="21"/>
                <w:szCs w:val="21"/>
              </w:rPr>
            </w:pPr>
          </w:p>
          <w:p>
            <w:pPr>
              <w:widowControl w:val="0"/>
              <w:autoSpaceDE w:val="0"/>
              <w:autoSpaceDN w:val="0"/>
              <w:spacing w:before="0" w:after="0" w:line="360" w:lineRule="auto"/>
              <w:ind w:left="0" w:right="0"/>
              <w:jc w:val="left"/>
              <w:rPr>
                <w:rFonts w:hint="eastAsia" w:ascii="宋体" w:hAnsi="宋体" w:eastAsia="宋体" w:cs="宋体"/>
                <w:color w:val="000000"/>
                <w:spacing w:val="0"/>
                <w:sz w:val="21"/>
                <w:szCs w:val="21"/>
              </w:rPr>
            </w:pPr>
          </w:p>
          <w:p>
            <w:pPr>
              <w:widowControl w:val="0"/>
              <w:autoSpaceDE w:val="0"/>
              <w:autoSpaceDN w:val="0"/>
              <w:spacing w:before="0" w:after="0" w:line="360" w:lineRule="auto"/>
              <w:ind w:left="0" w:right="0"/>
              <w:jc w:val="lef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投标人业绩</w:t>
            </w:r>
          </w:p>
        </w:tc>
        <w:tc>
          <w:tcPr>
            <w:tcW w:w="4755" w:type="dxa"/>
            <w:noWrap w:val="0"/>
            <w:vAlign w:val="center"/>
          </w:tcPr>
          <w:p>
            <w:pPr>
              <w:widowControl w:val="0"/>
              <w:autoSpaceDE w:val="0"/>
              <w:autoSpaceDN w:val="0"/>
              <w:spacing w:before="0" w:after="0" w:line="360" w:lineRule="auto"/>
              <w:ind w:left="0" w:right="0"/>
              <w:jc w:val="left"/>
              <w:rPr>
                <w:rFonts w:hint="eastAsia"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rPr>
              <w:t>自20</w:t>
            </w:r>
            <w:r>
              <w:rPr>
                <w:rFonts w:hint="eastAsia" w:ascii="宋体" w:hAnsi="宋体" w:eastAsia="宋体" w:cs="宋体"/>
                <w:color w:val="000000"/>
                <w:spacing w:val="0"/>
                <w:sz w:val="21"/>
                <w:szCs w:val="21"/>
                <w:lang w:val="en-US" w:eastAsia="zh-CN"/>
              </w:rPr>
              <w:t>20</w:t>
            </w:r>
            <w:r>
              <w:rPr>
                <w:rFonts w:hint="eastAsia" w:ascii="宋体" w:hAnsi="宋体" w:eastAsia="宋体" w:cs="宋体"/>
                <w:color w:val="000000"/>
                <w:spacing w:val="0"/>
                <w:sz w:val="21"/>
                <w:szCs w:val="21"/>
              </w:rPr>
              <w:t>年1月1日以来（以合同签订时间为准），具有政府机关、事业单位</w:t>
            </w:r>
            <w:r>
              <w:rPr>
                <w:rFonts w:hint="eastAsia" w:ascii="宋体" w:hAnsi="宋体" w:eastAsia="宋体" w:cs="宋体"/>
                <w:color w:val="000000"/>
                <w:spacing w:val="0"/>
                <w:sz w:val="21"/>
                <w:szCs w:val="21"/>
                <w:lang w:eastAsia="zh-CN"/>
              </w:rPr>
              <w:t>、</w:t>
            </w:r>
            <w:r>
              <w:rPr>
                <w:rFonts w:hint="eastAsia" w:ascii="宋体" w:hAnsi="宋体" w:eastAsia="宋体" w:cs="宋体"/>
                <w:color w:val="000000"/>
                <w:spacing w:val="0"/>
                <w:sz w:val="21"/>
                <w:szCs w:val="21"/>
              </w:rPr>
              <w:t>国有企业</w:t>
            </w:r>
            <w:r>
              <w:rPr>
                <w:rFonts w:hint="eastAsia" w:ascii="宋体" w:hAnsi="宋体" w:eastAsia="宋体" w:cs="宋体"/>
                <w:color w:val="000000"/>
                <w:spacing w:val="0"/>
                <w:sz w:val="21"/>
                <w:szCs w:val="21"/>
                <w:lang w:eastAsia="zh-CN"/>
              </w:rPr>
              <w:t>、</w:t>
            </w:r>
            <w:r>
              <w:rPr>
                <w:rFonts w:hint="eastAsia" w:ascii="宋体" w:hAnsi="宋体" w:eastAsia="宋体" w:cs="宋体"/>
                <w:color w:val="000000"/>
                <w:spacing w:val="0"/>
                <w:sz w:val="21"/>
                <w:szCs w:val="21"/>
                <w:lang w:val="en-US" w:eastAsia="zh-CN"/>
              </w:rPr>
              <w:t>同行业</w:t>
            </w:r>
            <w:r>
              <w:rPr>
                <w:rFonts w:hint="eastAsia" w:ascii="宋体" w:hAnsi="宋体" w:eastAsia="宋体" w:cs="宋体"/>
                <w:color w:val="000000"/>
                <w:spacing w:val="0"/>
                <w:sz w:val="21"/>
                <w:szCs w:val="21"/>
              </w:rPr>
              <w:t xml:space="preserve">服务外包或劳务派遣服务的业绩，每提供一个得 2 分，满分 </w:t>
            </w:r>
            <w:r>
              <w:rPr>
                <w:rFonts w:hint="eastAsia" w:ascii="宋体" w:hAnsi="宋体" w:eastAsia="宋体" w:cs="宋体"/>
                <w:color w:val="000000"/>
                <w:spacing w:val="0"/>
                <w:sz w:val="21"/>
                <w:szCs w:val="21"/>
                <w:lang w:val="en-US" w:eastAsia="zh-CN"/>
              </w:rPr>
              <w:t>10</w:t>
            </w:r>
            <w:r>
              <w:rPr>
                <w:rFonts w:hint="eastAsia" w:ascii="宋体" w:hAnsi="宋体" w:eastAsia="宋体" w:cs="宋体"/>
                <w:color w:val="000000"/>
                <w:spacing w:val="0"/>
                <w:sz w:val="21"/>
                <w:szCs w:val="21"/>
              </w:rPr>
              <w:t>分</w:t>
            </w:r>
            <w:r>
              <w:rPr>
                <w:rFonts w:hint="eastAsia" w:ascii="宋体" w:hAnsi="宋体" w:eastAsia="宋体" w:cs="宋体"/>
                <w:color w:val="000000"/>
                <w:spacing w:val="0"/>
                <w:sz w:val="21"/>
                <w:szCs w:val="21"/>
                <w:lang w:eastAsia="zh-CN"/>
              </w:rPr>
              <w:t>。</w:t>
            </w:r>
          </w:p>
        </w:tc>
        <w:tc>
          <w:tcPr>
            <w:tcW w:w="1320" w:type="dxa"/>
            <w:noWrap w:val="0"/>
            <w:vAlign w:val="top"/>
          </w:tcPr>
          <w:p>
            <w:pPr>
              <w:pStyle w:val="24"/>
              <w:ind w:left="0" w:leftChars="0" w:firstLine="0" w:firstLineChars="0"/>
              <w:rPr>
                <w:rFonts w:hint="eastAsia"/>
                <w:lang w:val="en-US" w:eastAsia="zh-CN"/>
              </w:rPr>
            </w:pPr>
          </w:p>
          <w:p>
            <w:pPr>
              <w:jc w:val="center"/>
              <w:rPr>
                <w:rFonts w:hint="eastAsia" w:ascii="宋体" w:hAnsi="宋体" w:eastAsia="宋体" w:cs="宋体"/>
                <w:sz w:val="21"/>
                <w:szCs w:val="21"/>
                <w:vertAlign w:val="baseline"/>
                <w:lang w:val="en-US" w:eastAsia="zh-CN"/>
              </w:rPr>
            </w:pP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r>
              <w:rPr>
                <w:rFonts w:hint="eastAsia" w:hAnsi="宋体" w:cs="宋体"/>
                <w:sz w:val="21"/>
                <w:szCs w:val="21"/>
                <w:vertAlign w:val="baseline"/>
                <w:lang w:val="en-US" w:eastAsia="zh-CN"/>
              </w:rPr>
              <w:t>10</w:t>
            </w:r>
            <w:r>
              <w:rPr>
                <w:rFonts w:hint="eastAsia" w:ascii="宋体" w:hAnsi="宋体" w:eastAsia="宋体" w:cs="宋体"/>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10" w:type="dxa"/>
            <w:vMerge w:val="continue"/>
            <w:noWrap w:val="0"/>
            <w:vAlign w:val="top"/>
          </w:tcPr>
          <w:p>
            <w:pPr>
              <w:rPr>
                <w:sz w:val="21"/>
                <w:szCs w:val="21"/>
                <w:vertAlign w:val="baseline"/>
              </w:rPr>
            </w:pPr>
          </w:p>
        </w:tc>
        <w:tc>
          <w:tcPr>
            <w:tcW w:w="1695" w:type="dxa"/>
            <w:noWrap w:val="0"/>
            <w:vAlign w:val="top"/>
          </w:tcPr>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r>
              <w:rPr>
                <w:rFonts w:hint="eastAsia" w:ascii="宋体" w:hAnsi="宋体" w:eastAsia="宋体" w:cs="宋体"/>
                <w:spacing w:val="-3"/>
                <w:position w:val="17"/>
                <w:sz w:val="21"/>
                <w:szCs w:val="21"/>
              </w:rPr>
              <w:t>管理体系认证</w:t>
            </w:r>
          </w:p>
        </w:tc>
        <w:tc>
          <w:tcPr>
            <w:tcW w:w="4755" w:type="dxa"/>
            <w:noWrap w:val="0"/>
            <w:vAlign w:val="top"/>
          </w:tcPr>
          <w:p>
            <w:pPr>
              <w:widowControl w:val="0"/>
              <w:autoSpaceDE w:val="0"/>
              <w:autoSpaceDN w:val="0"/>
              <w:spacing w:before="0" w:after="0" w:line="360" w:lineRule="auto"/>
              <w:ind w:left="0" w:right="0"/>
              <w:jc w:val="lef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具有有效期内的行业资格证书的，每提供1个得</w:t>
            </w:r>
            <w:r>
              <w:rPr>
                <w:rFonts w:hint="eastAsia" w:ascii="宋体" w:hAnsi="宋体" w:eastAsia="宋体" w:cs="宋体"/>
                <w:color w:val="000000"/>
                <w:spacing w:val="0"/>
                <w:sz w:val="21"/>
                <w:szCs w:val="21"/>
                <w:lang w:val="en-US" w:eastAsia="zh-CN"/>
              </w:rPr>
              <w:t>3</w:t>
            </w:r>
            <w:r>
              <w:rPr>
                <w:rFonts w:hint="eastAsia" w:ascii="宋体" w:hAnsi="宋体" w:eastAsia="宋体" w:cs="宋体"/>
                <w:color w:val="000000"/>
                <w:spacing w:val="0"/>
                <w:sz w:val="21"/>
                <w:szCs w:val="21"/>
              </w:rPr>
              <w:t>分，满分</w:t>
            </w:r>
            <w:r>
              <w:rPr>
                <w:rFonts w:hint="eastAsia" w:ascii="宋体" w:hAnsi="宋体" w:eastAsia="宋体" w:cs="宋体"/>
                <w:color w:val="000000"/>
                <w:spacing w:val="0"/>
                <w:sz w:val="21"/>
                <w:szCs w:val="21"/>
                <w:lang w:val="en-US" w:eastAsia="zh-CN"/>
              </w:rPr>
              <w:t>9</w:t>
            </w:r>
            <w:r>
              <w:rPr>
                <w:rFonts w:hint="eastAsia" w:ascii="宋体" w:hAnsi="宋体" w:eastAsia="宋体" w:cs="宋体"/>
                <w:color w:val="000000"/>
                <w:spacing w:val="0"/>
                <w:sz w:val="21"/>
                <w:szCs w:val="21"/>
              </w:rPr>
              <w:t>分：</w:t>
            </w:r>
          </w:p>
          <w:p>
            <w:pPr>
              <w:widowControl w:val="0"/>
              <w:autoSpaceDE w:val="0"/>
              <w:autoSpaceDN w:val="0"/>
              <w:spacing w:before="0" w:after="0" w:line="360" w:lineRule="auto"/>
              <w:ind w:left="0" w:right="0"/>
              <w:jc w:val="lef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lang w:val="en-US" w:eastAsia="zh-CN"/>
              </w:rPr>
              <w:t>1.</w:t>
            </w:r>
            <w:r>
              <w:rPr>
                <w:rFonts w:hint="eastAsia" w:ascii="宋体" w:hAnsi="宋体" w:eastAsia="宋体" w:cs="宋体"/>
                <w:color w:val="000000"/>
                <w:spacing w:val="0"/>
                <w:sz w:val="21"/>
                <w:szCs w:val="21"/>
              </w:rPr>
              <w:t>质量管理体系认证证书；</w:t>
            </w:r>
          </w:p>
          <w:p>
            <w:pPr>
              <w:widowControl w:val="0"/>
              <w:autoSpaceDE w:val="0"/>
              <w:autoSpaceDN w:val="0"/>
              <w:spacing w:before="0" w:after="0" w:line="360" w:lineRule="auto"/>
              <w:ind w:left="0" w:right="0"/>
              <w:jc w:val="lef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lang w:val="en-US" w:eastAsia="zh-CN"/>
              </w:rPr>
              <w:t>2.</w:t>
            </w:r>
            <w:r>
              <w:rPr>
                <w:rFonts w:hint="eastAsia" w:ascii="宋体" w:hAnsi="宋体" w:eastAsia="宋体" w:cs="宋体"/>
                <w:color w:val="000000"/>
                <w:spacing w:val="0"/>
                <w:sz w:val="21"/>
                <w:szCs w:val="21"/>
              </w:rPr>
              <w:t>环境管理体系认证证书；</w:t>
            </w:r>
          </w:p>
          <w:p>
            <w:pPr>
              <w:widowControl w:val="0"/>
              <w:autoSpaceDE w:val="0"/>
              <w:autoSpaceDN w:val="0"/>
              <w:spacing w:before="0" w:after="0" w:line="360" w:lineRule="auto"/>
              <w:ind w:left="0" w:right="0"/>
              <w:jc w:val="lef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lang w:val="en-US" w:eastAsia="zh-CN"/>
              </w:rPr>
              <w:t>3.</w:t>
            </w:r>
            <w:r>
              <w:rPr>
                <w:rFonts w:hint="eastAsia" w:ascii="宋体" w:hAnsi="宋体" w:eastAsia="宋体" w:cs="宋体"/>
                <w:color w:val="000000"/>
                <w:spacing w:val="0"/>
                <w:sz w:val="21"/>
                <w:szCs w:val="21"/>
              </w:rPr>
              <w:t>职业健康管理体系认证证书：</w:t>
            </w:r>
          </w:p>
          <w:p>
            <w:pPr>
              <w:jc w:val="left"/>
              <w:rPr>
                <w:rFonts w:hint="eastAsia" w:ascii="宋体" w:hAnsi="宋体" w:eastAsia="宋体" w:cs="宋体"/>
                <w:sz w:val="21"/>
                <w:szCs w:val="21"/>
                <w:vertAlign w:val="baseline"/>
                <w:lang w:eastAsia="zh-CN"/>
              </w:rPr>
            </w:pPr>
            <w:r>
              <w:rPr>
                <w:rFonts w:hint="eastAsia" w:ascii="宋体" w:hAnsi="宋体" w:eastAsia="宋体" w:cs="宋体"/>
                <w:color w:val="000000"/>
                <w:spacing w:val="0"/>
                <w:sz w:val="21"/>
                <w:szCs w:val="21"/>
              </w:rPr>
              <w:t>投标文件中需提供证书影印件或扫描件，否则不得分</w:t>
            </w:r>
            <w:r>
              <w:rPr>
                <w:rFonts w:hint="eastAsia" w:ascii="宋体" w:hAnsi="宋体" w:eastAsia="宋体" w:cs="宋体"/>
                <w:color w:val="000000"/>
                <w:spacing w:val="0"/>
                <w:sz w:val="21"/>
                <w:szCs w:val="21"/>
                <w:lang w:eastAsia="zh-CN"/>
              </w:rPr>
              <w:t>。</w:t>
            </w:r>
          </w:p>
        </w:tc>
        <w:tc>
          <w:tcPr>
            <w:tcW w:w="1320" w:type="dxa"/>
            <w:noWrap w:val="0"/>
            <w:vAlign w:val="top"/>
          </w:tcPr>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lang w:val="en-US" w:eastAsia="zh-CN"/>
              </w:rPr>
            </w:pP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0" w:type="dxa"/>
            <w:vMerge w:val="continue"/>
            <w:noWrap w:val="0"/>
            <w:vAlign w:val="top"/>
          </w:tcPr>
          <w:p>
            <w:pPr>
              <w:rPr>
                <w:sz w:val="21"/>
                <w:szCs w:val="21"/>
                <w:vertAlign w:val="baseline"/>
              </w:rPr>
            </w:pPr>
          </w:p>
        </w:tc>
        <w:tc>
          <w:tcPr>
            <w:tcW w:w="1695" w:type="dxa"/>
            <w:noWrap w:val="0"/>
            <w:vAlign w:val="top"/>
          </w:tcPr>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r>
              <w:rPr>
                <w:rFonts w:hint="eastAsia" w:ascii="宋体" w:hAnsi="宋体" w:eastAsia="宋体" w:cs="宋体"/>
                <w:spacing w:val="-3"/>
                <w:position w:val="17"/>
                <w:sz w:val="21"/>
                <w:szCs w:val="21"/>
              </w:rPr>
              <w:t>服务方案</w:t>
            </w:r>
          </w:p>
        </w:tc>
        <w:tc>
          <w:tcPr>
            <w:tcW w:w="4755" w:type="dxa"/>
            <w:noWrap w:val="0"/>
            <w:vAlign w:val="top"/>
          </w:tcPr>
          <w:p>
            <w:pPr>
              <w:rPr>
                <w:rFonts w:hint="eastAsia" w:ascii="宋体" w:hAnsi="宋体" w:eastAsia="宋体" w:cs="宋体"/>
                <w:snapToGrid w:val="0"/>
                <w:color w:val="000000"/>
                <w:spacing w:val="-3"/>
                <w:kern w:val="0"/>
                <w:position w:val="17"/>
                <w:sz w:val="21"/>
                <w:szCs w:val="21"/>
                <w:lang w:val="en-US" w:eastAsia="zh-CN" w:bidi="ar-SA"/>
              </w:rPr>
            </w:pPr>
            <w:r>
              <w:rPr>
                <w:rFonts w:hint="eastAsia" w:ascii="宋体" w:hAnsi="宋体" w:eastAsia="宋体" w:cs="宋体"/>
                <w:snapToGrid w:val="0"/>
                <w:color w:val="000000"/>
                <w:spacing w:val="-3"/>
                <w:kern w:val="0"/>
                <w:position w:val="17"/>
                <w:sz w:val="21"/>
                <w:szCs w:val="21"/>
                <w:lang w:val="en-US" w:eastAsia="en-US" w:bidi="ar-SA"/>
              </w:rPr>
              <w:t>投标人针对本项目制订的服务方案，要求具有明确的服务目标、流程，完善的服务思路和策略，工作思路切实可行，制定有针对本项目特点、重点、难点的</w:t>
            </w:r>
            <w:r>
              <w:rPr>
                <w:rFonts w:hint="eastAsia" w:ascii="宋体" w:hAnsi="宋体" w:eastAsia="宋体" w:cs="宋体"/>
                <w:snapToGrid w:val="0"/>
                <w:color w:val="000000"/>
                <w:spacing w:val="-3"/>
                <w:kern w:val="0"/>
                <w:position w:val="17"/>
                <w:sz w:val="21"/>
                <w:szCs w:val="21"/>
                <w:lang w:val="en-US" w:eastAsia="zh-CN" w:bidi="ar-SA"/>
              </w:rPr>
              <w:t>人员服务</w:t>
            </w:r>
            <w:r>
              <w:rPr>
                <w:rFonts w:hint="eastAsia" w:ascii="宋体" w:hAnsi="宋体" w:eastAsia="宋体" w:cs="宋体"/>
                <w:snapToGrid w:val="0"/>
                <w:color w:val="000000"/>
                <w:spacing w:val="-3"/>
                <w:kern w:val="0"/>
                <w:position w:val="17"/>
                <w:sz w:val="21"/>
                <w:szCs w:val="21"/>
                <w:lang w:val="en-US" w:eastAsia="en-US" w:bidi="ar-SA"/>
              </w:rPr>
              <w:t>方案，措施针对性强，具有可操作性等</w:t>
            </w:r>
            <w:r>
              <w:rPr>
                <w:rFonts w:hint="eastAsia" w:ascii="宋体" w:hAnsi="宋体" w:eastAsia="宋体" w:cs="宋体"/>
                <w:snapToGrid w:val="0"/>
                <w:color w:val="000000"/>
                <w:spacing w:val="-3"/>
                <w:kern w:val="0"/>
                <w:position w:val="17"/>
                <w:sz w:val="21"/>
                <w:szCs w:val="21"/>
                <w:lang w:val="en-US" w:eastAsia="zh-CN" w:bidi="ar-SA"/>
              </w:rPr>
              <w:t>，</w:t>
            </w:r>
            <w:r>
              <w:rPr>
                <w:rFonts w:hint="eastAsia" w:ascii="宋体" w:hAnsi="宋体" w:eastAsia="宋体" w:cs="宋体"/>
                <w:snapToGrid w:val="0"/>
                <w:color w:val="000000"/>
                <w:spacing w:val="-3"/>
                <w:kern w:val="0"/>
                <w:position w:val="17"/>
                <w:sz w:val="21"/>
                <w:szCs w:val="21"/>
                <w:lang w:val="en-US" w:eastAsia="en-US" w:bidi="ar-SA"/>
              </w:rPr>
              <w:t>酌情评分</w:t>
            </w:r>
            <w:r>
              <w:rPr>
                <w:rFonts w:hint="eastAsia" w:ascii="宋体" w:hAnsi="宋体" w:eastAsia="宋体" w:cs="宋体"/>
                <w:snapToGrid w:val="0"/>
                <w:color w:val="000000"/>
                <w:spacing w:val="-3"/>
                <w:kern w:val="0"/>
                <w:position w:val="17"/>
                <w:sz w:val="21"/>
                <w:szCs w:val="21"/>
                <w:lang w:val="en-US" w:eastAsia="zh-CN" w:bidi="ar-SA"/>
              </w:rPr>
              <w:t>。</w:t>
            </w:r>
          </w:p>
          <w:p>
            <w:pPr>
              <w:rPr>
                <w:rFonts w:hint="eastAsia" w:ascii="宋体" w:hAnsi="宋体" w:eastAsia="宋体" w:cs="宋体"/>
                <w:snapToGrid w:val="0"/>
                <w:color w:val="000000"/>
                <w:spacing w:val="-3"/>
                <w:kern w:val="0"/>
                <w:position w:val="17"/>
                <w:sz w:val="21"/>
                <w:szCs w:val="21"/>
                <w:lang w:val="en-US" w:eastAsia="zh-CN" w:bidi="ar-SA"/>
              </w:rPr>
            </w:pPr>
            <w:r>
              <w:rPr>
                <w:rFonts w:hint="eastAsia" w:ascii="宋体" w:hAnsi="宋体" w:eastAsia="宋体" w:cs="宋体"/>
                <w:snapToGrid w:val="0"/>
                <w:color w:val="000000"/>
                <w:spacing w:val="-3"/>
                <w:kern w:val="0"/>
                <w:position w:val="17"/>
                <w:sz w:val="21"/>
                <w:szCs w:val="21"/>
                <w:lang w:val="en-US" w:eastAsia="zh-CN" w:bidi="ar-SA"/>
              </w:rPr>
              <w:t>1.详细完整、科学合理可行性高、针对性强的，得</w:t>
            </w:r>
            <w:r>
              <w:rPr>
                <w:rFonts w:hint="eastAsia" w:hAnsi="宋体" w:cs="宋体"/>
                <w:snapToGrid w:val="0"/>
                <w:color w:val="000000"/>
                <w:spacing w:val="-3"/>
                <w:kern w:val="0"/>
                <w:position w:val="17"/>
                <w:sz w:val="21"/>
                <w:szCs w:val="21"/>
                <w:lang w:val="en-US" w:eastAsia="zh-CN" w:bidi="ar-SA"/>
              </w:rPr>
              <w:t>10</w:t>
            </w:r>
            <w:r>
              <w:rPr>
                <w:rFonts w:hint="eastAsia" w:ascii="宋体" w:hAnsi="宋体" w:eastAsia="宋体" w:cs="宋体"/>
                <w:snapToGrid w:val="0"/>
                <w:color w:val="000000"/>
                <w:spacing w:val="-3"/>
                <w:kern w:val="0"/>
                <w:position w:val="17"/>
                <w:sz w:val="21"/>
                <w:szCs w:val="21"/>
                <w:lang w:val="en-US" w:eastAsia="zh-CN" w:bidi="ar-SA"/>
              </w:rPr>
              <w:t>分；</w:t>
            </w:r>
          </w:p>
          <w:p>
            <w:pPr>
              <w:rPr>
                <w:rFonts w:hint="eastAsia" w:ascii="宋体" w:hAnsi="宋体" w:eastAsia="宋体" w:cs="宋体"/>
                <w:snapToGrid w:val="0"/>
                <w:color w:val="000000"/>
                <w:spacing w:val="-3"/>
                <w:kern w:val="0"/>
                <w:position w:val="17"/>
                <w:sz w:val="21"/>
                <w:szCs w:val="21"/>
                <w:lang w:val="en-US" w:eastAsia="zh-CN" w:bidi="ar-SA"/>
              </w:rPr>
            </w:pPr>
            <w:r>
              <w:rPr>
                <w:rFonts w:hint="eastAsia" w:ascii="宋体" w:hAnsi="宋体" w:eastAsia="宋体" w:cs="宋体"/>
                <w:snapToGrid w:val="0"/>
                <w:color w:val="000000"/>
                <w:spacing w:val="-3"/>
                <w:kern w:val="0"/>
                <w:position w:val="17"/>
                <w:sz w:val="21"/>
                <w:szCs w:val="21"/>
                <w:lang w:val="en-US" w:eastAsia="zh-CN" w:bidi="ar-SA"/>
              </w:rPr>
              <w:t>2.较为详细完整、科学合理可行性较高、针对性较强的，得7分；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3.部分响应，详细完整性一般、科学合理可行性一般、</w:t>
            </w:r>
            <w:r>
              <w:rPr>
                <w:rFonts w:hint="eastAsia" w:ascii="宋体" w:hAnsi="宋体" w:eastAsia="宋体" w:cs="宋体"/>
                <w:snapToGrid w:val="0"/>
                <w:color w:val="000000"/>
                <w:spacing w:val="-3"/>
                <w:kern w:val="0"/>
                <w:position w:val="17"/>
                <w:sz w:val="21"/>
                <w:szCs w:val="21"/>
                <w:lang w:val="en-US" w:eastAsia="en-US" w:bidi="ar-SA"/>
              </w:rPr>
              <w:t>针对性一般的，得5分；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4.</w:t>
            </w:r>
            <w:r>
              <w:rPr>
                <w:rFonts w:hint="eastAsia" w:ascii="宋体" w:hAnsi="宋体" w:eastAsia="宋体" w:cs="宋体"/>
                <w:snapToGrid w:val="0"/>
                <w:color w:val="000000"/>
                <w:spacing w:val="-3"/>
                <w:kern w:val="0"/>
                <w:position w:val="17"/>
                <w:sz w:val="21"/>
                <w:szCs w:val="21"/>
                <w:lang w:val="en-US" w:eastAsia="en-US" w:bidi="ar-SA"/>
              </w:rPr>
              <w:t>部分响应，详细完整性较差、科学合理可行性较差、针对性较差的，得2分；</w:t>
            </w:r>
          </w:p>
          <w:p>
            <w:pPr>
              <w:rPr>
                <w:rFonts w:hint="eastAsia" w:ascii="宋体" w:hAnsi="宋体" w:eastAsia="宋体" w:cs="宋体"/>
                <w:sz w:val="21"/>
                <w:szCs w:val="21"/>
                <w:vertAlign w:val="baseline"/>
              </w:rPr>
            </w:pPr>
            <w:r>
              <w:rPr>
                <w:rFonts w:hint="eastAsia" w:ascii="宋体" w:hAnsi="宋体" w:eastAsia="宋体" w:cs="宋体"/>
                <w:snapToGrid w:val="0"/>
                <w:color w:val="000000"/>
                <w:spacing w:val="-3"/>
                <w:kern w:val="0"/>
                <w:position w:val="17"/>
                <w:sz w:val="21"/>
                <w:szCs w:val="21"/>
                <w:lang w:val="en-US" w:eastAsia="zh-CN" w:bidi="ar-SA"/>
              </w:rPr>
              <w:t>5.</w:t>
            </w:r>
            <w:r>
              <w:rPr>
                <w:rFonts w:hint="eastAsia" w:ascii="宋体" w:hAnsi="宋体" w:eastAsia="宋体" w:cs="宋体"/>
                <w:snapToGrid w:val="0"/>
                <w:color w:val="000000"/>
                <w:spacing w:val="-3"/>
                <w:kern w:val="0"/>
                <w:position w:val="17"/>
                <w:sz w:val="21"/>
                <w:szCs w:val="21"/>
                <w:lang w:val="en-US" w:eastAsia="en-US" w:bidi="ar-SA"/>
              </w:rPr>
              <w:t>未提供的不得分。</w:t>
            </w:r>
          </w:p>
        </w:tc>
        <w:tc>
          <w:tcPr>
            <w:tcW w:w="1320" w:type="dxa"/>
            <w:noWrap w:val="0"/>
            <w:vAlign w:val="top"/>
          </w:tcPr>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0-</w:t>
            </w:r>
            <w:r>
              <w:rPr>
                <w:rFonts w:hint="eastAsia" w:hAnsi="宋体" w:cs="宋体"/>
                <w:sz w:val="21"/>
                <w:szCs w:val="21"/>
                <w:vertAlign w:val="baseline"/>
                <w:lang w:val="en-US" w:eastAsia="zh-CN"/>
              </w:rPr>
              <w:t>10</w:t>
            </w:r>
            <w:r>
              <w:rPr>
                <w:rFonts w:hint="eastAsia" w:ascii="宋体" w:hAnsi="宋体" w:eastAsia="宋体" w:cs="宋体"/>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0" w:type="dxa"/>
            <w:vMerge w:val="continue"/>
            <w:noWrap w:val="0"/>
            <w:vAlign w:val="top"/>
          </w:tcPr>
          <w:p>
            <w:pPr>
              <w:rPr>
                <w:sz w:val="21"/>
                <w:szCs w:val="21"/>
                <w:vertAlign w:val="baseline"/>
              </w:rPr>
            </w:pPr>
          </w:p>
        </w:tc>
        <w:tc>
          <w:tcPr>
            <w:tcW w:w="1695" w:type="dxa"/>
            <w:noWrap w:val="0"/>
            <w:vAlign w:val="top"/>
          </w:tcPr>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r>
              <w:rPr>
                <w:rFonts w:hint="eastAsia" w:ascii="宋体" w:hAnsi="宋体" w:eastAsia="宋体" w:cs="宋体"/>
                <w:spacing w:val="-3"/>
                <w:position w:val="17"/>
                <w:sz w:val="21"/>
                <w:szCs w:val="21"/>
              </w:rPr>
              <w:t>管理制度</w:t>
            </w:r>
          </w:p>
        </w:tc>
        <w:tc>
          <w:tcPr>
            <w:tcW w:w="4755" w:type="dxa"/>
            <w:noWrap w:val="0"/>
            <w:vAlign w:val="top"/>
          </w:tcPr>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en-US" w:bidi="ar-SA"/>
              </w:rPr>
              <w:t>根据投标人内部规章制度以及对本项目的管理制度的科学性、合理性、人员录用与考核、淘汰机制、奖罚、协调关系、服务意识、量化管理及标准运作等，酌情评分。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1.</w:t>
            </w:r>
            <w:r>
              <w:rPr>
                <w:rFonts w:hint="eastAsia" w:ascii="宋体" w:hAnsi="宋体" w:eastAsia="宋体" w:cs="宋体"/>
                <w:snapToGrid w:val="0"/>
                <w:color w:val="000000"/>
                <w:spacing w:val="-3"/>
                <w:kern w:val="0"/>
                <w:position w:val="17"/>
                <w:sz w:val="21"/>
                <w:szCs w:val="21"/>
                <w:lang w:val="en-US" w:eastAsia="en-US" w:bidi="ar-SA"/>
              </w:rPr>
              <w:t>详细完整、科学合理可行性高、针对性强的，得</w:t>
            </w:r>
            <w:r>
              <w:rPr>
                <w:rFonts w:hint="eastAsia" w:hAnsi="宋体" w:cs="宋体"/>
                <w:snapToGrid w:val="0"/>
                <w:color w:val="000000"/>
                <w:spacing w:val="-3"/>
                <w:kern w:val="0"/>
                <w:position w:val="17"/>
                <w:sz w:val="21"/>
                <w:szCs w:val="21"/>
                <w:lang w:val="en-US" w:eastAsia="zh-CN" w:bidi="ar-SA"/>
              </w:rPr>
              <w:t>10</w:t>
            </w:r>
            <w:r>
              <w:rPr>
                <w:rFonts w:hint="eastAsia" w:ascii="宋体" w:hAnsi="宋体" w:eastAsia="宋体" w:cs="宋体"/>
                <w:snapToGrid w:val="0"/>
                <w:color w:val="000000"/>
                <w:spacing w:val="-3"/>
                <w:kern w:val="0"/>
                <w:position w:val="17"/>
                <w:sz w:val="21"/>
                <w:szCs w:val="21"/>
                <w:lang w:val="en-US" w:eastAsia="en-US" w:bidi="ar-SA"/>
              </w:rPr>
              <w:t>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2.</w:t>
            </w:r>
            <w:r>
              <w:rPr>
                <w:rFonts w:hint="eastAsia" w:ascii="宋体" w:hAnsi="宋体" w:eastAsia="宋体" w:cs="宋体"/>
                <w:snapToGrid w:val="0"/>
                <w:color w:val="000000"/>
                <w:spacing w:val="-3"/>
                <w:kern w:val="0"/>
                <w:position w:val="17"/>
                <w:sz w:val="21"/>
                <w:szCs w:val="21"/>
                <w:lang w:val="en-US" w:eastAsia="en-US" w:bidi="ar-SA"/>
              </w:rPr>
              <w:t>较为详细完整、科学合理可行性较高、针对性较强的，得6分；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3.</w:t>
            </w:r>
            <w:r>
              <w:rPr>
                <w:rFonts w:hint="eastAsia" w:ascii="宋体" w:hAnsi="宋体" w:eastAsia="宋体" w:cs="宋体"/>
                <w:snapToGrid w:val="0"/>
                <w:color w:val="000000"/>
                <w:spacing w:val="-3"/>
                <w:kern w:val="0"/>
                <w:position w:val="17"/>
                <w:sz w:val="21"/>
                <w:szCs w:val="21"/>
                <w:lang w:val="en-US" w:eastAsia="en-US" w:bidi="ar-SA"/>
              </w:rPr>
              <w:t>部分响应，详细完整性一般、科学合理可行性一般、针对性一般的，得4分；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4.</w:t>
            </w:r>
            <w:r>
              <w:rPr>
                <w:rFonts w:hint="eastAsia" w:ascii="宋体" w:hAnsi="宋体" w:eastAsia="宋体" w:cs="宋体"/>
                <w:snapToGrid w:val="0"/>
                <w:color w:val="000000"/>
                <w:spacing w:val="-3"/>
                <w:kern w:val="0"/>
                <w:position w:val="17"/>
                <w:sz w:val="21"/>
                <w:szCs w:val="21"/>
                <w:lang w:val="en-US" w:eastAsia="en-US" w:bidi="ar-SA"/>
              </w:rPr>
              <w:t>部分响应，详细完整性较差、科学合理可行性较差、针对性较差的，得2分；</w:t>
            </w:r>
          </w:p>
          <w:p>
            <w:pPr>
              <w:rPr>
                <w:rFonts w:hint="eastAsia" w:ascii="宋体" w:hAnsi="宋体" w:eastAsia="宋体" w:cs="宋体"/>
                <w:sz w:val="21"/>
                <w:szCs w:val="21"/>
                <w:vertAlign w:val="baseline"/>
              </w:rPr>
            </w:pPr>
            <w:r>
              <w:rPr>
                <w:rFonts w:hint="eastAsia" w:ascii="宋体" w:hAnsi="宋体" w:eastAsia="宋体" w:cs="宋体"/>
                <w:snapToGrid w:val="0"/>
                <w:color w:val="000000"/>
                <w:spacing w:val="-3"/>
                <w:kern w:val="0"/>
                <w:position w:val="17"/>
                <w:sz w:val="21"/>
                <w:szCs w:val="21"/>
                <w:lang w:val="en-US" w:eastAsia="zh-CN" w:bidi="ar-SA"/>
              </w:rPr>
              <w:t>5.</w:t>
            </w:r>
            <w:r>
              <w:rPr>
                <w:rFonts w:hint="eastAsia" w:ascii="宋体" w:hAnsi="宋体" w:eastAsia="宋体" w:cs="宋体"/>
                <w:snapToGrid w:val="0"/>
                <w:color w:val="000000"/>
                <w:spacing w:val="-3"/>
                <w:kern w:val="0"/>
                <w:position w:val="17"/>
                <w:sz w:val="21"/>
                <w:szCs w:val="21"/>
                <w:lang w:val="en-US" w:eastAsia="en-US" w:bidi="ar-SA"/>
              </w:rPr>
              <w:t>未提供的不得分。</w:t>
            </w:r>
          </w:p>
        </w:tc>
        <w:tc>
          <w:tcPr>
            <w:tcW w:w="1320" w:type="dxa"/>
            <w:noWrap w:val="0"/>
            <w:vAlign w:val="top"/>
          </w:tcPr>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0-</w:t>
            </w:r>
            <w:r>
              <w:rPr>
                <w:rFonts w:hint="eastAsia" w:hAnsi="宋体" w:cs="宋体"/>
                <w:sz w:val="21"/>
                <w:szCs w:val="21"/>
                <w:vertAlign w:val="baseline"/>
                <w:lang w:val="en-US" w:eastAsia="zh-CN"/>
              </w:rPr>
              <w:t>10</w:t>
            </w:r>
            <w:r>
              <w:rPr>
                <w:rFonts w:hint="eastAsia" w:ascii="宋体" w:hAnsi="宋体" w:eastAsia="宋体" w:cs="宋体"/>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0" w:type="dxa"/>
            <w:vMerge w:val="continue"/>
            <w:noWrap w:val="0"/>
            <w:vAlign w:val="top"/>
          </w:tcPr>
          <w:p>
            <w:pPr>
              <w:rPr>
                <w:sz w:val="21"/>
                <w:szCs w:val="21"/>
                <w:vertAlign w:val="baseline"/>
              </w:rPr>
            </w:pPr>
          </w:p>
        </w:tc>
        <w:tc>
          <w:tcPr>
            <w:tcW w:w="1695" w:type="dxa"/>
            <w:noWrap w:val="0"/>
            <w:vAlign w:val="top"/>
          </w:tcPr>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r>
              <w:rPr>
                <w:rFonts w:hint="eastAsia" w:ascii="宋体" w:hAnsi="宋体" w:eastAsia="宋体" w:cs="宋体"/>
                <w:spacing w:val="-3"/>
                <w:position w:val="17"/>
                <w:sz w:val="21"/>
                <w:szCs w:val="21"/>
              </w:rPr>
              <w:t>人员配备</w:t>
            </w:r>
          </w:p>
        </w:tc>
        <w:tc>
          <w:tcPr>
            <w:tcW w:w="4755" w:type="dxa"/>
            <w:noWrap w:val="0"/>
            <w:vAlign w:val="top"/>
          </w:tcPr>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en-US" w:bidi="ar-SA"/>
              </w:rPr>
              <w:t>根据本项目服务内容和特点，供应商拟为本项目配备的人员的年龄、文化水平、专业技术资格、工作培训经历等，酌情评分。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1.</w:t>
            </w:r>
            <w:r>
              <w:rPr>
                <w:rFonts w:hint="eastAsia" w:ascii="宋体" w:hAnsi="宋体" w:eastAsia="宋体" w:cs="宋体"/>
                <w:snapToGrid w:val="0"/>
                <w:color w:val="000000"/>
                <w:spacing w:val="-3"/>
                <w:kern w:val="0"/>
                <w:position w:val="17"/>
                <w:sz w:val="21"/>
                <w:szCs w:val="21"/>
                <w:lang w:val="en-US" w:eastAsia="en-US" w:bidi="ar-SA"/>
              </w:rPr>
              <w:t>详细完整、科学合理可行性高、针对性强的，得</w:t>
            </w:r>
            <w:r>
              <w:rPr>
                <w:rFonts w:hint="eastAsia" w:hAnsi="宋体" w:cs="宋体"/>
                <w:snapToGrid w:val="0"/>
                <w:color w:val="000000"/>
                <w:spacing w:val="-3"/>
                <w:kern w:val="0"/>
                <w:position w:val="17"/>
                <w:sz w:val="21"/>
                <w:szCs w:val="21"/>
                <w:lang w:val="en-US" w:eastAsia="zh-CN" w:bidi="ar-SA"/>
              </w:rPr>
              <w:t>10</w:t>
            </w:r>
            <w:r>
              <w:rPr>
                <w:rFonts w:hint="eastAsia" w:ascii="宋体" w:hAnsi="宋体" w:eastAsia="宋体" w:cs="宋体"/>
                <w:snapToGrid w:val="0"/>
                <w:color w:val="000000"/>
                <w:spacing w:val="-3"/>
                <w:kern w:val="0"/>
                <w:position w:val="17"/>
                <w:sz w:val="21"/>
                <w:szCs w:val="21"/>
                <w:lang w:val="en-US" w:eastAsia="en-US" w:bidi="ar-SA"/>
              </w:rPr>
              <w:t>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2.</w:t>
            </w:r>
            <w:r>
              <w:rPr>
                <w:rFonts w:hint="eastAsia" w:ascii="宋体" w:hAnsi="宋体" w:eastAsia="宋体" w:cs="宋体"/>
                <w:snapToGrid w:val="0"/>
                <w:color w:val="000000"/>
                <w:spacing w:val="-3"/>
                <w:kern w:val="0"/>
                <w:position w:val="17"/>
                <w:sz w:val="21"/>
                <w:szCs w:val="21"/>
                <w:lang w:val="en-US" w:eastAsia="en-US" w:bidi="ar-SA"/>
              </w:rPr>
              <w:t>较为详细完整、科学合理可行性较高、针对性较强的，得</w:t>
            </w:r>
            <w:r>
              <w:rPr>
                <w:rFonts w:hint="eastAsia" w:hAnsi="宋体" w:cs="宋体"/>
                <w:snapToGrid w:val="0"/>
                <w:color w:val="000000"/>
                <w:spacing w:val="-3"/>
                <w:kern w:val="0"/>
                <w:position w:val="17"/>
                <w:sz w:val="21"/>
                <w:szCs w:val="21"/>
                <w:lang w:val="en-US" w:eastAsia="zh-CN" w:bidi="ar-SA"/>
              </w:rPr>
              <w:t>6</w:t>
            </w:r>
            <w:r>
              <w:rPr>
                <w:rFonts w:hint="eastAsia" w:ascii="宋体" w:hAnsi="宋体" w:eastAsia="宋体" w:cs="宋体"/>
                <w:snapToGrid w:val="0"/>
                <w:color w:val="000000"/>
                <w:spacing w:val="-3"/>
                <w:kern w:val="0"/>
                <w:position w:val="17"/>
                <w:sz w:val="21"/>
                <w:szCs w:val="21"/>
                <w:lang w:val="en-US" w:eastAsia="en-US" w:bidi="ar-SA"/>
              </w:rPr>
              <w:t>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3.</w:t>
            </w:r>
            <w:r>
              <w:rPr>
                <w:rFonts w:hint="eastAsia" w:ascii="宋体" w:hAnsi="宋体" w:eastAsia="宋体" w:cs="宋体"/>
                <w:snapToGrid w:val="0"/>
                <w:color w:val="000000"/>
                <w:spacing w:val="-3"/>
                <w:kern w:val="0"/>
                <w:position w:val="17"/>
                <w:sz w:val="21"/>
                <w:szCs w:val="21"/>
                <w:lang w:val="en-US" w:eastAsia="en-US" w:bidi="ar-SA"/>
              </w:rPr>
              <w:t>部分响应，详细完整性一般、科学合理可行性一般、针对性一般的，得4分；</w:t>
            </w:r>
          </w:p>
          <w:p>
            <w:pPr>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zh-CN" w:bidi="ar-SA"/>
              </w:rPr>
              <w:t>4.</w:t>
            </w:r>
            <w:r>
              <w:rPr>
                <w:rFonts w:hint="eastAsia" w:ascii="宋体" w:hAnsi="宋体" w:eastAsia="宋体" w:cs="宋体"/>
                <w:snapToGrid w:val="0"/>
                <w:color w:val="000000"/>
                <w:spacing w:val="-3"/>
                <w:kern w:val="0"/>
                <w:position w:val="17"/>
                <w:sz w:val="21"/>
                <w:szCs w:val="21"/>
                <w:lang w:val="en-US" w:eastAsia="en-US" w:bidi="ar-SA"/>
              </w:rPr>
              <w:t>部分响应，详细完整性较差、科学合理可行性较差、针对性较差的，得2分；</w:t>
            </w:r>
          </w:p>
          <w:p>
            <w:pPr>
              <w:rPr>
                <w:rFonts w:hint="eastAsia" w:ascii="宋体" w:hAnsi="宋体" w:eastAsia="宋体" w:cs="宋体"/>
                <w:sz w:val="21"/>
                <w:szCs w:val="21"/>
                <w:vertAlign w:val="baseline"/>
              </w:rPr>
            </w:pPr>
            <w:r>
              <w:rPr>
                <w:rFonts w:hint="eastAsia" w:ascii="宋体" w:hAnsi="宋体" w:eastAsia="宋体" w:cs="宋体"/>
                <w:snapToGrid w:val="0"/>
                <w:color w:val="000000"/>
                <w:spacing w:val="-3"/>
                <w:kern w:val="0"/>
                <w:position w:val="17"/>
                <w:sz w:val="21"/>
                <w:szCs w:val="21"/>
                <w:lang w:val="en-US" w:eastAsia="zh-CN" w:bidi="ar-SA"/>
              </w:rPr>
              <w:t>5.</w:t>
            </w:r>
            <w:r>
              <w:rPr>
                <w:rFonts w:hint="eastAsia" w:ascii="宋体" w:hAnsi="宋体" w:eastAsia="宋体" w:cs="宋体"/>
                <w:snapToGrid w:val="0"/>
                <w:color w:val="000000"/>
                <w:spacing w:val="-3"/>
                <w:kern w:val="0"/>
                <w:position w:val="17"/>
                <w:sz w:val="21"/>
                <w:szCs w:val="21"/>
                <w:lang w:val="en-US" w:eastAsia="en-US" w:bidi="ar-SA"/>
              </w:rPr>
              <w:t>未提供的不得分。</w:t>
            </w:r>
          </w:p>
        </w:tc>
        <w:tc>
          <w:tcPr>
            <w:tcW w:w="1320" w:type="dxa"/>
            <w:noWrap w:val="0"/>
            <w:vAlign w:val="top"/>
          </w:tcPr>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0-</w:t>
            </w:r>
            <w:r>
              <w:rPr>
                <w:rFonts w:hint="eastAsia" w:hAnsi="宋体" w:cs="宋体"/>
                <w:sz w:val="21"/>
                <w:szCs w:val="21"/>
                <w:vertAlign w:val="baseline"/>
                <w:lang w:val="en-US" w:eastAsia="zh-CN"/>
              </w:rPr>
              <w:t>10</w:t>
            </w:r>
            <w:r>
              <w:rPr>
                <w:rFonts w:hint="eastAsia" w:ascii="宋体" w:hAnsi="宋体" w:eastAsia="宋体" w:cs="宋体"/>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0" w:type="dxa"/>
            <w:vMerge w:val="continue"/>
            <w:noWrap w:val="0"/>
            <w:vAlign w:val="top"/>
          </w:tcPr>
          <w:p>
            <w:pPr>
              <w:rPr>
                <w:sz w:val="21"/>
                <w:szCs w:val="21"/>
                <w:vertAlign w:val="baseline"/>
              </w:rPr>
            </w:pPr>
          </w:p>
        </w:tc>
        <w:tc>
          <w:tcPr>
            <w:tcW w:w="1695" w:type="dxa"/>
            <w:noWrap w:val="0"/>
            <w:vAlign w:val="top"/>
          </w:tcPr>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r>
              <w:rPr>
                <w:rFonts w:hint="eastAsia" w:ascii="宋体" w:hAnsi="宋体" w:eastAsia="宋体" w:cs="宋体"/>
                <w:spacing w:val="-3"/>
                <w:position w:val="17"/>
                <w:sz w:val="21"/>
                <w:szCs w:val="21"/>
              </w:rPr>
              <w:t>应急预案</w:t>
            </w:r>
          </w:p>
        </w:tc>
        <w:tc>
          <w:tcPr>
            <w:tcW w:w="4755" w:type="dxa"/>
            <w:noWrap w:val="0"/>
            <w:vAlign w:val="top"/>
          </w:tcPr>
          <w:p>
            <w:pPr>
              <w:pStyle w:val="38"/>
              <w:keepNext w:val="0"/>
              <w:keepLines w:val="0"/>
              <w:pageBreakBefore w:val="0"/>
              <w:widowControl/>
              <w:kinsoku w:val="0"/>
              <w:wordWrap/>
              <w:overflowPunct/>
              <w:topLinePunct w:val="0"/>
              <w:autoSpaceDE w:val="0"/>
              <w:autoSpaceDN w:val="0"/>
              <w:bidi w:val="0"/>
              <w:adjustRightInd w:val="0"/>
              <w:snapToGrid w:val="0"/>
              <w:spacing w:before="38" w:line="240" w:lineRule="auto"/>
              <w:jc w:val="left"/>
              <w:textAlignment w:val="baseline"/>
              <w:rPr>
                <w:rFonts w:hint="eastAsia" w:ascii="宋体" w:hAnsi="宋体" w:eastAsia="宋体" w:cs="宋体"/>
                <w:snapToGrid w:val="0"/>
                <w:color w:val="000000"/>
                <w:spacing w:val="-3"/>
                <w:kern w:val="0"/>
                <w:position w:val="17"/>
                <w:sz w:val="21"/>
                <w:szCs w:val="21"/>
                <w:lang w:val="en-US" w:eastAsia="en-US" w:bidi="ar-SA"/>
              </w:rPr>
            </w:pPr>
            <w:r>
              <w:rPr>
                <w:rFonts w:hint="eastAsia" w:ascii="宋体" w:hAnsi="宋体" w:eastAsia="宋体" w:cs="宋体"/>
                <w:snapToGrid w:val="0"/>
                <w:color w:val="000000"/>
                <w:spacing w:val="-3"/>
                <w:kern w:val="0"/>
                <w:position w:val="17"/>
                <w:sz w:val="21"/>
                <w:szCs w:val="21"/>
                <w:lang w:val="en-US" w:eastAsia="en-US" w:bidi="ar-SA"/>
              </w:rPr>
              <w:t>根据投标人提供的应急预案进行综合评分。应急处置预案应结合本项目特点，考虑全面，有治安、消防等应急预案，具有可操作性，酌情评分。</w:t>
            </w:r>
          </w:p>
          <w:p>
            <w:pPr>
              <w:pStyle w:val="38"/>
              <w:keepNext w:val="0"/>
              <w:keepLines w:val="0"/>
              <w:pageBreakBefore w:val="0"/>
              <w:widowControl/>
              <w:kinsoku w:val="0"/>
              <w:wordWrap/>
              <w:overflowPunct/>
              <w:topLinePunct w:val="0"/>
              <w:autoSpaceDE w:val="0"/>
              <w:autoSpaceDN w:val="0"/>
              <w:bidi w:val="0"/>
              <w:adjustRightInd w:val="0"/>
              <w:snapToGrid w:val="0"/>
              <w:spacing w:before="38" w:line="240" w:lineRule="auto"/>
              <w:jc w:val="left"/>
              <w:textAlignment w:val="baseline"/>
              <w:rPr>
                <w:rFonts w:hint="eastAsia" w:ascii="宋体" w:hAnsi="宋体" w:eastAsia="宋体" w:cs="宋体"/>
                <w:snapToGrid w:val="0"/>
                <w:color w:val="000000"/>
                <w:spacing w:val="-3"/>
                <w:kern w:val="0"/>
                <w:position w:val="17"/>
                <w:sz w:val="21"/>
                <w:szCs w:val="21"/>
                <w:lang w:val="en-US" w:eastAsia="en-US" w:bidi="ar-SA"/>
              </w:rPr>
            </w:pPr>
            <w:r>
              <w:rPr>
                <w:rFonts w:hint="eastAsia" w:cs="宋体"/>
                <w:snapToGrid w:val="0"/>
                <w:color w:val="000000"/>
                <w:spacing w:val="-3"/>
                <w:kern w:val="0"/>
                <w:position w:val="17"/>
                <w:sz w:val="21"/>
                <w:szCs w:val="21"/>
                <w:lang w:val="en-US" w:eastAsia="zh-CN" w:bidi="ar-SA"/>
              </w:rPr>
              <w:t>1.</w:t>
            </w:r>
            <w:r>
              <w:rPr>
                <w:rFonts w:hint="eastAsia" w:ascii="宋体" w:hAnsi="宋体" w:eastAsia="宋体" w:cs="宋体"/>
                <w:snapToGrid w:val="0"/>
                <w:color w:val="000000"/>
                <w:spacing w:val="-3"/>
                <w:kern w:val="0"/>
                <w:position w:val="17"/>
                <w:sz w:val="21"/>
                <w:szCs w:val="21"/>
                <w:lang w:val="en-US" w:eastAsia="en-US" w:bidi="ar-SA"/>
              </w:rPr>
              <w:t>详细完整、科学合理可行性高、针对性强的，得</w:t>
            </w:r>
            <w:r>
              <w:rPr>
                <w:rFonts w:hint="eastAsia" w:cs="宋体"/>
                <w:snapToGrid w:val="0"/>
                <w:color w:val="000000"/>
                <w:spacing w:val="-3"/>
                <w:kern w:val="0"/>
                <w:position w:val="17"/>
                <w:sz w:val="21"/>
                <w:szCs w:val="21"/>
                <w:lang w:val="en-US" w:eastAsia="zh-CN" w:bidi="ar-SA"/>
              </w:rPr>
              <w:t>10</w:t>
            </w:r>
            <w:r>
              <w:rPr>
                <w:rFonts w:hint="eastAsia" w:ascii="宋体" w:hAnsi="宋体" w:eastAsia="宋体" w:cs="宋体"/>
                <w:snapToGrid w:val="0"/>
                <w:color w:val="000000"/>
                <w:spacing w:val="-3"/>
                <w:kern w:val="0"/>
                <w:position w:val="17"/>
                <w:sz w:val="21"/>
                <w:szCs w:val="21"/>
                <w:lang w:val="en-US" w:eastAsia="en-US" w:bidi="ar-SA"/>
              </w:rPr>
              <w:t>分；</w:t>
            </w:r>
          </w:p>
          <w:p>
            <w:pPr>
              <w:pStyle w:val="38"/>
              <w:keepNext w:val="0"/>
              <w:keepLines w:val="0"/>
              <w:pageBreakBefore w:val="0"/>
              <w:widowControl/>
              <w:kinsoku w:val="0"/>
              <w:wordWrap/>
              <w:overflowPunct/>
              <w:topLinePunct w:val="0"/>
              <w:autoSpaceDE w:val="0"/>
              <w:autoSpaceDN w:val="0"/>
              <w:bidi w:val="0"/>
              <w:adjustRightInd w:val="0"/>
              <w:snapToGrid w:val="0"/>
              <w:spacing w:before="38" w:line="240" w:lineRule="auto"/>
              <w:jc w:val="left"/>
              <w:textAlignment w:val="baseline"/>
              <w:rPr>
                <w:rFonts w:hint="eastAsia" w:ascii="宋体" w:hAnsi="宋体" w:eastAsia="宋体" w:cs="宋体"/>
                <w:snapToGrid w:val="0"/>
                <w:color w:val="000000"/>
                <w:spacing w:val="-3"/>
                <w:kern w:val="0"/>
                <w:position w:val="17"/>
                <w:sz w:val="21"/>
                <w:szCs w:val="21"/>
                <w:lang w:val="en-US" w:eastAsia="en-US" w:bidi="ar-SA"/>
              </w:rPr>
            </w:pPr>
            <w:r>
              <w:rPr>
                <w:rFonts w:hint="eastAsia" w:cs="宋体"/>
                <w:snapToGrid w:val="0"/>
                <w:color w:val="000000"/>
                <w:spacing w:val="-3"/>
                <w:kern w:val="0"/>
                <w:position w:val="17"/>
                <w:sz w:val="21"/>
                <w:szCs w:val="21"/>
                <w:lang w:val="en-US" w:eastAsia="zh-CN" w:bidi="ar-SA"/>
              </w:rPr>
              <w:t>2.</w:t>
            </w:r>
            <w:r>
              <w:rPr>
                <w:rFonts w:hint="eastAsia" w:ascii="宋体" w:hAnsi="宋体" w:eastAsia="宋体" w:cs="宋体"/>
                <w:snapToGrid w:val="0"/>
                <w:color w:val="000000"/>
                <w:spacing w:val="-3"/>
                <w:kern w:val="0"/>
                <w:position w:val="17"/>
                <w:sz w:val="21"/>
                <w:szCs w:val="21"/>
                <w:lang w:val="en-US" w:eastAsia="en-US" w:bidi="ar-SA"/>
              </w:rPr>
              <w:t>较为详细完整、科学合理可行性较高、针对性较强的，得</w:t>
            </w:r>
            <w:r>
              <w:rPr>
                <w:rFonts w:hint="eastAsia" w:cs="宋体"/>
                <w:snapToGrid w:val="0"/>
                <w:color w:val="000000"/>
                <w:spacing w:val="-3"/>
                <w:kern w:val="0"/>
                <w:position w:val="17"/>
                <w:sz w:val="21"/>
                <w:szCs w:val="21"/>
                <w:lang w:val="en-US" w:eastAsia="zh-CN" w:bidi="ar-SA"/>
              </w:rPr>
              <w:t>7</w:t>
            </w:r>
            <w:r>
              <w:rPr>
                <w:rFonts w:hint="eastAsia" w:ascii="宋体" w:hAnsi="宋体" w:eastAsia="宋体" w:cs="宋体"/>
                <w:snapToGrid w:val="0"/>
                <w:color w:val="000000"/>
                <w:spacing w:val="-3"/>
                <w:kern w:val="0"/>
                <w:position w:val="17"/>
                <w:sz w:val="21"/>
                <w:szCs w:val="21"/>
                <w:lang w:val="en-US" w:eastAsia="en-US" w:bidi="ar-SA"/>
              </w:rPr>
              <w:t>分；</w:t>
            </w:r>
          </w:p>
          <w:p>
            <w:pPr>
              <w:pStyle w:val="38"/>
              <w:keepNext w:val="0"/>
              <w:keepLines w:val="0"/>
              <w:pageBreakBefore w:val="0"/>
              <w:widowControl/>
              <w:kinsoku w:val="0"/>
              <w:wordWrap/>
              <w:overflowPunct/>
              <w:topLinePunct w:val="0"/>
              <w:autoSpaceDE w:val="0"/>
              <w:autoSpaceDN w:val="0"/>
              <w:bidi w:val="0"/>
              <w:adjustRightInd w:val="0"/>
              <w:snapToGrid w:val="0"/>
              <w:spacing w:before="38" w:line="240" w:lineRule="auto"/>
              <w:jc w:val="left"/>
              <w:textAlignment w:val="baseline"/>
              <w:rPr>
                <w:rFonts w:hint="eastAsia" w:ascii="宋体" w:hAnsi="宋体" w:eastAsia="宋体" w:cs="宋体"/>
                <w:snapToGrid w:val="0"/>
                <w:color w:val="000000"/>
                <w:spacing w:val="-3"/>
                <w:kern w:val="0"/>
                <w:position w:val="17"/>
                <w:sz w:val="21"/>
                <w:szCs w:val="21"/>
                <w:lang w:val="en-US" w:eastAsia="en-US" w:bidi="ar-SA"/>
              </w:rPr>
            </w:pPr>
            <w:r>
              <w:rPr>
                <w:rFonts w:hint="eastAsia" w:cs="宋体"/>
                <w:snapToGrid w:val="0"/>
                <w:color w:val="000000"/>
                <w:spacing w:val="-3"/>
                <w:kern w:val="0"/>
                <w:position w:val="17"/>
                <w:sz w:val="21"/>
                <w:szCs w:val="21"/>
                <w:lang w:val="en-US" w:eastAsia="zh-CN" w:bidi="ar-SA"/>
              </w:rPr>
              <w:t>3.</w:t>
            </w:r>
            <w:r>
              <w:rPr>
                <w:rFonts w:hint="eastAsia" w:ascii="宋体" w:hAnsi="宋体" w:eastAsia="宋体" w:cs="宋体"/>
                <w:snapToGrid w:val="0"/>
                <w:color w:val="000000"/>
                <w:spacing w:val="-3"/>
                <w:kern w:val="0"/>
                <w:position w:val="17"/>
                <w:sz w:val="21"/>
                <w:szCs w:val="21"/>
                <w:lang w:val="en-US" w:eastAsia="en-US" w:bidi="ar-SA"/>
              </w:rPr>
              <w:t>部分响应，详细完整性一般、科学合理可行性一般、针对性一般的，得</w:t>
            </w:r>
            <w:r>
              <w:rPr>
                <w:rFonts w:hint="eastAsia" w:cs="宋体"/>
                <w:snapToGrid w:val="0"/>
                <w:color w:val="000000"/>
                <w:spacing w:val="-3"/>
                <w:kern w:val="0"/>
                <w:position w:val="17"/>
                <w:sz w:val="21"/>
                <w:szCs w:val="21"/>
                <w:lang w:val="en-US" w:eastAsia="zh-CN" w:bidi="ar-SA"/>
              </w:rPr>
              <w:t>5</w:t>
            </w:r>
            <w:r>
              <w:rPr>
                <w:rFonts w:hint="eastAsia" w:ascii="宋体" w:hAnsi="宋体" w:eastAsia="宋体" w:cs="宋体"/>
                <w:snapToGrid w:val="0"/>
                <w:color w:val="000000"/>
                <w:spacing w:val="-3"/>
                <w:kern w:val="0"/>
                <w:position w:val="17"/>
                <w:sz w:val="21"/>
                <w:szCs w:val="21"/>
                <w:lang w:val="en-US" w:eastAsia="en-US" w:bidi="ar-SA"/>
              </w:rPr>
              <w:t>分；</w:t>
            </w:r>
          </w:p>
          <w:p>
            <w:pPr>
              <w:pStyle w:val="38"/>
              <w:keepNext w:val="0"/>
              <w:keepLines w:val="0"/>
              <w:pageBreakBefore w:val="0"/>
              <w:widowControl/>
              <w:kinsoku w:val="0"/>
              <w:wordWrap/>
              <w:overflowPunct/>
              <w:topLinePunct w:val="0"/>
              <w:autoSpaceDE w:val="0"/>
              <w:autoSpaceDN w:val="0"/>
              <w:bidi w:val="0"/>
              <w:adjustRightInd w:val="0"/>
              <w:snapToGrid w:val="0"/>
              <w:spacing w:before="38" w:line="240" w:lineRule="auto"/>
              <w:jc w:val="left"/>
              <w:textAlignment w:val="baseline"/>
              <w:rPr>
                <w:rFonts w:hint="eastAsia" w:ascii="宋体" w:hAnsi="宋体" w:eastAsia="宋体" w:cs="宋体"/>
                <w:snapToGrid w:val="0"/>
                <w:color w:val="000000"/>
                <w:spacing w:val="-3"/>
                <w:kern w:val="0"/>
                <w:position w:val="17"/>
                <w:sz w:val="21"/>
                <w:szCs w:val="21"/>
                <w:lang w:val="en-US" w:eastAsia="en-US" w:bidi="ar-SA"/>
              </w:rPr>
            </w:pPr>
            <w:r>
              <w:rPr>
                <w:rFonts w:hint="eastAsia" w:cs="宋体"/>
                <w:snapToGrid w:val="0"/>
                <w:color w:val="000000"/>
                <w:spacing w:val="-3"/>
                <w:kern w:val="0"/>
                <w:position w:val="17"/>
                <w:sz w:val="21"/>
                <w:szCs w:val="21"/>
                <w:lang w:val="en-US" w:eastAsia="zh-CN" w:bidi="ar-SA"/>
              </w:rPr>
              <w:t>4.</w:t>
            </w:r>
            <w:r>
              <w:rPr>
                <w:rFonts w:hint="eastAsia" w:ascii="宋体" w:hAnsi="宋体" w:eastAsia="宋体" w:cs="宋体"/>
                <w:snapToGrid w:val="0"/>
                <w:color w:val="000000"/>
                <w:spacing w:val="-3"/>
                <w:kern w:val="0"/>
                <w:position w:val="17"/>
                <w:sz w:val="21"/>
                <w:szCs w:val="21"/>
                <w:lang w:val="en-US" w:eastAsia="en-US" w:bidi="ar-SA"/>
              </w:rPr>
              <w:t>部分响应，详细完整性较差、科学合理可行性较差、针对性较差的，得</w:t>
            </w:r>
            <w:r>
              <w:rPr>
                <w:rFonts w:hint="eastAsia" w:cs="宋体"/>
                <w:snapToGrid w:val="0"/>
                <w:color w:val="000000"/>
                <w:spacing w:val="-3"/>
                <w:kern w:val="0"/>
                <w:position w:val="17"/>
                <w:sz w:val="21"/>
                <w:szCs w:val="21"/>
                <w:lang w:val="en-US" w:eastAsia="zh-CN" w:bidi="ar-SA"/>
              </w:rPr>
              <w:t>3</w:t>
            </w:r>
            <w:r>
              <w:rPr>
                <w:rFonts w:hint="eastAsia" w:ascii="宋体" w:hAnsi="宋体" w:eastAsia="宋体" w:cs="宋体"/>
                <w:snapToGrid w:val="0"/>
                <w:color w:val="000000"/>
                <w:spacing w:val="-3"/>
                <w:kern w:val="0"/>
                <w:position w:val="17"/>
                <w:sz w:val="21"/>
                <w:szCs w:val="21"/>
                <w:lang w:val="en-US" w:eastAsia="en-US" w:bidi="ar-SA"/>
              </w:rPr>
              <w:t>分；</w:t>
            </w:r>
          </w:p>
          <w:p>
            <w:pPr>
              <w:pStyle w:val="38"/>
              <w:keepNext w:val="0"/>
              <w:keepLines w:val="0"/>
              <w:pageBreakBefore w:val="0"/>
              <w:widowControl/>
              <w:kinsoku w:val="0"/>
              <w:wordWrap/>
              <w:overflowPunct/>
              <w:topLinePunct w:val="0"/>
              <w:autoSpaceDE w:val="0"/>
              <w:autoSpaceDN w:val="0"/>
              <w:bidi w:val="0"/>
              <w:adjustRightInd w:val="0"/>
              <w:snapToGrid w:val="0"/>
              <w:spacing w:before="38" w:line="240" w:lineRule="auto"/>
              <w:jc w:val="left"/>
              <w:textAlignment w:val="baseline"/>
              <w:rPr>
                <w:rFonts w:hint="eastAsia" w:ascii="宋体" w:hAnsi="宋体" w:eastAsia="宋体" w:cs="宋体"/>
                <w:sz w:val="21"/>
                <w:szCs w:val="21"/>
                <w:vertAlign w:val="baseline"/>
              </w:rPr>
            </w:pPr>
            <w:r>
              <w:rPr>
                <w:rFonts w:hint="eastAsia" w:cs="宋体"/>
                <w:snapToGrid w:val="0"/>
                <w:color w:val="000000"/>
                <w:spacing w:val="-3"/>
                <w:kern w:val="0"/>
                <w:position w:val="17"/>
                <w:sz w:val="21"/>
                <w:szCs w:val="21"/>
                <w:lang w:val="en-US" w:eastAsia="zh-CN" w:bidi="ar-SA"/>
              </w:rPr>
              <w:t>5.</w:t>
            </w:r>
            <w:r>
              <w:rPr>
                <w:rFonts w:hint="eastAsia" w:ascii="宋体" w:hAnsi="宋体" w:eastAsia="宋体" w:cs="宋体"/>
                <w:snapToGrid w:val="0"/>
                <w:color w:val="000000"/>
                <w:spacing w:val="-3"/>
                <w:kern w:val="0"/>
                <w:position w:val="17"/>
                <w:sz w:val="21"/>
                <w:szCs w:val="21"/>
                <w:lang w:val="en-US" w:eastAsia="en-US" w:bidi="ar-SA"/>
              </w:rPr>
              <w:t>未提供的不得分。</w:t>
            </w:r>
          </w:p>
        </w:tc>
        <w:tc>
          <w:tcPr>
            <w:tcW w:w="1320" w:type="dxa"/>
            <w:noWrap w:val="0"/>
            <w:vAlign w:val="top"/>
          </w:tcPr>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0-</w:t>
            </w:r>
            <w:r>
              <w:rPr>
                <w:rFonts w:hint="eastAsia" w:hAnsi="宋体" w:cs="宋体"/>
                <w:sz w:val="21"/>
                <w:szCs w:val="21"/>
                <w:vertAlign w:val="baseline"/>
                <w:lang w:val="en-US" w:eastAsia="zh-CN"/>
              </w:rPr>
              <w:t>10</w:t>
            </w:r>
            <w:r>
              <w:rPr>
                <w:rFonts w:hint="eastAsia" w:ascii="宋体" w:hAnsi="宋体" w:eastAsia="宋体" w:cs="宋体"/>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10" w:type="dxa"/>
            <w:vMerge w:val="continue"/>
            <w:noWrap w:val="0"/>
            <w:vAlign w:val="top"/>
          </w:tcPr>
          <w:p>
            <w:pPr>
              <w:jc w:val="center"/>
              <w:rPr>
                <w:rFonts w:hint="eastAsia" w:ascii="宋体" w:hAnsi="宋体" w:eastAsia="宋体" w:cs="宋体"/>
                <w:spacing w:val="-2"/>
                <w:sz w:val="21"/>
                <w:szCs w:val="21"/>
              </w:rPr>
            </w:pPr>
          </w:p>
        </w:tc>
        <w:tc>
          <w:tcPr>
            <w:tcW w:w="1695" w:type="dxa"/>
            <w:noWrap w:val="0"/>
            <w:vAlign w:val="top"/>
          </w:tcPr>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p>
          <w:p>
            <w:pPr>
              <w:jc w:val="center"/>
              <w:rPr>
                <w:rFonts w:hint="eastAsia" w:ascii="宋体" w:hAnsi="宋体" w:eastAsia="宋体" w:cs="宋体"/>
                <w:spacing w:val="-3"/>
                <w:position w:val="17"/>
                <w:sz w:val="21"/>
                <w:szCs w:val="21"/>
              </w:rPr>
            </w:pPr>
            <w:r>
              <w:rPr>
                <w:rFonts w:hint="eastAsia" w:ascii="宋体" w:hAnsi="宋体" w:eastAsia="宋体" w:cs="宋体"/>
                <w:spacing w:val="-3"/>
                <w:position w:val="17"/>
                <w:sz w:val="21"/>
                <w:szCs w:val="21"/>
              </w:rPr>
              <w:t>培训方案</w:t>
            </w:r>
          </w:p>
        </w:tc>
        <w:tc>
          <w:tcPr>
            <w:tcW w:w="4755" w:type="dxa"/>
            <w:noWrap w:val="0"/>
            <w:vAlign w:val="top"/>
          </w:tcPr>
          <w:p>
            <w:pPr>
              <w:pStyle w:val="38"/>
              <w:keepNext w:val="0"/>
              <w:keepLines w:val="0"/>
              <w:pageBreakBefore w:val="0"/>
              <w:widowControl/>
              <w:kinsoku w:val="0"/>
              <w:wordWrap/>
              <w:overflowPunct/>
              <w:topLinePunct w:val="0"/>
              <w:autoSpaceDE w:val="0"/>
              <w:autoSpaceDN w:val="0"/>
              <w:bidi w:val="0"/>
              <w:adjustRightInd w:val="0"/>
              <w:snapToGrid w:val="0"/>
              <w:spacing w:before="38" w:line="240" w:lineRule="auto"/>
              <w:jc w:val="left"/>
              <w:textAlignment w:val="baseline"/>
              <w:rPr>
                <w:rFonts w:hint="eastAsia" w:ascii="宋体" w:hAnsi="宋体" w:eastAsia="宋体" w:cs="宋体"/>
                <w:snapToGrid w:val="0"/>
                <w:color w:val="000000"/>
                <w:spacing w:val="-3"/>
                <w:kern w:val="0"/>
                <w:position w:val="17"/>
                <w:sz w:val="21"/>
                <w:szCs w:val="21"/>
                <w:lang w:val="en-US" w:eastAsia="zh-CN" w:bidi="ar-SA"/>
              </w:rPr>
            </w:pPr>
            <w:r>
              <w:rPr>
                <w:rFonts w:hint="eastAsia" w:ascii="宋体" w:hAnsi="宋体" w:eastAsia="宋体" w:cs="宋体"/>
                <w:snapToGrid w:val="0"/>
                <w:color w:val="000000"/>
                <w:spacing w:val="-3"/>
                <w:kern w:val="0"/>
                <w:position w:val="17"/>
                <w:sz w:val="21"/>
                <w:szCs w:val="21"/>
                <w:lang w:val="en-US" w:eastAsia="en-US" w:bidi="ar-SA"/>
              </w:rPr>
              <w:t>根据投标人提供</w:t>
            </w:r>
            <w:r>
              <w:rPr>
                <w:rFonts w:hint="eastAsia" w:ascii="宋体" w:hAnsi="宋体" w:eastAsia="宋体" w:cs="宋体"/>
                <w:snapToGrid w:val="0"/>
                <w:color w:val="000000"/>
                <w:spacing w:val="-3"/>
                <w:kern w:val="0"/>
                <w:position w:val="17"/>
                <w:sz w:val="21"/>
                <w:szCs w:val="21"/>
                <w:lang w:val="en-US" w:eastAsia="zh-CN" w:bidi="ar-SA"/>
              </w:rPr>
              <w:t>的</w:t>
            </w:r>
            <w:r>
              <w:rPr>
                <w:rFonts w:hint="eastAsia" w:ascii="宋体" w:hAnsi="宋体" w:eastAsia="宋体" w:cs="宋体"/>
                <w:snapToGrid w:val="0"/>
                <w:color w:val="000000"/>
                <w:spacing w:val="-3"/>
                <w:kern w:val="0"/>
                <w:position w:val="17"/>
                <w:sz w:val="21"/>
                <w:szCs w:val="21"/>
                <w:lang w:val="en-US" w:eastAsia="en-US" w:bidi="ar-SA"/>
              </w:rPr>
              <w:t>对</w:t>
            </w:r>
            <w:r>
              <w:rPr>
                <w:rFonts w:hint="eastAsia" w:ascii="宋体" w:hAnsi="宋体" w:eastAsia="宋体" w:cs="宋体"/>
                <w:snapToGrid w:val="0"/>
                <w:color w:val="000000"/>
                <w:spacing w:val="-3"/>
                <w:kern w:val="0"/>
                <w:position w:val="17"/>
                <w:sz w:val="21"/>
                <w:szCs w:val="21"/>
                <w:lang w:val="en-US" w:eastAsia="zh-CN" w:bidi="ar-SA"/>
              </w:rPr>
              <w:t>派遣人员</w:t>
            </w:r>
            <w:r>
              <w:rPr>
                <w:rFonts w:hint="eastAsia" w:ascii="宋体" w:hAnsi="宋体" w:eastAsia="宋体" w:cs="宋体"/>
                <w:snapToGrid w:val="0"/>
                <w:color w:val="000000"/>
                <w:spacing w:val="-3"/>
                <w:kern w:val="0"/>
                <w:position w:val="17"/>
                <w:sz w:val="21"/>
                <w:szCs w:val="21"/>
                <w:lang w:val="en-US" w:eastAsia="en-US" w:bidi="ar-SA"/>
              </w:rPr>
              <w:t>培训方案的科学性、合理性、针对性</w:t>
            </w:r>
            <w:r>
              <w:rPr>
                <w:rFonts w:hint="eastAsia" w:cs="宋体"/>
                <w:snapToGrid w:val="0"/>
                <w:color w:val="000000"/>
                <w:spacing w:val="-3"/>
                <w:kern w:val="0"/>
                <w:position w:val="17"/>
                <w:sz w:val="21"/>
                <w:szCs w:val="21"/>
                <w:lang w:val="en-US" w:eastAsia="zh-CN" w:bidi="ar-SA"/>
              </w:rPr>
              <w:t>，酌情评分。</w:t>
            </w:r>
          </w:p>
          <w:p>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before="38" w:line="240" w:lineRule="auto"/>
              <w:jc w:val="left"/>
              <w:textAlignment w:val="baseline"/>
              <w:rPr>
                <w:rFonts w:hint="eastAsia" w:ascii="宋体" w:hAnsi="宋体" w:eastAsia="宋体" w:cs="宋体"/>
                <w:sz w:val="21"/>
                <w:szCs w:val="21"/>
                <w:vertAlign w:val="baseline"/>
              </w:rPr>
            </w:pPr>
            <w:r>
              <w:rPr>
                <w:rFonts w:hint="eastAsia" w:cs="宋体"/>
                <w:snapToGrid w:val="0"/>
                <w:color w:val="000000"/>
                <w:spacing w:val="-3"/>
                <w:kern w:val="0"/>
                <w:position w:val="17"/>
                <w:sz w:val="21"/>
                <w:szCs w:val="21"/>
                <w:lang w:val="en-US" w:eastAsia="zh-CN" w:bidi="ar-SA"/>
              </w:rPr>
              <w:t>1.</w:t>
            </w:r>
            <w:r>
              <w:rPr>
                <w:rFonts w:hint="eastAsia" w:ascii="宋体" w:hAnsi="宋体" w:eastAsia="宋体" w:cs="宋体"/>
                <w:snapToGrid w:val="0"/>
                <w:color w:val="000000"/>
                <w:spacing w:val="-3"/>
                <w:kern w:val="0"/>
                <w:position w:val="17"/>
                <w:sz w:val="21"/>
                <w:szCs w:val="21"/>
                <w:lang w:val="en-US" w:eastAsia="en-US" w:bidi="ar-SA"/>
              </w:rPr>
              <w:t>详细完整、科学合理可行性高、针对性强的，得</w:t>
            </w:r>
            <w:r>
              <w:rPr>
                <w:rFonts w:hint="eastAsia" w:cs="宋体"/>
                <w:snapToGrid w:val="0"/>
                <w:color w:val="000000"/>
                <w:spacing w:val="-3"/>
                <w:kern w:val="0"/>
                <w:position w:val="17"/>
                <w:sz w:val="21"/>
                <w:szCs w:val="21"/>
                <w:lang w:val="en-US" w:eastAsia="zh-CN" w:bidi="ar-SA"/>
              </w:rPr>
              <w:t>10</w:t>
            </w:r>
            <w:r>
              <w:rPr>
                <w:rFonts w:hint="eastAsia" w:ascii="宋体" w:hAnsi="宋体" w:eastAsia="宋体" w:cs="宋体"/>
                <w:snapToGrid w:val="0"/>
                <w:color w:val="000000"/>
                <w:spacing w:val="-3"/>
                <w:kern w:val="0"/>
                <w:position w:val="17"/>
                <w:sz w:val="21"/>
                <w:szCs w:val="21"/>
                <w:lang w:val="en-US" w:eastAsia="en-US" w:bidi="ar-SA"/>
              </w:rPr>
              <w:t>分；</w:t>
            </w:r>
          </w:p>
          <w:p>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before="38" w:line="240" w:lineRule="auto"/>
              <w:ind w:leftChars="0"/>
              <w:jc w:val="left"/>
              <w:textAlignment w:val="baseline"/>
              <w:rPr>
                <w:rFonts w:hint="eastAsia" w:ascii="宋体" w:hAnsi="宋体" w:eastAsia="宋体" w:cs="宋体"/>
                <w:snapToGrid w:val="0"/>
                <w:color w:val="000000"/>
                <w:spacing w:val="-3"/>
                <w:kern w:val="0"/>
                <w:position w:val="17"/>
                <w:sz w:val="21"/>
                <w:szCs w:val="21"/>
                <w:lang w:val="en-US" w:eastAsia="en-US" w:bidi="ar-SA"/>
              </w:rPr>
            </w:pPr>
            <w:r>
              <w:rPr>
                <w:rFonts w:hint="eastAsia" w:cs="宋体"/>
                <w:snapToGrid w:val="0"/>
                <w:color w:val="000000"/>
                <w:spacing w:val="-3"/>
                <w:kern w:val="0"/>
                <w:position w:val="17"/>
                <w:sz w:val="21"/>
                <w:szCs w:val="21"/>
                <w:lang w:val="en-US" w:eastAsia="zh-CN" w:bidi="ar-SA"/>
              </w:rPr>
              <w:t>2.</w:t>
            </w:r>
            <w:r>
              <w:rPr>
                <w:rFonts w:hint="eastAsia" w:ascii="宋体" w:hAnsi="宋体" w:eastAsia="宋体" w:cs="宋体"/>
                <w:snapToGrid w:val="0"/>
                <w:color w:val="000000"/>
                <w:spacing w:val="-3"/>
                <w:kern w:val="0"/>
                <w:position w:val="17"/>
                <w:sz w:val="21"/>
                <w:szCs w:val="21"/>
                <w:lang w:val="en-US" w:eastAsia="en-US" w:bidi="ar-SA"/>
              </w:rPr>
              <w:t>较为详细完整、科学合理可行性较高、针对性较强的，得</w:t>
            </w:r>
            <w:r>
              <w:rPr>
                <w:rFonts w:hint="eastAsia" w:cs="宋体"/>
                <w:snapToGrid w:val="0"/>
                <w:color w:val="000000"/>
                <w:spacing w:val="-3"/>
                <w:kern w:val="0"/>
                <w:position w:val="17"/>
                <w:sz w:val="21"/>
                <w:szCs w:val="21"/>
                <w:lang w:val="en-US" w:eastAsia="zh-CN" w:bidi="ar-SA"/>
              </w:rPr>
              <w:t>7</w:t>
            </w:r>
            <w:r>
              <w:rPr>
                <w:rFonts w:hint="eastAsia" w:ascii="宋体" w:hAnsi="宋体" w:eastAsia="宋体" w:cs="宋体"/>
                <w:snapToGrid w:val="0"/>
                <w:color w:val="000000"/>
                <w:spacing w:val="-3"/>
                <w:kern w:val="0"/>
                <w:position w:val="17"/>
                <w:sz w:val="21"/>
                <w:szCs w:val="21"/>
                <w:lang w:val="en-US" w:eastAsia="en-US" w:bidi="ar-SA"/>
              </w:rPr>
              <w:t>分；</w:t>
            </w:r>
          </w:p>
          <w:p>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before="38" w:line="240" w:lineRule="auto"/>
              <w:ind w:leftChars="0"/>
              <w:jc w:val="left"/>
              <w:textAlignment w:val="baseline"/>
              <w:rPr>
                <w:rFonts w:hint="eastAsia" w:ascii="宋体" w:hAnsi="宋体" w:eastAsia="宋体" w:cs="宋体"/>
                <w:snapToGrid w:val="0"/>
                <w:color w:val="000000"/>
                <w:spacing w:val="-3"/>
                <w:kern w:val="0"/>
                <w:position w:val="17"/>
                <w:sz w:val="21"/>
                <w:szCs w:val="21"/>
                <w:lang w:val="en-US" w:eastAsia="en-US" w:bidi="ar-SA"/>
              </w:rPr>
            </w:pPr>
            <w:r>
              <w:rPr>
                <w:rFonts w:hint="eastAsia" w:cs="宋体"/>
                <w:snapToGrid w:val="0"/>
                <w:color w:val="000000"/>
                <w:spacing w:val="-3"/>
                <w:kern w:val="0"/>
                <w:position w:val="17"/>
                <w:sz w:val="21"/>
                <w:szCs w:val="21"/>
                <w:lang w:val="en-US" w:eastAsia="zh-CN" w:bidi="ar-SA"/>
              </w:rPr>
              <w:t>3.</w:t>
            </w:r>
            <w:r>
              <w:rPr>
                <w:rFonts w:hint="eastAsia" w:ascii="宋体" w:hAnsi="宋体" w:eastAsia="宋体" w:cs="宋体"/>
                <w:snapToGrid w:val="0"/>
                <w:color w:val="000000"/>
                <w:spacing w:val="-3"/>
                <w:kern w:val="0"/>
                <w:position w:val="17"/>
                <w:sz w:val="21"/>
                <w:szCs w:val="21"/>
                <w:lang w:val="en-US" w:eastAsia="en-US" w:bidi="ar-SA"/>
              </w:rPr>
              <w:t>部分响应，详细完整性一般、科学合理可行性一般、针对性一般的，得</w:t>
            </w:r>
            <w:r>
              <w:rPr>
                <w:rFonts w:hint="eastAsia" w:cs="宋体"/>
                <w:snapToGrid w:val="0"/>
                <w:color w:val="000000"/>
                <w:spacing w:val="-3"/>
                <w:kern w:val="0"/>
                <w:position w:val="17"/>
                <w:sz w:val="21"/>
                <w:szCs w:val="21"/>
                <w:lang w:val="en-US" w:eastAsia="zh-CN" w:bidi="ar-SA"/>
              </w:rPr>
              <w:t>5</w:t>
            </w:r>
            <w:r>
              <w:rPr>
                <w:rFonts w:hint="eastAsia" w:ascii="宋体" w:hAnsi="宋体" w:eastAsia="宋体" w:cs="宋体"/>
                <w:snapToGrid w:val="0"/>
                <w:color w:val="000000"/>
                <w:spacing w:val="-3"/>
                <w:kern w:val="0"/>
                <w:position w:val="17"/>
                <w:sz w:val="21"/>
                <w:szCs w:val="21"/>
                <w:lang w:val="en-US" w:eastAsia="en-US" w:bidi="ar-SA"/>
              </w:rPr>
              <w:t>分；</w:t>
            </w:r>
          </w:p>
          <w:p>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before="38" w:line="240" w:lineRule="auto"/>
              <w:ind w:leftChars="0"/>
              <w:jc w:val="left"/>
              <w:textAlignment w:val="baseline"/>
              <w:rPr>
                <w:rFonts w:hint="eastAsia" w:ascii="宋体" w:hAnsi="宋体" w:eastAsia="宋体" w:cs="宋体"/>
                <w:snapToGrid w:val="0"/>
                <w:color w:val="000000"/>
                <w:spacing w:val="-3"/>
                <w:kern w:val="0"/>
                <w:position w:val="17"/>
                <w:sz w:val="21"/>
                <w:szCs w:val="21"/>
                <w:lang w:val="en-US" w:eastAsia="en-US" w:bidi="ar-SA"/>
              </w:rPr>
            </w:pPr>
            <w:r>
              <w:rPr>
                <w:rFonts w:hint="eastAsia" w:cs="宋体"/>
                <w:snapToGrid w:val="0"/>
                <w:color w:val="000000"/>
                <w:spacing w:val="-3"/>
                <w:kern w:val="0"/>
                <w:position w:val="17"/>
                <w:sz w:val="21"/>
                <w:szCs w:val="21"/>
                <w:lang w:val="en-US" w:eastAsia="zh-CN" w:bidi="ar-SA"/>
              </w:rPr>
              <w:t>4.</w:t>
            </w:r>
            <w:r>
              <w:rPr>
                <w:rFonts w:hint="eastAsia" w:ascii="宋体" w:hAnsi="宋体" w:eastAsia="宋体" w:cs="宋体"/>
                <w:snapToGrid w:val="0"/>
                <w:color w:val="000000"/>
                <w:spacing w:val="-3"/>
                <w:kern w:val="0"/>
                <w:position w:val="17"/>
                <w:sz w:val="21"/>
                <w:szCs w:val="21"/>
                <w:lang w:val="en-US" w:eastAsia="en-US" w:bidi="ar-SA"/>
              </w:rPr>
              <w:t>部分响应，详细完整性较差、科学合理可行性较差、针对性较差的，得</w:t>
            </w:r>
            <w:r>
              <w:rPr>
                <w:rFonts w:hint="eastAsia" w:cs="宋体"/>
                <w:snapToGrid w:val="0"/>
                <w:color w:val="000000"/>
                <w:spacing w:val="-3"/>
                <w:kern w:val="0"/>
                <w:position w:val="17"/>
                <w:sz w:val="21"/>
                <w:szCs w:val="21"/>
                <w:lang w:val="en-US" w:eastAsia="zh-CN" w:bidi="ar-SA"/>
              </w:rPr>
              <w:t>3</w:t>
            </w:r>
            <w:r>
              <w:rPr>
                <w:rFonts w:hint="eastAsia" w:ascii="宋体" w:hAnsi="宋体" w:eastAsia="宋体" w:cs="宋体"/>
                <w:snapToGrid w:val="0"/>
                <w:color w:val="000000"/>
                <w:spacing w:val="-3"/>
                <w:kern w:val="0"/>
                <w:position w:val="17"/>
                <w:sz w:val="21"/>
                <w:szCs w:val="21"/>
                <w:lang w:val="en-US" w:eastAsia="en-US" w:bidi="ar-SA"/>
              </w:rPr>
              <w:t>分；</w:t>
            </w:r>
          </w:p>
          <w:p>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before="38" w:line="240" w:lineRule="auto"/>
              <w:ind w:leftChars="0"/>
              <w:jc w:val="left"/>
              <w:textAlignment w:val="baseline"/>
              <w:rPr>
                <w:rFonts w:hint="eastAsia" w:ascii="宋体" w:hAnsi="宋体" w:eastAsia="宋体" w:cs="宋体"/>
                <w:sz w:val="21"/>
                <w:szCs w:val="21"/>
                <w:vertAlign w:val="baseline"/>
              </w:rPr>
            </w:pPr>
            <w:r>
              <w:rPr>
                <w:rFonts w:hint="eastAsia" w:cs="宋体"/>
                <w:snapToGrid w:val="0"/>
                <w:color w:val="000000"/>
                <w:spacing w:val="-3"/>
                <w:kern w:val="0"/>
                <w:position w:val="17"/>
                <w:sz w:val="21"/>
                <w:szCs w:val="21"/>
                <w:lang w:val="en-US" w:eastAsia="zh-CN" w:bidi="ar-SA"/>
              </w:rPr>
              <w:t>5.</w:t>
            </w:r>
            <w:r>
              <w:rPr>
                <w:rFonts w:hint="eastAsia" w:ascii="宋体" w:hAnsi="宋体" w:eastAsia="宋体" w:cs="宋体"/>
                <w:snapToGrid w:val="0"/>
                <w:color w:val="000000"/>
                <w:spacing w:val="-3"/>
                <w:kern w:val="0"/>
                <w:position w:val="17"/>
                <w:sz w:val="21"/>
                <w:szCs w:val="21"/>
                <w:lang w:val="en-US" w:eastAsia="en-US" w:bidi="ar-SA"/>
              </w:rPr>
              <w:t>未提供的不得分。</w:t>
            </w:r>
          </w:p>
        </w:tc>
        <w:tc>
          <w:tcPr>
            <w:tcW w:w="1320" w:type="dxa"/>
            <w:noWrap w:val="0"/>
            <w:vAlign w:val="top"/>
          </w:tcPr>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0-</w:t>
            </w:r>
            <w:r>
              <w:rPr>
                <w:rFonts w:hint="eastAsia" w:hAnsi="宋体" w:cs="宋体"/>
                <w:sz w:val="21"/>
                <w:szCs w:val="21"/>
                <w:vertAlign w:val="baseline"/>
                <w:lang w:val="en-US" w:eastAsia="zh-CN"/>
              </w:rPr>
              <w:t>10</w:t>
            </w:r>
            <w:r>
              <w:rPr>
                <w:rFonts w:hint="eastAsia" w:ascii="宋体" w:hAnsi="宋体" w:eastAsia="宋体" w:cs="宋体"/>
                <w:sz w:val="21"/>
                <w:szCs w:val="21"/>
                <w:vertAlign w:val="baseline"/>
              </w:rPr>
              <w:t>分</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lang w:eastAsia="zh-CN"/>
        </w:rPr>
      </w:pPr>
      <w:r>
        <w:rPr>
          <w:rFonts w:hint="eastAsia" w:ascii="宋体" w:hAnsi="宋体"/>
          <w:b w:val="0"/>
          <w:bCs/>
          <w:sz w:val="24"/>
          <w:lang w:val="en-US" w:eastAsia="zh-CN"/>
        </w:rPr>
        <w:t>2.2.2.2</w:t>
      </w:r>
      <w:r>
        <w:rPr>
          <w:rFonts w:hint="eastAsia" w:ascii="宋体" w:hAnsi="宋体"/>
          <w:b w:val="0"/>
          <w:bCs/>
          <w:sz w:val="24"/>
        </w:rPr>
        <w:t>磋商</w:t>
      </w:r>
      <w:r>
        <w:rPr>
          <w:rFonts w:hint="eastAsia" w:ascii="宋体" w:hAnsi="宋体"/>
          <w:b w:val="0"/>
          <w:bCs/>
          <w:sz w:val="24"/>
          <w:lang w:eastAsia="zh-CN"/>
        </w:rPr>
        <w:t>报价</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sz w:val="24"/>
          <w:lang w:eastAsia="zh-CN"/>
        </w:rPr>
        <w:t>因开标硬件设施限制，本次磋商，投标人只需一次报价（以开标一览表中报价为准），无需进行二轮及多轮报价，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报价是签订合同的依据。</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4169" w:type="pct"/>
            <w:noWrap w:val="0"/>
            <w:vAlign w:val="center"/>
          </w:tcPr>
          <w:p>
            <w:pPr>
              <w:spacing w:line="460" w:lineRule="exact"/>
              <w:jc w:val="left"/>
              <w:rPr>
                <w:rFonts w:ascii="宋体" w:hAnsi="宋体" w:eastAsia="宋体" w:cs="宋体"/>
                <w:sz w:val="24"/>
              </w:rPr>
            </w:pPr>
            <w:r>
              <w:rPr>
                <w:rFonts w:hint="eastAsia" w:ascii="宋体" w:hAnsi="宋体" w:eastAsia="宋体" w:cs="宋体"/>
                <w:sz w:val="24"/>
              </w:rPr>
              <w:t>价格分统一采用低价优先法，即满足招标文件要求且投标价格最低的投标报价为评标基准价，其价格分为满分</w:t>
            </w:r>
            <w:r>
              <w:rPr>
                <w:rFonts w:hint="eastAsia" w:ascii="宋体" w:hAnsi="宋体" w:eastAsia="宋体" w:cs="宋体"/>
                <w:sz w:val="24"/>
                <w:u w:val="single"/>
              </w:rPr>
              <w:t xml:space="preserve"> </w:t>
            </w:r>
            <w:r>
              <w:rPr>
                <w:rFonts w:hint="eastAsia" w:hAnsi="宋体" w:cs="宋体"/>
                <w:sz w:val="24"/>
                <w:u w:val="single"/>
                <w:lang w:val="en-US" w:eastAsia="zh-CN"/>
              </w:rPr>
              <w:t>10</w:t>
            </w:r>
            <w:r>
              <w:rPr>
                <w:rFonts w:hint="eastAsia" w:ascii="宋体" w:hAnsi="宋体" w:eastAsia="宋体" w:cs="宋体"/>
                <w:sz w:val="24"/>
                <w:u w:val="single"/>
              </w:rPr>
              <w:t xml:space="preserve"> </w:t>
            </w:r>
            <w:r>
              <w:rPr>
                <w:rFonts w:hint="eastAsia" w:ascii="宋体" w:hAnsi="宋体" w:eastAsia="宋体" w:cs="宋体"/>
                <w:sz w:val="24"/>
              </w:rPr>
              <w:t>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rPr>
              <w:t>投标报价得分＝（评标基准价/投标报价）×</w:t>
            </w:r>
            <w:r>
              <w:rPr>
                <w:rFonts w:hint="eastAsia" w:ascii="宋体" w:hAnsi="宋体" w:eastAsia="宋体" w:cs="宋体"/>
                <w:sz w:val="24"/>
                <w:u w:val="single"/>
              </w:rPr>
              <w:t xml:space="preserve"> </w:t>
            </w:r>
            <w:r>
              <w:rPr>
                <w:rFonts w:hint="eastAsia" w:hAnsi="宋体" w:cs="宋体"/>
                <w:sz w:val="24"/>
                <w:u w:val="single"/>
                <w:lang w:val="en-US" w:eastAsia="zh-CN"/>
              </w:rPr>
              <w:t>10</w:t>
            </w:r>
            <w:r>
              <w:rPr>
                <w:rFonts w:hint="eastAsia" w:ascii="宋体" w:hAnsi="宋体" w:eastAsia="宋体" w:cs="宋体"/>
                <w:sz w:val="24"/>
                <w:u w:val="single"/>
              </w:rPr>
              <w:t xml:space="preserve"> </w:t>
            </w:r>
            <w:r>
              <w:rPr>
                <w:rFonts w:hint="eastAsia" w:ascii="宋体" w:hAnsi="宋体" w:eastAsia="宋体" w:cs="宋体"/>
                <w:sz w:val="24"/>
              </w:rPr>
              <w:t>％×100</w:t>
            </w:r>
          </w:p>
        </w:tc>
        <w:tc>
          <w:tcPr>
            <w:tcW w:w="488" w:type="pct"/>
            <w:noWrap w:val="0"/>
            <w:vAlign w:val="center"/>
          </w:tcPr>
          <w:p>
            <w:pPr>
              <w:widowControl/>
              <w:numPr>
                <w:ilvl w:val="0"/>
                <w:numId w:val="0"/>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lang w:val="en-US" w:eastAsia="zh-CN"/>
              </w:rPr>
              <w:t>0-</w:t>
            </w:r>
            <w:r>
              <w:rPr>
                <w:rFonts w:hint="eastAsia" w:hAnsi="宋体" w:cs="宋体"/>
                <w:sz w:val="24"/>
                <w:szCs w:val="24"/>
                <w:lang w:val="en-US" w:eastAsia="zh-CN"/>
              </w:rPr>
              <w:t>10</w:t>
            </w:r>
            <w:r>
              <w:rPr>
                <w:rFonts w:hint="eastAsia" w:ascii="宋体" w:hAnsi="宋体" w:eastAsia="宋体" w:cs="宋体"/>
                <w:sz w:val="24"/>
                <w:szCs w:val="24"/>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2.2.3分值汇总</w:t>
      </w:r>
    </w:p>
    <w:p>
      <w:pPr>
        <w:numPr>
          <w:ilvl w:val="0"/>
          <w:numId w:val="4"/>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4"/>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5"/>
    <w:p>
      <w:pPr>
        <w:adjustRightInd w:val="0"/>
        <w:snapToGrid w:val="0"/>
        <w:spacing w:line="360" w:lineRule="auto"/>
        <w:ind w:right="-10" w:firstLine="420" w:firstLineChars="175"/>
        <w:rPr>
          <w:rFonts w:ascii="宋体" w:hAnsi="宋体"/>
          <w:bCs/>
          <w:sz w:val="24"/>
        </w:rPr>
      </w:pPr>
      <w:bookmarkStart w:id="46"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7" w:name="_Hlk514735510"/>
      <w:r>
        <w:rPr>
          <w:rFonts w:hint="eastAsia" w:ascii="宋体" w:hAnsi="宋体"/>
          <w:bCs/>
          <w:sz w:val="24"/>
        </w:rPr>
        <w:t>则采取磋商小组抽签方式确定其前后次序。</w:t>
      </w:r>
      <w:bookmarkEnd w:id="47"/>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4"/>
        <w:numPr>
          <w:ilvl w:val="0"/>
          <w:numId w:val="0"/>
        </w:numPr>
        <w:jc w:val="center"/>
        <w:rPr>
          <w:rFonts w:hint="eastAsia" w:ascii="宋体" w:hAnsi="Times New Roman" w:eastAsia="宋体" w:cs="Times New Roman"/>
          <w:b/>
          <w:bCs/>
          <w:lang w:val="en-US" w:eastAsia="zh-CN"/>
        </w:rPr>
      </w:pPr>
      <w:bookmarkStart w:id="48" w:name="_Toc22920"/>
      <w:r>
        <w:rPr>
          <w:rFonts w:hint="eastAsia" w:ascii="宋体" w:hAnsi="Times New Roman" w:eastAsia="宋体" w:cs="Times New Roman"/>
          <w:b/>
          <w:bCs/>
          <w:lang w:val="en-US" w:eastAsia="zh-CN"/>
        </w:rPr>
        <w:t>第五章 合同条款及格式</w:t>
      </w:r>
      <w:bookmarkEnd w:id="46"/>
      <w:r>
        <w:rPr>
          <w:rFonts w:hint="eastAsia" w:ascii="宋体" w:hAnsi="Times New Roman" w:eastAsia="宋体" w:cs="Times New Roman"/>
          <w:b/>
          <w:bCs/>
          <w:lang w:val="en-US" w:eastAsia="zh-CN"/>
        </w:rPr>
        <w:t>（另行提供）</w:t>
      </w:r>
      <w:bookmarkEnd w:id="48"/>
    </w:p>
    <w:p>
      <w:pPr>
        <w:jc w:val="center"/>
        <w:rPr>
          <w:rFonts w:hint="eastAsia" w:ascii="黑体" w:hAnsi="黑体" w:eastAsia="黑体"/>
          <w:bCs/>
          <w:kern w:val="44"/>
          <w:sz w:val="32"/>
          <w:szCs w:val="4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4"/>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bookmarkStart w:id="49" w:name="_Toc15202"/>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val="en-US"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7"/>
        <w:jc w:val="center"/>
        <w:rPr>
          <w:rFonts w:hint="eastAsia" w:ascii="黑体" w:hAnsi="黑体" w:eastAsia="黑体"/>
          <w:b w:val="0"/>
          <w:sz w:val="44"/>
          <w:szCs w:val="44"/>
          <w:highlight w:val="none"/>
          <w:lang w:eastAsia="zh-CN"/>
        </w:rPr>
      </w:pPr>
      <w:bookmarkStart w:id="50" w:name="_Toc1124"/>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7"/>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18974"/>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18"/>
        <w:rPr>
          <w:rFonts w:hint="eastAsia" w:ascii="宋体" w:hAnsi="Times New Roman" w:eastAsia="宋体" w:cs="Times New Roman"/>
          <w:bCs w:val="0"/>
          <w:sz w:val="24"/>
          <w:highlight w:val="none"/>
          <w:lang w:val="en-US" w:eastAsia="zh-CN" w:bidi="ar-SA"/>
        </w:rPr>
      </w:pPr>
    </w:p>
    <w:p>
      <w:pPr>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4" w:name="_Toc4449"/>
      <w:r>
        <w:rPr>
          <w:rFonts w:hint="eastAsia" w:ascii="宋体" w:hAnsi="Times New Roman" w:eastAsia="宋体" w:cs="Times New Roman"/>
          <w:bCs w:val="0"/>
          <w:sz w:val="24"/>
          <w:highlight w:val="none"/>
          <w:lang w:val="en-US" w:eastAsia="zh-CN" w:bidi="ar-SA"/>
        </w:rPr>
        <w:t>一、开标一览表</w:t>
      </w:r>
      <w:bookmarkEnd w:id="5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widowControl/>
              <w:spacing w:line="360" w:lineRule="auto"/>
              <w:jc w:val="center"/>
              <w:textAlignment w:val="center"/>
              <w:rPr>
                <w:rFonts w:hint="eastAsia" w:ascii="宋体" w:hAnsi="宋体" w:cs="宋体"/>
                <w:b/>
                <w:kern w:val="0"/>
                <w:sz w:val="24"/>
                <w:szCs w:val="24"/>
                <w:highlight w:val="none"/>
                <w:lang w:bidi="ar"/>
              </w:rPr>
            </w:pPr>
            <w:r>
              <w:rPr>
                <w:rFonts w:hint="eastAsia" w:ascii="宋体" w:hAnsi="宋体" w:cs="宋体"/>
                <w:b/>
                <w:kern w:val="0"/>
                <w:sz w:val="24"/>
                <w:szCs w:val="24"/>
                <w:lang w:bidi="ar"/>
              </w:rPr>
              <w:t>三国遗址公园售票员</w:t>
            </w:r>
            <w:r>
              <w:rPr>
                <w:rFonts w:hint="eastAsia" w:ascii="宋体" w:hAnsi="宋体" w:cs="宋体"/>
                <w:b/>
                <w:kern w:val="0"/>
                <w:sz w:val="24"/>
                <w:szCs w:val="24"/>
                <w:lang w:eastAsia="zh-CN" w:bidi="ar"/>
              </w:rPr>
              <w:t>：</w:t>
            </w:r>
            <w:r>
              <w:rPr>
                <w:rFonts w:hint="eastAsia" w:ascii="宋体" w:hAnsi="宋体" w:cs="宋体"/>
                <w:b/>
                <w:kern w:val="0"/>
                <w:sz w:val="24"/>
                <w:szCs w:val="24"/>
                <w:u w:val="single"/>
                <w:lang w:val="en-US" w:eastAsia="zh-CN" w:bidi="ar"/>
              </w:rPr>
              <w:t xml:space="preserve">            </w:t>
            </w:r>
            <w:r>
              <w:rPr>
                <w:rFonts w:hint="eastAsia" w:ascii="宋体" w:hAnsi="宋体" w:cs="宋体"/>
                <w:b/>
                <w:kern w:val="0"/>
                <w:sz w:val="24"/>
                <w:szCs w:val="24"/>
                <w:lang w:bidi="ar"/>
              </w:rPr>
              <w:t>元/人·月</w:t>
            </w:r>
          </w:p>
          <w:p>
            <w:pPr>
              <w:widowControl/>
              <w:spacing w:line="360" w:lineRule="auto"/>
              <w:jc w:val="center"/>
              <w:textAlignment w:val="center"/>
              <w:rPr>
                <w:rFonts w:hint="eastAsia" w:ascii="宋体" w:hAnsi="宋体" w:cs="宋体"/>
                <w:b/>
                <w:kern w:val="0"/>
                <w:sz w:val="24"/>
                <w:szCs w:val="24"/>
                <w:lang w:bidi="ar"/>
              </w:rPr>
            </w:pPr>
          </w:p>
          <w:p>
            <w:pPr>
              <w:widowControl/>
              <w:spacing w:line="360" w:lineRule="auto"/>
              <w:jc w:val="center"/>
              <w:textAlignment w:val="center"/>
              <w:rPr>
                <w:rFonts w:hint="default" w:ascii="宋体" w:hAnsi="宋体" w:eastAsia="宋体"/>
                <w:b w:val="0"/>
                <w:bCs/>
                <w:color w:val="auto"/>
                <w:sz w:val="24"/>
                <w:szCs w:val="28"/>
                <w:highlight w:val="none"/>
                <w:lang w:val="en-US" w:eastAsia="zh-CN"/>
              </w:rPr>
            </w:pPr>
            <w:r>
              <w:rPr>
                <w:rFonts w:hint="eastAsia" w:ascii="宋体" w:hAnsi="宋体" w:cs="宋体"/>
                <w:b/>
                <w:kern w:val="0"/>
                <w:sz w:val="24"/>
                <w:szCs w:val="24"/>
                <w:lang w:bidi="ar"/>
              </w:rPr>
              <w:t>项目现场管理人员</w:t>
            </w:r>
            <w:r>
              <w:rPr>
                <w:rFonts w:hint="eastAsia" w:ascii="宋体" w:hAnsi="宋体" w:cs="宋体"/>
                <w:b/>
                <w:kern w:val="0"/>
                <w:sz w:val="24"/>
                <w:szCs w:val="24"/>
                <w:lang w:eastAsia="zh-CN" w:bidi="ar"/>
              </w:rPr>
              <w:t>：</w:t>
            </w:r>
            <w:r>
              <w:rPr>
                <w:rFonts w:hint="eastAsia" w:ascii="宋体" w:hAnsi="宋体" w:cs="宋体"/>
                <w:b/>
                <w:kern w:val="0"/>
                <w:sz w:val="24"/>
                <w:szCs w:val="24"/>
                <w:u w:val="single"/>
                <w:lang w:val="en-US" w:eastAsia="zh-CN" w:bidi="ar"/>
              </w:rPr>
              <w:t xml:space="preserve">            </w:t>
            </w:r>
            <w:r>
              <w:rPr>
                <w:rFonts w:hint="eastAsia" w:ascii="宋体" w:hAnsi="宋体" w:cs="宋体"/>
                <w:b/>
                <w:kern w:val="0"/>
                <w:sz w:val="24"/>
                <w:szCs w:val="24"/>
                <w:lang w:bidi="ar"/>
              </w:rPr>
              <w:t>元/人·月</w:t>
            </w: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6942"/>
      <w:r>
        <w:rPr>
          <w:rFonts w:hint="eastAsia" w:ascii="宋体" w:hAnsi="Times New Roman" w:eastAsia="宋体" w:cs="Times New Roman"/>
          <w:bCs w:val="0"/>
          <w:sz w:val="24"/>
          <w:highlight w:val="none"/>
          <w:lang w:val="en-US" w:eastAsia="zh-CN" w:bidi="ar-SA"/>
        </w:rPr>
        <w:t>二、投标人基本情况表</w:t>
      </w:r>
      <w:bookmarkEnd w:id="55"/>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8"/>
        <w:jc w:val="center"/>
        <w:outlineLvl w:val="1"/>
        <w:rPr>
          <w:rFonts w:hint="eastAsia" w:ascii="宋体" w:hAnsi="Times New Roman" w:eastAsia="宋体" w:cs="Times New Roman"/>
          <w:bCs w:val="0"/>
          <w:sz w:val="24"/>
          <w:highlight w:val="none"/>
          <w:lang w:val="en-US" w:eastAsia="zh-CN" w:bidi="ar-SA"/>
        </w:rPr>
      </w:pPr>
      <w:bookmarkStart w:id="56" w:name="_Toc27701"/>
      <w:bookmarkStart w:id="57" w:name="_Toc460660223"/>
      <w:bookmarkStart w:id="58" w:name="_Toc421917001"/>
      <w:bookmarkStart w:id="59" w:name="_Toc390411621"/>
      <w:bookmarkStart w:id="60" w:name="_Toc460227108"/>
      <w:bookmarkStart w:id="61" w:name="_Toc224103496"/>
      <w:r>
        <w:rPr>
          <w:rFonts w:hint="eastAsia" w:ascii="宋体" w:hAnsi="Times New Roman" w:eastAsia="宋体" w:cs="Times New Roman"/>
          <w:bCs w:val="0"/>
          <w:sz w:val="24"/>
          <w:highlight w:val="none"/>
          <w:lang w:val="en-US" w:eastAsia="zh-CN" w:bidi="ar-SA"/>
        </w:rPr>
        <w:t>三、投标函</w:t>
      </w:r>
      <w:bookmarkEnd w:id="56"/>
    </w:p>
    <w:p>
      <w:pPr>
        <w:spacing w:line="360" w:lineRule="auto"/>
        <w:ind w:firstLine="480" w:firstLineChars="200"/>
        <w:rPr>
          <w:rFonts w:hint="eastAsia" w:ascii="宋体" w:hAnsi="宋体"/>
          <w:dstrike/>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根据贵方“</w:t>
      </w:r>
      <w:r>
        <w:rPr>
          <w:rFonts w:hint="eastAsia" w:ascii="宋体" w:hAnsi="宋体"/>
          <w:b/>
          <w:bCs/>
          <w:color w:val="auto"/>
          <w:sz w:val="24"/>
          <w:highlight w:val="none"/>
          <w:u w:val="single"/>
          <w:lang w:val="en-US" w:eastAsia="zh-CN"/>
        </w:rPr>
        <w:t>（项目名称）</w:t>
      </w:r>
      <w:r>
        <w:rPr>
          <w:rFonts w:hint="eastAsia" w:ascii="宋体" w:hAnsi="宋体"/>
          <w:color w:val="auto"/>
          <w:sz w:val="24"/>
          <w:highlight w:val="none"/>
        </w:rPr>
        <w:t>”的招标邀请书或磋商公告，我方提交规定形式的响应文件。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1.我方按磋商文件规定提供服务的最终投标报价详见最终报价表，我方完全响应磋商文件规定的服务期限及付款和结算方式。如我方中标，我方承诺愿意按磋商文件规定交纳履约保证金、工程量清单（如有）和</w:t>
      </w:r>
      <w:bookmarkStart w:id="62" w:name="_Hlk2920264"/>
      <w:r>
        <w:rPr>
          <w:rFonts w:hint="eastAsia" w:ascii="宋体" w:hAnsi="宋体"/>
          <w:color w:val="auto"/>
          <w:sz w:val="24"/>
          <w:highlight w:val="none"/>
        </w:rPr>
        <w:t>最高投标限价（招标控制价）</w:t>
      </w:r>
      <w:bookmarkEnd w:id="62"/>
      <w:r>
        <w:rPr>
          <w:rFonts w:hint="eastAsia" w:ascii="宋体" w:hAnsi="宋体"/>
          <w:color w:val="auto"/>
          <w:sz w:val="24"/>
          <w:highlight w:val="none"/>
        </w:rPr>
        <w:t>编制费（如有）。</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2.我方根据磋商文件的规定，严格履行合同的责任和义务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5.我方同意从磋商文件规定的磋商日期起遵循本响应文件，并在磋商文件规定的投标有效期之前均具有约束力。</w:t>
      </w:r>
    </w:p>
    <w:p>
      <w:pPr>
        <w:spacing w:line="360" w:lineRule="auto"/>
        <w:ind w:firstLine="480" w:firstLineChars="200"/>
        <w:rPr>
          <w:rFonts w:hint="eastAsia" w:ascii="Calibri" w:hAnsi="Calibri"/>
          <w:color w:val="auto"/>
          <w:sz w:val="24"/>
          <w:szCs w:val="24"/>
          <w:highlight w:val="none"/>
        </w:rPr>
      </w:pPr>
      <w:r>
        <w:rPr>
          <w:rFonts w:hint="eastAsia" w:ascii="宋体" w:hAnsi="宋体"/>
          <w:color w:val="auto"/>
          <w:sz w:val="24"/>
          <w:szCs w:val="22"/>
          <w:highlight w:val="none"/>
        </w:rPr>
        <w:t>6.</w:t>
      </w:r>
      <w:r>
        <w:rPr>
          <w:rFonts w:hint="eastAsia" w:ascii="Calibri" w:hAnsi="Calibri"/>
          <w:color w:val="auto"/>
          <w:sz w:val="24"/>
          <w:szCs w:val="24"/>
          <w:highlight w:val="none"/>
        </w:rPr>
        <w:t>我方承诺如</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保证金未按</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文件规定递交，我方投标无效，由此产生的一切后果由我方承担；如果在开标后规定的投标有效期内撤回投标，我方的</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保证金贵方可不予退还。</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7.我方声明响应文件所提供的一切资料均真实无误、及时、有效。企业运营正常（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8.我方完全理解贵方不一定接受最低报价的投标。</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.我方承诺不存在第一章磋商邀请（磋商公告）“投标人资格”中“投标人存在以下不良信用记录情形”规定的任何一种情形。</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.我方同意磋商文件规定的付款方式及结算方式。</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开户行：</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 xml:space="preserve">投标人电子签章：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bookmarkStart w:id="63" w:name="_Hlt533408944"/>
      <w:bookmarkEnd w:id="63"/>
      <w:bookmarkStart w:id="64" w:name="_Hlt514495724"/>
      <w:bookmarkEnd w:id="64"/>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spacing w:line="360" w:lineRule="auto"/>
        <w:ind w:firstLine="630"/>
        <w:rPr>
          <w:rFonts w:hint="eastAsia"/>
          <w:highlight w:val="none"/>
        </w:rPr>
      </w:pPr>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240" w:firstLineChars="100"/>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1"/>
    <w:p>
      <w:pPr>
        <w:jc w:val="center"/>
        <w:rPr>
          <w:rFonts w:hint="eastAsia"/>
          <w:sz w:val="32"/>
          <w:szCs w:val="32"/>
          <w:highlight w:val="none"/>
        </w:rPr>
      </w:pPr>
      <w:bookmarkStart w:id="65" w:name="_Toc535241227"/>
      <w:bookmarkStart w:id="66" w:name="_Toc535241130"/>
      <w:bookmarkStart w:id="67" w:name="_Toc535241084"/>
      <w:bookmarkStart w:id="68" w:name="_Toc224103498"/>
      <w:bookmarkStart w:id="69" w:name="_Toc224103497"/>
      <w:r>
        <w:rPr>
          <w:sz w:val="32"/>
          <w:szCs w:val="32"/>
          <w:highlight w:val="none"/>
        </w:rPr>
        <w:br w:type="page"/>
      </w:r>
      <w:r>
        <w:rPr>
          <w:rFonts w:hint="eastAsia" w:ascii="黑体" w:hAnsi="黑体" w:eastAsia="黑体"/>
          <w:bCs/>
          <w:highlight w:val="none"/>
        </w:rPr>
        <w:t>授权委托书</w:t>
      </w:r>
      <w:bookmarkEnd w:id="65"/>
      <w:bookmarkEnd w:id="66"/>
      <w:bookmarkEnd w:id="67"/>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34"/>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ind w:firstLine="552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8"/>
      <w:bookmarkEnd w:id="69"/>
      <w:bookmarkStart w:id="70" w:name="_Toc224103499"/>
      <w:bookmarkStart w:id="71" w:name="_Toc390411622"/>
      <w:bookmarkStart w:id="72" w:name="_Toc421917002"/>
      <w:bookmarkStart w:id="73" w:name="_Toc460660224"/>
      <w:bookmarkStart w:id="74" w:name="_Toc460227109"/>
    </w:p>
    <w:bookmarkEnd w:id="70"/>
    <w:bookmarkEnd w:id="71"/>
    <w:bookmarkEnd w:id="72"/>
    <w:bookmarkEnd w:id="73"/>
    <w:bookmarkEnd w:id="74"/>
    <w:p>
      <w:pPr>
        <w:wordWrap w:val="0"/>
        <w:spacing w:line="394" w:lineRule="exact"/>
        <w:jc w:val="both"/>
        <w:rPr>
          <w:rFonts w:hint="default" w:ascii="宋体" w:hAnsi="Times New Roman" w:eastAsia="黑体" w:cs="Times New Roman"/>
          <w:highlight w:val="none"/>
          <w:lang w:val="en-US" w:eastAsia="zh-CN"/>
        </w:rPr>
      </w:pPr>
      <w:bookmarkStart w:id="75" w:name="_Toc460660225"/>
      <w:bookmarkStart w:id="76"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7" w:name="_Toc535241232"/>
      <w:bookmarkStart w:id="78" w:name="_Toc535241089"/>
      <w:bookmarkStart w:id="79" w:name="_Toc535241135"/>
      <w:bookmarkStart w:id="80" w:name="_Toc535241229"/>
      <w:bookmarkStart w:id="81" w:name="_Toc535241086"/>
      <w:bookmarkStart w:id="82" w:name="_Toc535241132"/>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2120"/>
      <w:r>
        <w:rPr>
          <w:rFonts w:hint="eastAsia" w:ascii="宋体" w:hAnsi="Times New Roman" w:eastAsia="宋体" w:cs="Times New Roman"/>
          <w:bCs w:val="0"/>
          <w:sz w:val="24"/>
          <w:highlight w:val="none"/>
          <w:lang w:val="en-US" w:eastAsia="zh-CN" w:bidi="ar-SA"/>
        </w:rPr>
        <w:t>五、投标人信用承诺</w:t>
      </w:r>
      <w:bookmarkEnd w:id="83"/>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14149"/>
      <w:r>
        <w:rPr>
          <w:rFonts w:hint="eastAsia" w:ascii="宋体" w:hAnsi="Times New Roman" w:eastAsia="宋体" w:cs="Times New Roman"/>
          <w:bCs w:val="0"/>
          <w:sz w:val="24"/>
          <w:highlight w:val="none"/>
          <w:lang w:val="en-US" w:eastAsia="zh-CN" w:bidi="ar-SA"/>
        </w:rPr>
        <w:t>六、投标人业绩</w:t>
      </w:r>
      <w:bookmarkEnd w:id="84"/>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626"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639" w:type="pct"/>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717" w:type="pct"/>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682" w:type="pct"/>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589" w:type="pct"/>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037" w:type="pct"/>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397"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hint="eastAsia" w:ascii="宋体" w:hAnsi="宋体" w:eastAsia="宋体"/>
                <w:color w:val="auto"/>
                <w:sz w:val="22"/>
                <w:szCs w:val="22"/>
                <w:highlight w:val="none"/>
                <w:lang w:eastAsia="zh-CN"/>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ascii="宋体" w:hAnsi="宋体"/>
                <w:color w:val="auto"/>
                <w:sz w:val="22"/>
                <w:szCs w:val="22"/>
                <w:highlight w:val="none"/>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5" w:name="_Toc27548"/>
      <w:r>
        <w:rPr>
          <w:rFonts w:hint="eastAsia" w:ascii="宋体" w:hAnsi="Times New Roman" w:eastAsia="宋体" w:cs="Times New Roman"/>
          <w:bCs w:val="0"/>
          <w:sz w:val="24"/>
          <w:highlight w:val="none"/>
          <w:lang w:val="en-US" w:eastAsia="zh-CN" w:bidi="ar-SA"/>
        </w:rPr>
        <w:t>七、奖项、荣誉（如有）</w:t>
      </w:r>
      <w:bookmarkEnd w:id="85"/>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6" w:name="_Toc27101"/>
      <w:r>
        <w:rPr>
          <w:rFonts w:hint="eastAsia" w:ascii="宋体" w:hAnsi="Times New Roman" w:eastAsia="宋体" w:cs="Times New Roman"/>
          <w:bCs w:val="0"/>
          <w:sz w:val="24"/>
          <w:highlight w:val="none"/>
          <w:lang w:val="en-US" w:eastAsia="zh-CN" w:bidi="ar-SA"/>
        </w:rPr>
        <w:t>八、项目管理机构</w:t>
      </w:r>
      <w:bookmarkEnd w:id="86"/>
    </w:p>
    <w:bookmarkEnd w:id="77"/>
    <w:bookmarkEnd w:id="78"/>
    <w:bookmarkEnd w:id="79"/>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7" w:name="_Toc359594249"/>
      <w:bookmarkStart w:id="88" w:name="_Toc144974873"/>
      <w:bookmarkStart w:id="89" w:name="_Toc152042594"/>
      <w:bookmarkStart w:id="90" w:name="_Toc384308390"/>
      <w:bookmarkStart w:id="91" w:name="_Toc482188668"/>
      <w:bookmarkStart w:id="92" w:name="_Toc179632825"/>
      <w:bookmarkStart w:id="93" w:name="_Toc492300541"/>
      <w:bookmarkStart w:id="94" w:name="_Toc391394125"/>
      <w:bookmarkStart w:id="95" w:name="_Toc152045805"/>
      <w:bookmarkStart w:id="96" w:name="_Toc300835232"/>
      <w:bookmarkStart w:id="97" w:name="_Toc370676440"/>
      <w:bookmarkStart w:id="98" w:name="_Toc385943079"/>
      <w:r>
        <w:rPr>
          <w:rFonts w:hint="eastAsia" w:ascii="宋体" w:hAnsi="宋体"/>
          <w:b/>
          <w:bCs/>
          <w:color w:val="auto"/>
          <w:sz w:val="24"/>
          <w:szCs w:val="24"/>
          <w:highlight w:val="none"/>
        </w:rPr>
        <w:t>（二）主要人员简历表</w:t>
      </w:r>
      <w:bookmarkEnd w:id="87"/>
      <w:bookmarkEnd w:id="88"/>
      <w:bookmarkEnd w:id="89"/>
      <w:bookmarkEnd w:id="90"/>
      <w:bookmarkEnd w:id="91"/>
      <w:bookmarkEnd w:id="92"/>
      <w:bookmarkEnd w:id="93"/>
      <w:bookmarkEnd w:id="94"/>
      <w:bookmarkEnd w:id="95"/>
      <w:bookmarkEnd w:id="96"/>
      <w:bookmarkEnd w:id="97"/>
      <w:bookmarkEnd w:id="98"/>
    </w:p>
    <w:p>
      <w:pPr>
        <w:topLinePunct/>
        <w:spacing w:line="440" w:lineRule="exact"/>
        <w:jc w:val="center"/>
        <w:rPr>
          <w:color w:val="auto"/>
          <w:sz w:val="23"/>
          <w:highlight w:val="none"/>
        </w:rPr>
      </w:pPr>
      <w:r>
        <w:rPr>
          <w:rFonts w:hint="eastAsia"/>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5"/>
    <w:bookmarkEnd w:id="76"/>
    <w:bookmarkEnd w:id="80"/>
    <w:bookmarkEnd w:id="81"/>
    <w:bookmarkEnd w:id="82"/>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9" w:name="_Toc16313"/>
      <w:r>
        <w:rPr>
          <w:rFonts w:hint="eastAsia" w:ascii="宋体" w:hAnsi="宋体" w:eastAsia="宋体" w:cs="宋体"/>
          <w:b/>
          <w:bCs/>
          <w:spacing w:val="-2"/>
          <w:sz w:val="24"/>
          <w:szCs w:val="24"/>
          <w:lang w:val="en-US" w:eastAsia="zh-CN"/>
        </w:rPr>
        <w:t>九、后期服务方案</w:t>
      </w:r>
      <w:bookmarkEnd w:id="99"/>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100" w:name="_Toc9466"/>
      <w:r>
        <w:rPr>
          <w:rFonts w:hint="eastAsia" w:ascii="宋体" w:hAnsi="宋体" w:eastAsia="宋体" w:cs="宋体"/>
          <w:b/>
          <w:bCs/>
          <w:spacing w:val="-2"/>
          <w:sz w:val="24"/>
          <w:szCs w:val="24"/>
          <w:lang w:val="en-US" w:eastAsia="zh-CN"/>
        </w:rPr>
        <w:t>十、其他资料</w:t>
      </w:r>
      <w:bookmarkEnd w:id="100"/>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hint="eastAsia"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14</w:t>
    </w:r>
    <w:r>
      <w:rPr>
        <w:rFonts w:hint="eastAsia" w:ascii="仿宋_GB2312" w:eastAsia="仿宋_GB2312"/>
        <w:sz w:val="21"/>
        <w:szCs w:val="21"/>
      </w:rPr>
      <w:fldChar w:fldCharType="end"/>
    </w:r>
  </w:p>
  <w:p>
    <w:pPr>
      <w:pStyle w:val="14"/>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hint="eastAsia"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171</w:t>
    </w:r>
    <w:r>
      <w:rPr>
        <w:rFonts w:hint="eastAsia" w:ascii="仿宋_GB2312" w:eastAsia="仿宋_GB2312"/>
      </w:rPr>
      <w:fldChar w:fldCharType="end"/>
    </w:r>
  </w:p>
  <w:p>
    <w:pPr>
      <w:pStyle w:val="14"/>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32E11E16"/>
    <w:multiLevelType w:val="singleLevel"/>
    <w:tmpl w:val="32E11E16"/>
    <w:lvl w:ilvl="0" w:tentative="0">
      <w:start w:val="6"/>
      <w:numFmt w:val="chineseCounting"/>
      <w:suff w:val="nothing"/>
      <w:lvlText w:val="%1、"/>
      <w:lvlJc w:val="left"/>
      <w:rPr>
        <w:rFonts w:hint="eastAsia"/>
      </w:rPr>
    </w:lvl>
  </w:abstractNum>
  <w:abstractNum w:abstractNumId="3">
    <w:nsid w:val="7A55F52D"/>
    <w:multiLevelType w:val="singleLevel"/>
    <w:tmpl w:val="7A55F52D"/>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299B0245"/>
    <w:rsid w:val="066E1C8E"/>
    <w:rsid w:val="07110D43"/>
    <w:rsid w:val="075D761C"/>
    <w:rsid w:val="16454AD2"/>
    <w:rsid w:val="17A13BB0"/>
    <w:rsid w:val="299B0245"/>
    <w:rsid w:val="317315C3"/>
    <w:rsid w:val="44B00876"/>
    <w:rsid w:val="44BF05CA"/>
    <w:rsid w:val="47513C0C"/>
    <w:rsid w:val="4D974BC7"/>
    <w:rsid w:val="53BC5AEA"/>
    <w:rsid w:val="569F0740"/>
    <w:rsid w:val="5FFE3C9A"/>
    <w:rsid w:val="72F1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5"/>
    <w:next w:val="6"/>
    <w:qFormat/>
    <w:uiPriority w:val="0"/>
    <w:pPr>
      <w:keepNext/>
      <w:keepLines/>
      <w:spacing w:line="360" w:lineRule="auto"/>
      <w:outlineLvl w:val="0"/>
    </w:pPr>
    <w:rPr>
      <w:b/>
      <w:bCs w:val="0"/>
      <w:kern w:val="44"/>
      <w:sz w:val="32"/>
      <w:szCs w:val="44"/>
    </w:rPr>
  </w:style>
  <w:style w:type="paragraph" w:styleId="7">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9">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5">
    <w:name w:val="Title"/>
    <w:basedOn w:val="1"/>
    <w:next w:val="1"/>
    <w:qFormat/>
    <w:uiPriority w:val="0"/>
    <w:pPr>
      <w:spacing w:before="0" w:after="0" w:line="360" w:lineRule="auto"/>
      <w:jc w:val="center"/>
    </w:pPr>
    <w:rPr>
      <w:rFonts w:ascii="宋体" w:hAnsi="宋体" w:eastAsia="黑体"/>
      <w:bCs/>
      <w:smallCaps/>
      <w:snapToGrid w:val="0"/>
      <w:sz w:val="44"/>
      <w:szCs w:val="24"/>
    </w:rPr>
  </w:style>
  <w:style w:type="paragraph" w:styleId="6">
    <w:name w:val="Plain Text"/>
    <w:basedOn w:val="1"/>
    <w:qFormat/>
    <w:uiPriority w:val="0"/>
    <w:rPr>
      <w:rFonts w:ascii="Courier New" w:hAnsi="Courier New"/>
      <w:szCs w:val="20"/>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Indent"/>
    <w:basedOn w:val="1"/>
    <w:next w:val="13"/>
    <w:qFormat/>
    <w:uiPriority w:val="0"/>
    <w:pPr>
      <w:ind w:firstLine="560" w:firstLineChars="200"/>
    </w:pPr>
    <w:rPr>
      <w:rFonts w:ascii="宋体" w:hAnsi="宋体"/>
      <w:bCs/>
      <w:sz w:val="28"/>
      <w:szCs w:val="32"/>
    </w:rPr>
  </w:style>
  <w:style w:type="paragraph" w:styleId="13">
    <w:name w:val="envelope return"/>
    <w:basedOn w:val="1"/>
    <w:qFormat/>
    <w:uiPriority w:val="0"/>
    <w:pPr>
      <w:snapToGrid w:val="0"/>
    </w:pPr>
    <w:rPr>
      <w:rFonts w:ascii="Arial" w:hAnsi="Arial"/>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szCs w:val="20"/>
    </w:rPr>
  </w:style>
  <w:style w:type="paragraph" w:styleId="17">
    <w:name w:val="toc 2"/>
    <w:basedOn w:val="1"/>
    <w:next w:val="1"/>
    <w:qFormat/>
    <w:uiPriority w:val="39"/>
    <w:pPr>
      <w:ind w:left="210"/>
      <w:jc w:val="left"/>
    </w:pPr>
    <w:rPr>
      <w:rFonts w:ascii="Calibri" w:hAnsi="Calibri" w:cs="Calibri"/>
      <w:smallCaps/>
      <w:sz w:val="20"/>
      <w:szCs w:val="20"/>
    </w:rPr>
  </w:style>
  <w:style w:type="paragraph" w:styleId="18">
    <w:name w:val="Body Text First Indent 2"/>
    <w:basedOn w:val="12"/>
    <w:next w:val="1"/>
    <w:qFormat/>
    <w:uiPriority w:val="0"/>
    <w:pPr>
      <w:ind w:left="420"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basedOn w:val="21"/>
    <w:qFormat/>
    <w:uiPriority w:val="0"/>
    <w:rPr>
      <w:color w:val="0000FF"/>
      <w:u w:val="single"/>
    </w:rPr>
  </w:style>
  <w:style w:type="paragraph" w:customStyle="1" w:styleId="24">
    <w:name w:val="首行缩进"/>
    <w:basedOn w:val="1"/>
    <w:qFormat/>
    <w:uiPriority w:val="0"/>
    <w:pPr>
      <w:spacing w:line="360" w:lineRule="auto"/>
      <w:ind w:left="210" w:leftChars="100" w:firstLine="420" w:firstLineChars="200"/>
    </w:pPr>
    <w:rPr>
      <w:rFonts w:ascii="宋体" w:hAnsi="宋体"/>
      <w:szCs w:val="24"/>
    </w:rPr>
  </w:style>
  <w:style w:type="paragraph" w:customStyle="1" w:styleId="25">
    <w:name w:val="目录 71"/>
    <w:basedOn w:val="1"/>
    <w:next w:val="1"/>
    <w:qFormat/>
    <w:uiPriority w:val="0"/>
    <w:pPr>
      <w:ind w:left="2520"/>
    </w:pPr>
  </w:style>
  <w:style w:type="paragraph" w:customStyle="1" w:styleId="26">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1"/>
    <w:basedOn w:val="1"/>
    <w:next w:val="9"/>
    <w:qFormat/>
    <w:uiPriority w:val="0"/>
    <w:pPr>
      <w:spacing w:line="360" w:lineRule="auto"/>
      <w:ind w:firstLine="420" w:firstLineChars="200"/>
    </w:pPr>
    <w:rPr>
      <w:rFonts w:ascii="宋体" w:hAnsi="宋体"/>
      <w:szCs w:val="21"/>
    </w:rPr>
  </w:style>
  <w:style w:type="character" w:customStyle="1" w:styleId="30">
    <w:name w:val="font51"/>
    <w:basedOn w:val="21"/>
    <w:qFormat/>
    <w:uiPriority w:val="0"/>
    <w:rPr>
      <w:rFonts w:hint="default" w:ascii="Calibri" w:hAnsi="Calibri" w:cs="Calibri"/>
      <w:color w:val="000000"/>
      <w:sz w:val="32"/>
      <w:szCs w:val="32"/>
      <w:u w:val="none"/>
    </w:rPr>
  </w:style>
  <w:style w:type="character" w:customStyle="1" w:styleId="31">
    <w:name w:val="font41"/>
    <w:basedOn w:val="21"/>
    <w:qFormat/>
    <w:uiPriority w:val="0"/>
    <w:rPr>
      <w:rFonts w:hint="default" w:ascii="Calibri" w:hAnsi="Calibri" w:cs="Calibri"/>
      <w:b/>
      <w:bCs/>
      <w:color w:val="000000"/>
      <w:sz w:val="32"/>
      <w:szCs w:val="32"/>
      <w:u w:val="none"/>
    </w:rPr>
  </w:style>
  <w:style w:type="paragraph" w:customStyle="1" w:styleId="32">
    <w:name w:val="D&amp;L"/>
    <w:basedOn w:val="15"/>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33">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34">
    <w:name w:val="fontstyle01"/>
    <w:qFormat/>
    <w:uiPriority w:val="0"/>
    <w:rPr>
      <w:rFonts w:hint="eastAsia" w:ascii="宋体" w:hAnsi="宋体" w:eastAsia="宋体"/>
      <w:color w:val="000000"/>
      <w:sz w:val="22"/>
      <w:szCs w:val="22"/>
    </w:rPr>
  </w:style>
  <w:style w:type="paragraph" w:customStyle="1" w:styleId="35">
    <w:name w:val="xl31"/>
    <w:basedOn w:val="1"/>
    <w:qFormat/>
    <w:uiPriority w:val="0"/>
    <w:pPr>
      <w:widowControl/>
      <w:spacing w:before="100" w:beforeAutospacing="1" w:after="100" w:afterAutospacing="1"/>
      <w:jc w:val="center"/>
    </w:pPr>
    <w:rPr>
      <w:b/>
      <w:bCs/>
      <w:kern w:val="0"/>
      <w:sz w:val="28"/>
      <w:szCs w:val="28"/>
    </w:rPr>
  </w:style>
  <w:style w:type="character" w:customStyle="1" w:styleId="36">
    <w:name w:val="font21"/>
    <w:qFormat/>
    <w:uiPriority w:val="0"/>
    <w:rPr>
      <w:rFonts w:hint="eastAsia" w:ascii="仿宋_GB2312" w:eastAsia="仿宋_GB2312" w:cs="仿宋_GB2312"/>
      <w:color w:val="000000"/>
      <w:sz w:val="32"/>
      <w:szCs w:val="32"/>
      <w:u w:val="none"/>
    </w:rPr>
  </w:style>
  <w:style w:type="character" w:customStyle="1" w:styleId="37">
    <w:name w:val="font11"/>
    <w:qFormat/>
    <w:uiPriority w:val="0"/>
    <w:rPr>
      <w:rFonts w:hint="eastAsia" w:ascii="仿宋_GB2312" w:eastAsia="仿宋_GB2312" w:cs="仿宋_GB2312"/>
      <w:b/>
      <w:bCs/>
      <w:color w:val="000000"/>
      <w:sz w:val="32"/>
      <w:szCs w:val="32"/>
      <w:u w:val="none"/>
    </w:rPr>
  </w:style>
  <w:style w:type="paragraph" w:customStyle="1" w:styleId="38">
    <w:name w:val="Table Text"/>
    <w:basedOn w:val="1"/>
    <w:semiHidden/>
    <w:qFormat/>
    <w:uiPriority w:val="0"/>
    <w:rPr>
      <w:rFonts w:ascii="宋体" w:hAnsi="宋体" w:eastAsia="宋体" w:cs="宋体"/>
      <w:sz w:val="24"/>
      <w:szCs w:val="24"/>
      <w:lang w:val="en-US" w:eastAsia="en-US" w:bidi="ar-SA"/>
    </w:rPr>
  </w:style>
  <w:style w:type="paragraph" w:customStyle="1" w:styleId="39">
    <w:name w:val="Table Paragraph"/>
    <w:basedOn w:val="1"/>
    <w:qFormat/>
    <w:uiPriority w:val="1"/>
    <w:rPr>
      <w:rFonts w:ascii="Noto Sans Mono CJK JP Regular" w:hAnsi="Noto Sans Mono CJK JP Regular" w:eastAsia="Noto Sans Mono CJK JP Regular" w:cs="Noto Sans Mono CJK JP Regula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25236</Words>
  <Characters>26651</Characters>
  <Lines>0</Lines>
  <Paragraphs>0</Paragraphs>
  <TotalTime>9</TotalTime>
  <ScaleCrop>false</ScaleCrop>
  <LinksUpToDate>false</LinksUpToDate>
  <CharactersWithSpaces>28002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2023-02-15T08:26:00Z</dcterms:created>
  <dc:creator>Administrator</dc:creator>
  <cp:lastModifiedBy>Administrator</cp:lastModifiedBy>
  <dcterms:modified xsi:type="dcterms:W3CDTF">2023-05-30T00:36:29Z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BB76BEFE87C14FFD9D300A21EFE619E0</vt:lpwstr>
  </property>
</Properties>
</file>