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ind w:left="1701" w:hanging="1701" w:hangingChars="471"/>
        <w:rPr>
          <w:rFonts w:ascii="黑体" w:hAnsi="黑体" w:eastAsia="黑体"/>
          <w:sz w:val="32"/>
          <w:szCs w:val="32"/>
        </w:rPr>
      </w:pPr>
      <w:r>
        <w:rPr>
          <w:rFonts w:hint="eastAsia" w:hAnsi="DotumChe" w:cs="宋体"/>
          <w:b/>
          <w:spacing w:val="20"/>
          <w:sz w:val="32"/>
          <w:szCs w:val="32"/>
        </w:rPr>
        <w:t>项目名称：原43中、长丰路等项目产业定位概念性方案编制项目</w:t>
      </w:r>
      <w:r>
        <w:rPr>
          <w:rFonts w:hint="eastAsia" w:ascii="黑体" w:hAnsi="黑体" w:eastAsia="黑体"/>
          <w:sz w:val="32"/>
          <w:szCs w:val="32"/>
        </w:rPr>
        <w:t xml:space="preserve"> </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项目编号：2023GW00</w:t>
      </w:r>
      <w:r>
        <w:rPr>
          <w:rFonts w:hint="eastAsia" w:hAnsi="DotumChe" w:cs="宋体"/>
          <w:b/>
          <w:spacing w:val="20"/>
          <w:sz w:val="32"/>
          <w:szCs w:val="32"/>
          <w:lang w:val="en-US" w:eastAsia="zh-CN"/>
        </w:rPr>
        <w:t>17</w:t>
      </w:r>
      <w:r>
        <w:rPr>
          <w:rFonts w:hint="eastAsia" w:hAnsi="DotumChe" w:cs="宋体"/>
          <w:b/>
          <w:spacing w:val="20"/>
          <w:sz w:val="32"/>
          <w:szCs w:val="32"/>
        </w:rPr>
        <w:t xml:space="preserve">  </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 xml:space="preserve">招 标 人：合肥庐阳文化旅游发展集团有限公司 </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招标时间：二〇二三年七月</w:t>
      </w:r>
    </w:p>
    <w:p>
      <w:pPr>
        <w:spacing w:after="468" w:afterLines="150" w:line="540" w:lineRule="exact"/>
        <w:jc w:val="center"/>
        <w:rPr>
          <w:rFonts w:hAnsi="宋体"/>
          <w:b/>
          <w:sz w:val="52"/>
          <w:szCs w:val="52"/>
        </w:rPr>
      </w:pPr>
    </w:p>
    <w:p>
      <w:pPr>
        <w:pStyle w:val="11"/>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7"/>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7"/>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5</w:t>
      </w:r>
      <w:r>
        <w:fldChar w:fldCharType="end"/>
      </w:r>
      <w:r>
        <w:fldChar w:fldCharType="end"/>
      </w:r>
    </w:p>
    <w:p>
      <w:pPr>
        <w:pStyle w:val="17"/>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8</w:t>
      </w:r>
      <w:r>
        <w:fldChar w:fldCharType="end"/>
      </w:r>
      <w:r>
        <w:fldChar w:fldCharType="end"/>
      </w:r>
    </w:p>
    <w:p>
      <w:pPr>
        <w:pStyle w:val="17"/>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20</w:t>
      </w:r>
      <w:r>
        <w:fldChar w:fldCharType="end"/>
      </w:r>
      <w:r>
        <w:fldChar w:fldCharType="end"/>
      </w:r>
    </w:p>
    <w:p>
      <w:pPr>
        <w:pStyle w:val="17"/>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23</w:t>
      </w:r>
      <w:r>
        <w:fldChar w:fldCharType="end"/>
      </w:r>
      <w:r>
        <w:fldChar w:fldCharType="end"/>
      </w:r>
    </w:p>
    <w:p>
      <w:pPr>
        <w:pStyle w:val="17"/>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29</w:t>
      </w:r>
      <w:r>
        <w:fldChar w:fldCharType="end"/>
      </w:r>
      <w:r>
        <w:fldChar w:fldCharType="end"/>
      </w:r>
    </w:p>
    <w:p>
      <w:pPr>
        <w:pStyle w:val="17"/>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30</w:t>
      </w:r>
      <w:r>
        <w:fldChar w:fldCharType="end"/>
      </w:r>
      <w:r>
        <w:fldChar w:fldCharType="end"/>
      </w:r>
    </w:p>
    <w:p>
      <w:pPr>
        <w:pStyle w:val="18"/>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30</w:t>
      </w:r>
      <w:r>
        <w:fldChar w:fldCharType="end"/>
      </w:r>
      <w:r>
        <w:fldChar w:fldCharType="end"/>
      </w:r>
    </w:p>
    <w:p>
      <w:pPr>
        <w:pStyle w:val="18"/>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31</w:t>
      </w:r>
      <w:r>
        <w:fldChar w:fldCharType="end"/>
      </w:r>
      <w:r>
        <w:fldChar w:fldCharType="end"/>
      </w:r>
    </w:p>
    <w:p>
      <w:pPr>
        <w:pStyle w:val="18"/>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32</w:t>
      </w:r>
      <w:r>
        <w:fldChar w:fldCharType="end"/>
      </w:r>
      <w:r>
        <w:fldChar w:fldCharType="end"/>
      </w:r>
    </w:p>
    <w:p>
      <w:pPr>
        <w:pStyle w:val="18"/>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33</w:t>
      </w:r>
      <w:r>
        <w:fldChar w:fldCharType="end"/>
      </w:r>
      <w:r>
        <w:fldChar w:fldCharType="end"/>
      </w:r>
    </w:p>
    <w:p>
      <w:pPr>
        <w:pStyle w:val="18"/>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34</w:t>
      </w:r>
      <w:r>
        <w:fldChar w:fldCharType="end"/>
      </w:r>
      <w:r>
        <w:fldChar w:fldCharType="end"/>
      </w:r>
    </w:p>
    <w:p>
      <w:pPr>
        <w:pStyle w:val="18"/>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38</w:t>
      </w:r>
      <w:r>
        <w:fldChar w:fldCharType="end"/>
      </w:r>
      <w:r>
        <w:fldChar w:fldCharType="end"/>
      </w:r>
    </w:p>
    <w:p>
      <w:pPr>
        <w:pStyle w:val="18"/>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39</w:t>
      </w:r>
      <w:r>
        <w:fldChar w:fldCharType="end"/>
      </w:r>
      <w:r>
        <w:fldChar w:fldCharType="end"/>
      </w:r>
    </w:p>
    <w:p>
      <w:pPr>
        <w:pStyle w:val="18"/>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40</w:t>
      </w:r>
      <w:r>
        <w:fldChar w:fldCharType="end"/>
      </w:r>
      <w:r>
        <w:fldChar w:fldCharType="end"/>
      </w:r>
    </w:p>
    <w:p>
      <w:pPr>
        <w:pStyle w:val="18"/>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41</w:t>
      </w:r>
      <w:r>
        <w:fldChar w:fldCharType="end"/>
      </w:r>
      <w:r>
        <w:fldChar w:fldCharType="end"/>
      </w:r>
    </w:p>
    <w:p>
      <w:pPr>
        <w:pStyle w:val="18"/>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42</w:t>
      </w:r>
      <w:r>
        <w:fldChar w:fldCharType="end"/>
      </w:r>
      <w:r>
        <w:fldChar w:fldCharType="end"/>
      </w:r>
    </w:p>
    <w:p>
      <w:pPr>
        <w:pStyle w:val="18"/>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42</w:t>
      </w:r>
      <w:r>
        <w:fldChar w:fldCharType="end"/>
      </w:r>
      <w:r>
        <w:fldChar w:fldCharType="end"/>
      </w:r>
    </w:p>
    <w:p>
      <w:pPr>
        <w:spacing w:line="360" w:lineRule="auto"/>
        <w:ind w:firstLine="435"/>
        <w:jc w:val="center"/>
      </w:pPr>
      <w:r>
        <w:rPr>
          <w:rFonts w:eastAsia="黑体"/>
          <w:szCs w:val="24"/>
        </w:rPr>
        <w:fldChar w:fldCharType="end"/>
      </w:r>
    </w:p>
    <w:p>
      <w:pPr>
        <w:pStyle w:val="2"/>
        <w:numPr>
          <w:ilvl w:val="0"/>
          <w:numId w:val="1"/>
        </w:numPr>
        <w:ind w:firstLine="420"/>
        <w:rPr>
          <w:b w:val="0"/>
          <w:szCs w:val="24"/>
        </w:rPr>
      </w:pPr>
      <w:r>
        <w:br w:type="page"/>
      </w:r>
      <w:bookmarkStart w:id="0" w:name="_Toc462215727"/>
      <w:bookmarkStart w:id="1" w:name="_Toc50128746"/>
      <w:r>
        <w:rPr>
          <w:rFonts w:hint="eastAsia"/>
        </w:rPr>
        <w:t xml:space="preserve"> </w:t>
      </w:r>
      <w:bookmarkStart w:id="2" w:name="_Toc19015"/>
      <w:r>
        <w:rPr>
          <w:rFonts w:hint="eastAsia"/>
        </w:rPr>
        <w:t>磋商邀请（磋商公告）</w:t>
      </w:r>
      <w:bookmarkEnd w:id="0"/>
      <w:bookmarkEnd w:id="1"/>
      <w:bookmarkEnd w:id="2"/>
    </w:p>
    <w:p>
      <w:pPr>
        <w:pStyle w:val="26"/>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rPr>
        <w:t xml:space="preserve">原43中、长丰路等项目产业定位概念性方案编制项目 </w:t>
      </w:r>
      <w:r>
        <w:rPr>
          <w:rFonts w:hint="eastAsia" w:ascii="宋体" w:hAnsi="宋体" w:eastAsia="宋体"/>
          <w:kern w:val="2"/>
        </w:rPr>
        <w:t>已具备竞争性磋商条件，招标人为</w:t>
      </w:r>
      <w:r>
        <w:rPr>
          <w:rFonts w:hint="eastAsia" w:ascii="宋体" w:hAnsi="宋体" w:eastAsia="宋体"/>
          <w:kern w:val="2"/>
          <w:u w:val="single"/>
        </w:rPr>
        <w:t xml:space="preserve">  合肥庐阳文化旅游发展集团有限公司 </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 xml:space="preserve">1.项目编号：2023GW0017  </w:t>
      </w:r>
    </w:p>
    <w:p>
      <w:pPr>
        <w:autoSpaceDE w:val="0"/>
        <w:autoSpaceDN w:val="0"/>
        <w:adjustRightInd w:val="0"/>
        <w:spacing w:line="360" w:lineRule="auto"/>
        <w:ind w:firstLine="200"/>
        <w:jc w:val="left"/>
        <w:rPr>
          <w:rFonts w:hAnsi="宋体"/>
          <w:szCs w:val="24"/>
        </w:rPr>
      </w:pPr>
      <w:r>
        <w:rPr>
          <w:rFonts w:hint="eastAsia" w:hAnsi="宋体"/>
          <w:szCs w:val="24"/>
        </w:rPr>
        <w:t xml:space="preserve">2.项目名称：原43中、长丰路等项目产业定位概念性方案编制项目 </w:t>
      </w:r>
    </w:p>
    <w:p>
      <w:pPr>
        <w:autoSpaceDE w:val="0"/>
        <w:autoSpaceDN w:val="0"/>
        <w:adjustRightInd w:val="0"/>
        <w:spacing w:line="360" w:lineRule="auto"/>
        <w:ind w:firstLine="200"/>
        <w:jc w:val="left"/>
        <w:rPr>
          <w:rFonts w:hAnsi="宋体"/>
          <w:szCs w:val="24"/>
        </w:rPr>
      </w:pPr>
      <w:r>
        <w:rPr>
          <w:rFonts w:hint="eastAsia" w:hAnsi="宋体"/>
          <w:szCs w:val="24"/>
        </w:rPr>
        <w:t>3.项目地点：</w:t>
      </w:r>
      <w:r>
        <w:rPr>
          <w:rFonts w:hint="eastAsia" w:hAnsi="宋体"/>
          <w:szCs w:val="18"/>
        </w:rPr>
        <w:t>安徽省合肥市庐阳区</w:t>
      </w:r>
    </w:p>
    <w:p>
      <w:pPr>
        <w:autoSpaceDE w:val="0"/>
        <w:autoSpaceDN w:val="0"/>
        <w:adjustRightInd w:val="0"/>
        <w:spacing w:line="360" w:lineRule="auto"/>
        <w:ind w:firstLine="200"/>
        <w:jc w:val="left"/>
        <w:rPr>
          <w:rFonts w:hAnsi="宋体"/>
          <w:szCs w:val="24"/>
        </w:rPr>
      </w:pPr>
      <w:r>
        <w:rPr>
          <w:rFonts w:hint="eastAsia" w:hAnsi="宋体"/>
          <w:szCs w:val="24"/>
        </w:rPr>
        <w:t>4.项目单位：</w:t>
      </w:r>
      <w:r>
        <w:rPr>
          <w:rFonts w:hint="eastAsia" w:hAnsi="宋体"/>
          <w:kern w:val="2"/>
        </w:rPr>
        <w:t>合肥庐阳文化旅游发展集团有限公司</w:t>
      </w:r>
    </w:p>
    <w:p>
      <w:pPr>
        <w:spacing w:line="360" w:lineRule="auto"/>
        <w:ind w:firstLine="240" w:firstLineChars="100"/>
        <w:rPr>
          <w:rFonts w:hAnsi="宋体"/>
          <w:szCs w:val="24"/>
        </w:rPr>
      </w:pPr>
      <w:r>
        <w:rPr>
          <w:rFonts w:hint="eastAsia" w:hAnsi="宋体"/>
          <w:szCs w:val="24"/>
        </w:rPr>
        <w:t>5.项目概况：为进一步做好项目业态发展规划，立足全区发展新阶段、挖潜庐阳区老城区优势资源、打造集团文旅品牌，根据庐阳区委、区政府及集团重点工作安排，开展原43中、长丰路、铁塔厂、合肥师范学院三孝口校区及探矿厂项目产业定位概念性方案编制工作，项目总数共5个。详见磋商文件。</w:t>
      </w:r>
    </w:p>
    <w:p>
      <w:pPr>
        <w:autoSpaceDE w:val="0"/>
        <w:autoSpaceDN w:val="0"/>
        <w:adjustRightInd w:val="0"/>
        <w:spacing w:line="360" w:lineRule="auto"/>
        <w:ind w:firstLine="200"/>
        <w:jc w:val="left"/>
        <w:rPr>
          <w:rFonts w:hAnsi="宋体"/>
          <w:szCs w:val="24"/>
        </w:rPr>
      </w:pPr>
      <w:r>
        <w:rPr>
          <w:rFonts w:hint="eastAsia" w:hAnsi="宋体"/>
          <w:szCs w:val="24"/>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7.项目概算：27.5万</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Ansi="宋体"/>
          <w:szCs w:val="24"/>
        </w:rPr>
      </w:pPr>
      <w:r>
        <w:rPr>
          <w:rFonts w:hint="eastAsia" w:hAnsi="宋体"/>
          <w:szCs w:val="24"/>
        </w:rPr>
        <w:t>2.具有独立承担民事责任的能力，不具有独立法人的分支机构投标另须提供相应授权文件</w:t>
      </w:r>
    </w:p>
    <w:p>
      <w:pPr>
        <w:autoSpaceDE w:val="0"/>
        <w:autoSpaceDN w:val="0"/>
        <w:adjustRightInd w:val="0"/>
        <w:spacing w:line="360" w:lineRule="auto"/>
        <w:ind w:firstLine="200"/>
        <w:jc w:val="left"/>
        <w:rPr>
          <w:rFonts w:hAnsi="宋体"/>
          <w:szCs w:val="18"/>
        </w:rPr>
      </w:pPr>
      <w:r>
        <w:rPr>
          <w:rFonts w:hint="eastAsia" w:hAnsi="宋体"/>
          <w:szCs w:val="18"/>
        </w:rPr>
        <w:t>3.符合下列情形之一：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hAnsi="宋体"/>
          <w:b/>
          <w:bCs/>
          <w:szCs w:val="24"/>
        </w:rPr>
        <w:t>三、磋商文件的获取</w:t>
      </w:r>
    </w:p>
    <w:p>
      <w:pPr>
        <w:spacing w:line="360" w:lineRule="auto"/>
        <w:rPr>
          <w:rFonts w:hAnsi="宋体"/>
          <w:bCs/>
          <w:szCs w:val="24"/>
        </w:rPr>
      </w:pPr>
      <w:r>
        <w:rPr>
          <w:rFonts w:hint="eastAsia" w:hAnsi="宋体"/>
          <w:bCs/>
          <w:color w:val="000000"/>
          <w:szCs w:val="24"/>
        </w:rPr>
        <w:t>1.获取时间：</w:t>
      </w:r>
      <w:r>
        <w:rPr>
          <w:rFonts w:hint="eastAsia" w:hAnsi="宋体"/>
          <w:bCs/>
          <w:szCs w:val="24"/>
        </w:rPr>
        <w:t>2023年</w:t>
      </w:r>
      <w:r>
        <w:rPr>
          <w:rFonts w:hint="eastAsia" w:hAnsi="宋体"/>
          <w:bCs/>
          <w:szCs w:val="24"/>
          <w:lang w:val="en-US" w:eastAsia="zh-CN"/>
        </w:rPr>
        <w:t>7</w:t>
      </w:r>
      <w:r>
        <w:rPr>
          <w:rFonts w:hint="eastAsia" w:hAnsi="宋体"/>
          <w:bCs/>
          <w:szCs w:val="24"/>
        </w:rPr>
        <w:t>月</w:t>
      </w:r>
      <w:r>
        <w:rPr>
          <w:rFonts w:hint="eastAsia" w:hAnsi="宋体"/>
          <w:bCs/>
          <w:szCs w:val="24"/>
          <w:lang w:val="en-US" w:eastAsia="zh-CN"/>
        </w:rPr>
        <w:t>21</w:t>
      </w:r>
      <w:r>
        <w:rPr>
          <w:rFonts w:hint="eastAsia" w:hAnsi="宋体"/>
          <w:bCs/>
          <w:szCs w:val="24"/>
        </w:rPr>
        <w:t>日</w:t>
      </w:r>
      <w:r>
        <w:rPr>
          <w:rFonts w:hint="eastAsia" w:hAnsi="宋体"/>
          <w:bCs/>
          <w:szCs w:val="24"/>
          <w:lang w:val="en-US" w:eastAsia="zh-CN"/>
        </w:rPr>
        <w:t>10</w:t>
      </w:r>
      <w:r>
        <w:rPr>
          <w:rFonts w:hint="eastAsia" w:hAnsi="宋体"/>
          <w:bCs/>
          <w:szCs w:val="24"/>
        </w:rPr>
        <w:t>:00至2023年</w:t>
      </w:r>
      <w:r>
        <w:rPr>
          <w:rFonts w:hint="eastAsia" w:hAnsi="宋体"/>
          <w:bCs/>
          <w:szCs w:val="24"/>
          <w:lang w:val="en-US" w:eastAsia="zh-CN"/>
        </w:rPr>
        <w:t>7</w:t>
      </w:r>
      <w:r>
        <w:rPr>
          <w:rFonts w:hint="eastAsia" w:hAnsi="宋体"/>
          <w:bCs/>
          <w:szCs w:val="24"/>
        </w:rPr>
        <w:t>月</w:t>
      </w:r>
      <w:r>
        <w:rPr>
          <w:rFonts w:hint="eastAsia" w:hAnsi="宋体"/>
          <w:bCs/>
          <w:szCs w:val="24"/>
          <w:lang w:val="en-US" w:eastAsia="zh-CN"/>
        </w:rPr>
        <w:t>31</w:t>
      </w:r>
      <w:r>
        <w:rPr>
          <w:rFonts w:hint="eastAsia" w:hAnsi="宋体"/>
          <w:bCs/>
          <w:szCs w:val="24"/>
        </w:rPr>
        <w:t>日</w:t>
      </w:r>
      <w:r>
        <w:rPr>
          <w:rFonts w:hint="eastAsia" w:hAnsi="宋体"/>
          <w:bCs/>
          <w:szCs w:val="24"/>
          <w:lang w:val="en-US" w:eastAsia="zh-CN"/>
        </w:rPr>
        <w:t>10</w:t>
      </w:r>
      <w:r>
        <w:rPr>
          <w:rFonts w:hint="eastAsia" w:hAnsi="宋体"/>
          <w:bCs/>
          <w:szCs w:val="24"/>
        </w:rPr>
        <w:t>:00</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Ansi="宋体"/>
          <w:bCs/>
          <w:szCs w:val="18"/>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五、响应文件提交截止时间</w:t>
      </w:r>
    </w:p>
    <w:p>
      <w:pPr>
        <w:autoSpaceDE w:val="0"/>
        <w:autoSpaceDN w:val="0"/>
        <w:adjustRightInd w:val="0"/>
        <w:spacing w:line="360" w:lineRule="auto"/>
        <w:ind w:firstLine="200"/>
        <w:jc w:val="left"/>
        <w:rPr>
          <w:rFonts w:hAnsi="宋体"/>
          <w:bCs/>
        </w:rPr>
      </w:pPr>
      <w:r>
        <w:rPr>
          <w:rFonts w:hint="eastAsia" w:hAnsi="宋体"/>
          <w:bCs/>
          <w:szCs w:val="24"/>
        </w:rPr>
        <w:t>2023年</w:t>
      </w:r>
      <w:r>
        <w:rPr>
          <w:rFonts w:hint="eastAsia" w:hAnsi="宋体"/>
          <w:bCs/>
          <w:szCs w:val="24"/>
          <w:lang w:val="en-US" w:eastAsia="zh-CN"/>
        </w:rPr>
        <w:t>7</w:t>
      </w:r>
      <w:r>
        <w:rPr>
          <w:rFonts w:hint="eastAsia" w:hAnsi="宋体"/>
          <w:bCs/>
          <w:szCs w:val="24"/>
        </w:rPr>
        <w:t>月</w:t>
      </w:r>
      <w:r>
        <w:rPr>
          <w:rFonts w:hint="eastAsia" w:hAnsi="宋体"/>
          <w:bCs/>
          <w:szCs w:val="24"/>
          <w:lang w:val="en-US" w:eastAsia="zh-CN"/>
        </w:rPr>
        <w:t>31</w:t>
      </w:r>
      <w:r>
        <w:rPr>
          <w:rFonts w:hint="eastAsia" w:hAnsi="宋体"/>
          <w:bCs/>
          <w:szCs w:val="24"/>
        </w:rPr>
        <w:t>日</w:t>
      </w:r>
      <w:r>
        <w:rPr>
          <w:rFonts w:hint="eastAsia" w:hAnsi="宋体"/>
          <w:bCs/>
          <w:szCs w:val="24"/>
          <w:lang w:val="en-US" w:eastAsia="zh-CN"/>
        </w:rPr>
        <w:t>10:00</w:t>
      </w:r>
      <w:r>
        <w:rPr>
          <w:rFonts w:hint="eastAsia" w:hAnsi="宋体"/>
          <w:bCs/>
          <w:szCs w:val="24"/>
        </w:rPr>
        <w:t xml:space="preserve">  </w:t>
      </w:r>
      <w:r>
        <w:rPr>
          <w:rFonts w:hint="eastAsia" w:hAnsi="宋体"/>
          <w:bCs/>
        </w:rPr>
        <w:t xml:space="preserve">  </w:t>
      </w:r>
    </w:p>
    <w:p>
      <w:pPr>
        <w:numPr>
          <w:ilvl w:val="0"/>
          <w:numId w:val="2"/>
        </w:numPr>
        <w:autoSpaceDE w:val="0"/>
        <w:autoSpaceDN w:val="0"/>
        <w:adjustRightInd w:val="0"/>
        <w:spacing w:line="360" w:lineRule="auto"/>
        <w:ind w:firstLine="200"/>
        <w:jc w:val="left"/>
        <w:rPr>
          <w:rFonts w:hAnsi="宋体"/>
          <w:b/>
          <w:bCs/>
          <w:szCs w:val="18"/>
        </w:rPr>
      </w:pPr>
      <w:r>
        <w:rPr>
          <w:rFonts w:hint="eastAsia" w:hAnsi="宋体"/>
          <w:b/>
          <w:bCs/>
          <w:szCs w:val="18"/>
        </w:rPr>
        <w:t>响应文件递交注意事项：</w:t>
      </w:r>
    </w:p>
    <w:p>
      <w:pPr>
        <w:pStyle w:val="20"/>
        <w:spacing w:line="360" w:lineRule="auto"/>
        <w:ind w:left="480" w:leftChars="200" w:firstLine="0" w:firstLineChars="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pPr>
        <w:pStyle w:val="20"/>
        <w:spacing w:line="360" w:lineRule="auto"/>
        <w:ind w:left="480" w:leftChars="200" w:firstLine="0" w:firstLineChars="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pPr>
        <w:pStyle w:val="20"/>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20"/>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20"/>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招标人：</w:t>
      </w:r>
      <w:r>
        <w:rPr>
          <w:rFonts w:hint="eastAsia" w:hAnsi="宋体"/>
          <w:kern w:val="2"/>
        </w:rPr>
        <w:t>合肥庐阳文化旅游发展集团有限公司</w:t>
      </w:r>
      <w:r>
        <w:rPr>
          <w:rFonts w:hint="eastAsia" w:hAnsi="宋体"/>
          <w:bCs/>
          <w:szCs w:val="18"/>
        </w:rPr>
        <w:t xml:space="preserve"> </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pPr>
      <w:r>
        <w:rPr>
          <w:rFonts w:hint="eastAsia" w:hAnsi="宋体"/>
          <w:color w:val="000000"/>
          <w:szCs w:val="24"/>
        </w:rPr>
        <w:t>有任何疑问或问题，请在工作时间（周一至周五，上午8:00-11:30，下午14:30-17:30，节假日休息）与项目联系人联系。</w:t>
      </w:r>
    </w:p>
    <w:p>
      <w:pPr>
        <w:pStyle w:val="2"/>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2"/>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21"/>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szCs w:val="24"/>
              </w:rPr>
            </w:pPr>
            <w:r>
              <w:rPr>
                <w:rFonts w:hint="eastAsia"/>
                <w:szCs w:val="24"/>
              </w:rPr>
              <w:t>8</w:t>
            </w:r>
          </w:p>
        </w:tc>
        <w:tc>
          <w:tcPr>
            <w:tcW w:w="2471" w:type="dxa"/>
            <w:vAlign w:val="center"/>
          </w:tcPr>
          <w:p>
            <w:pPr>
              <w:snapToGrid w:val="0"/>
              <w:rPr>
                <w:szCs w:val="24"/>
              </w:rPr>
            </w:pPr>
            <w:r>
              <w:rPr>
                <w:rFonts w:hint="eastAsia"/>
                <w:szCs w:val="24"/>
              </w:rPr>
              <w:t>服务期限</w:t>
            </w:r>
          </w:p>
        </w:tc>
        <w:tc>
          <w:tcPr>
            <w:tcW w:w="6051" w:type="dxa"/>
            <w:vAlign w:val="center"/>
          </w:tcPr>
          <w:p>
            <w:pPr>
              <w:pStyle w:val="8"/>
              <w:ind w:firstLine="0"/>
            </w:pPr>
            <w:r>
              <w:rPr>
                <w:rFonts w:hint="eastAsia"/>
              </w:rPr>
              <w:t>单个项目服务期限：在甲方出具项目咨询服务委派单时间之日，</w:t>
            </w:r>
            <w:r>
              <w:rPr>
                <w:rFonts w:hint="eastAsia"/>
                <w:b/>
                <w:bCs/>
                <w:u w:val="single"/>
              </w:rPr>
              <w:t>10个自然日内</w:t>
            </w:r>
            <w:r>
              <w:rPr>
                <w:rFonts w:hint="eastAsia"/>
              </w:rPr>
              <w:t>完成项目成果初稿，</w:t>
            </w:r>
          </w:p>
          <w:p>
            <w:pPr>
              <w:pStyle w:val="8"/>
              <w:ind w:firstLine="0"/>
            </w:pPr>
            <w:r>
              <w:rPr>
                <w:rFonts w:hint="eastAsia"/>
              </w:rPr>
              <w:t>在初稿提交起</w:t>
            </w:r>
            <w:r>
              <w:rPr>
                <w:rFonts w:hint="eastAsia"/>
                <w:b/>
                <w:bCs/>
                <w:u w:val="single"/>
              </w:rPr>
              <w:t>10个自然日内</w:t>
            </w:r>
            <w:r>
              <w:rPr>
                <w:rFonts w:hint="eastAsia"/>
              </w:rPr>
              <w:t>根据甲方意见进一步修改完善方案</w:t>
            </w:r>
          </w:p>
          <w:p>
            <w:pPr>
              <w:pStyle w:val="8"/>
              <w:ind w:firstLine="0"/>
            </w:pPr>
            <w:r>
              <w:rPr>
                <w:rFonts w:hint="eastAsia"/>
              </w:rPr>
              <w:t>项目结算金额达到中标金额，视为服务截止。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szCs w:val="24"/>
              </w:rPr>
            </w:pPr>
            <w:r>
              <w:rPr>
                <w:rFonts w:hint="eastAsia"/>
                <w:szCs w:val="24"/>
              </w:rPr>
              <w:t>9</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szCs w:val="24"/>
              </w:rPr>
            </w:pPr>
            <w:r>
              <w:rPr>
                <w:rFonts w:hint="eastAsia"/>
                <w:szCs w:val="24"/>
              </w:rPr>
              <w:sym w:font="Wingdings 2" w:char="0052"/>
            </w:r>
            <w:r>
              <w:rPr>
                <w:rFonts w:hint="eastAsia"/>
                <w:szCs w:val="24"/>
              </w:rPr>
              <w:t>不组织，投标人自行踏勘</w:t>
            </w:r>
          </w:p>
          <w:p>
            <w:pPr>
              <w:pStyle w:val="8"/>
              <w:ind w:firstLine="0"/>
            </w:pPr>
            <w:r>
              <w:rPr>
                <w:rFonts w:hint="eastAsia"/>
                <w:szCs w:val="24"/>
              </w:rPr>
              <w:t>项目现场负责人：阮晓东，联系方式：17505692105</w:t>
            </w:r>
          </w:p>
          <w:p>
            <w:pPr>
              <w:snapToGrid w:val="0"/>
              <w:rPr>
                <w:szCs w:val="24"/>
              </w:rPr>
            </w:pP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napToGrid w:val="0"/>
                <w:szCs w:val="24"/>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szCs w:val="24"/>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Ansi="宋体"/>
                <w:kern w:val="2"/>
                <w:szCs w:val="24"/>
              </w:rPr>
            </w:pPr>
            <w:r>
              <w:rPr>
                <w:rFonts w:hint="eastAsia" w:hAnsi="宋体"/>
              </w:rPr>
              <w:t>时间：</w:t>
            </w:r>
            <w:r>
              <w:rPr>
                <w:rFonts w:hint="eastAsia" w:hAnsi="宋体"/>
                <w:bCs/>
                <w:szCs w:val="24"/>
              </w:rPr>
              <w:t>2023年</w:t>
            </w:r>
            <w:r>
              <w:rPr>
                <w:rFonts w:hint="eastAsia" w:hAnsi="宋体"/>
                <w:bCs/>
                <w:szCs w:val="24"/>
                <w:lang w:val="en-US" w:eastAsia="zh-CN"/>
              </w:rPr>
              <w:t>7</w:t>
            </w:r>
            <w:r>
              <w:rPr>
                <w:rFonts w:hint="eastAsia" w:hAnsi="宋体"/>
                <w:bCs/>
                <w:szCs w:val="24"/>
              </w:rPr>
              <w:t>月</w:t>
            </w:r>
            <w:r>
              <w:rPr>
                <w:rFonts w:hint="eastAsia" w:hAnsi="宋体"/>
                <w:bCs/>
                <w:szCs w:val="24"/>
                <w:lang w:val="en-US" w:eastAsia="zh-CN"/>
              </w:rPr>
              <w:t>28</w:t>
            </w:r>
            <w:r>
              <w:rPr>
                <w:rFonts w:hint="eastAsia" w:hAnsi="宋体"/>
                <w:bCs/>
                <w:szCs w:val="24"/>
              </w:rPr>
              <w:t>日</w:t>
            </w:r>
            <w:r>
              <w:rPr>
                <w:rFonts w:hint="eastAsia"/>
              </w:rPr>
              <w:t>17时30分前</w:t>
            </w:r>
            <w:r>
              <w:rPr>
                <w:rFonts w:hint="eastAsia"/>
                <w:bCs/>
                <w:snapToGrid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szCs w:val="24"/>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ind w:left="120" w:leftChars="50" w:right="120" w:rightChars="50"/>
              <w:jc w:val="center"/>
              <w:rPr>
                <w:szCs w:val="24"/>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bCs/>
                <w:snapToGrid w:val="0"/>
                <w:color w:val="FF0000"/>
                <w:szCs w:val="24"/>
              </w:rPr>
            </w:pPr>
            <w:r>
              <w:rPr>
                <w:rFonts w:hint="eastAsia"/>
                <w:bCs/>
                <w:snapToGrid w:val="0"/>
                <w:szCs w:val="24"/>
              </w:rPr>
              <w:sym w:font="Wingdings 2" w:char="0052"/>
            </w:r>
            <w:r>
              <w:rPr>
                <w:rFonts w:hint="eastAsia"/>
                <w:bCs/>
                <w:snapToGrid w:val="0"/>
                <w:szCs w:val="24"/>
              </w:rPr>
              <w:t>有，</w:t>
            </w:r>
            <w:r>
              <w:rPr>
                <w:rFonts w:hint="eastAsia"/>
                <w:b/>
                <w:snapToGrid w:val="0"/>
                <w:szCs w:val="24"/>
              </w:rPr>
              <w:t>总价最高投标限价27.5万元，单价最高投标限价5.5万元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szCs w:val="24"/>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18</w:t>
            </w:r>
          </w:p>
        </w:tc>
        <w:tc>
          <w:tcPr>
            <w:tcW w:w="2471" w:type="dxa"/>
            <w:vAlign w:val="center"/>
          </w:tcPr>
          <w:p>
            <w:pPr>
              <w:snapToGrid w:val="0"/>
              <w:rPr>
                <w:szCs w:val="24"/>
              </w:rPr>
            </w:pPr>
            <w:r>
              <w:rPr>
                <w:rFonts w:hint="eastAsia"/>
                <w:szCs w:val="24"/>
              </w:rPr>
              <w:t>履约保证金</w:t>
            </w:r>
          </w:p>
        </w:tc>
        <w:tc>
          <w:tcPr>
            <w:tcW w:w="6051" w:type="dxa"/>
            <w:vAlign w:val="center"/>
          </w:tcPr>
          <w:tbl>
            <w:tblPr>
              <w:tblStyle w:val="21"/>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vAlign w:val="center"/>
                </w:tcPr>
                <w:p>
                  <w:pPr>
                    <w:snapToGrid w:val="0"/>
                    <w:ind w:left="-84" w:leftChars="-35"/>
                    <w:rPr>
                      <w:rFonts w:cs="楷体"/>
                      <w:bCs/>
                      <w:snapToGrid w:val="0"/>
                      <w:szCs w:val="24"/>
                    </w:rPr>
                  </w:pPr>
                  <w:r>
                    <w:rPr>
                      <w:rFonts w:hint="eastAsia"/>
                      <w:szCs w:val="24"/>
                    </w:rPr>
                    <w:t>（1）形式：</w:t>
                  </w:r>
                  <w:r>
                    <w:rPr>
                      <w:rFonts w:hint="eastAsia" w:cs="楷体"/>
                      <w:bCs/>
                      <w:snapToGrid w:val="0"/>
                      <w:szCs w:val="24"/>
                    </w:rPr>
                    <w:t xml:space="preserve">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hint="eastAsia" w:cs="楷体"/>
                      <w:b/>
                      <w:snapToGrid w:val="0"/>
                      <w:position w:val="2"/>
                      <w:sz w:val="13"/>
                      <w:szCs w:val="24"/>
                    </w:rPr>
                    <w:instrText xml:space="preserve">√</w:instrText>
                  </w:r>
                  <w:r>
                    <w:rPr>
                      <w:rFonts w:hint="eastAsia" w:cs="楷体"/>
                      <w:b/>
                      <w:snapToGrid w:val="0"/>
                      <w:szCs w:val="24"/>
                    </w:rPr>
                    <w:instrText xml:space="preserve">)</w:instrText>
                  </w:r>
                  <w:r>
                    <w:rPr>
                      <w:rFonts w:cs="楷体"/>
                      <w:b/>
                      <w:snapToGrid w:val="0"/>
                      <w:szCs w:val="24"/>
                    </w:rPr>
                    <w:fldChar w:fldCharType="end"/>
                  </w:r>
                  <w:r>
                    <w:rPr>
                      <w:rFonts w:hint="eastAsia" w:cs="楷体"/>
                      <w:bCs/>
                      <w:snapToGrid w:val="0"/>
                      <w:szCs w:val="24"/>
                    </w:rPr>
                    <w:t>免收</w:t>
                  </w:r>
                  <w:r>
                    <w:rPr>
                      <w:rFonts w:hint="eastAsia" w:cs="楷体"/>
                      <w:b/>
                      <w:snapToGrid w:val="0"/>
                      <w:szCs w:val="24"/>
                    </w:rPr>
                    <w:t xml:space="preserve">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银行转账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银行电汇  </w:t>
                  </w:r>
                </w:p>
                <w:p>
                  <w:pPr>
                    <w:snapToGrid w:val="0"/>
                    <w:rPr>
                      <w:rFonts w:ascii="楷体" w:hAnsi="楷体" w:eastAsia="楷体" w:cs="楷体"/>
                      <w:bCs/>
                      <w:snapToGrid w:val="0"/>
                      <w:szCs w:val="24"/>
                    </w:rPr>
                  </w:pP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银行保函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担保机构担保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保证保险</w:t>
                  </w:r>
                </w:p>
              </w:tc>
            </w:tr>
          </w:tbl>
          <w:p>
            <w:pPr>
              <w:snapToGrid w:val="0"/>
              <w:ind w:left="-84" w:leftChars="-35"/>
              <w:rPr>
                <w:rFonts w:cs="楷体"/>
                <w:bCs/>
                <w:snapToGrid w:val="0"/>
                <w:szCs w:val="24"/>
              </w:rPr>
            </w:pPr>
            <w:r>
              <w:rPr>
                <w:rFonts w:hint="eastAsia"/>
                <w:szCs w:val="24"/>
              </w:rPr>
              <w:t>（2）金额：</w:t>
            </w:r>
            <w:r>
              <w:rPr>
                <w:rFonts w:hint="eastAsia" w:cs="楷体"/>
                <w:bCs/>
                <w:snapToGrid w:val="0"/>
                <w:szCs w:val="24"/>
              </w:rPr>
              <w:t>中标金</w:t>
            </w:r>
            <w:r>
              <w:rPr>
                <w:rFonts w:hint="eastAsia"/>
                <w:szCs w:val="24"/>
              </w:rPr>
              <w:t xml:space="preserve">额的 </w:t>
            </w:r>
            <w:r>
              <w:rPr>
                <w:rFonts w:hint="eastAsia"/>
                <w:b/>
                <w:szCs w:val="24"/>
                <w:u w:val="single"/>
              </w:rPr>
              <w:t xml:space="preserve">  0  </w:t>
            </w:r>
            <w:r>
              <w:rPr>
                <w:rFonts w:hint="eastAsia"/>
                <w:b/>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6"/>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6"/>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hAnsi="宋体"/>
                <w:bCs/>
                <w:szCs w:val="18"/>
              </w:rPr>
              <w:t>安徽省合肥市庐阳区红星路省人民政府机关幼儿园北门对面原省政府北楼一楼134办公室招标部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eastAsia="楷体"/>
                <w:bCs/>
                <w:snapToGrid w:val="0"/>
                <w:szCs w:val="24"/>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eastAsia="楷体"/>
                <w:bCs/>
                <w:snapToGrid w:val="0"/>
                <w:szCs w:val="24"/>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szCs w:val="24"/>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szCs w:val="24"/>
              </w:rPr>
            </w:pPr>
            <w:r>
              <w:rPr>
                <w:rFonts w:hint="eastAsia"/>
                <w:szCs w:val="24"/>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Pr>
        <w:pStyle w:val="27"/>
        <w:adjustRightInd w:val="0"/>
        <w:snapToGrid w:val="0"/>
        <w:spacing w:line="400" w:lineRule="exact"/>
        <w:jc w:val="left"/>
        <w:rPr>
          <w:rFonts w:ascii="Times New Roman" w:hAnsi="Times New Roman"/>
          <w:bCs/>
          <w:snapToGrid w:val="0"/>
          <w:kern w:val="0"/>
          <w:szCs w:val="21"/>
        </w:rPr>
      </w:pPr>
      <w:bookmarkStart w:id="5" w:name="_Toc460226994"/>
      <w:bookmarkStart w:id="6" w:name="_Toc460660067"/>
      <w:bookmarkStart w:id="7" w:name="_Toc460226725"/>
      <w:bookmarkStart w:id="8" w:name="_Toc184635071"/>
    </w:p>
    <w:bookmarkEnd w:id="5"/>
    <w:bookmarkEnd w:id="6"/>
    <w:bookmarkEnd w:id="7"/>
    <w:bookmarkEnd w:id="8"/>
    <w:p>
      <w:pPr>
        <w:pStyle w:val="2"/>
        <w:spacing w:line="500" w:lineRule="exact"/>
        <w:rPr>
          <w:rFonts w:eastAsia="宋体"/>
          <w:sz w:val="24"/>
          <w:szCs w:val="24"/>
        </w:rPr>
      </w:pPr>
      <w:bookmarkStart w:id="9" w:name="_Toc4981"/>
      <w:r>
        <w:rPr>
          <w:rFonts w:hint="eastAsia" w:eastAsia="宋体"/>
        </w:rPr>
        <w:t>投标人须知正文</w:t>
      </w:r>
      <w:bookmarkEnd w:id="9"/>
    </w:p>
    <w:p>
      <w:pPr>
        <w:pStyle w:val="6"/>
        <w:spacing w:line="500" w:lineRule="exact"/>
        <w:jc w:val="both"/>
        <w:rPr>
          <w:rFonts w:hAnsi="宋体"/>
          <w:sz w:val="28"/>
        </w:rPr>
      </w:pPr>
      <w:bookmarkStart w:id="10" w:name="_Hlt509649722"/>
      <w:bookmarkEnd w:id="10"/>
      <w:bookmarkStart w:id="11" w:name="_Hlt526418143"/>
      <w:bookmarkEnd w:id="11"/>
      <w:bookmarkStart w:id="12" w:name="_Hlt509650955"/>
      <w:bookmarkEnd w:id="12"/>
      <w:bookmarkStart w:id="13" w:name="_Hlt509649998"/>
      <w:bookmarkEnd w:id="13"/>
      <w:bookmarkStart w:id="14" w:name="_Hlt509650686"/>
      <w:bookmarkEnd w:id="14"/>
      <w:bookmarkStart w:id="15" w:name="_Hlt509650126"/>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6"/>
        <w:spacing w:line="500" w:lineRule="exact"/>
        <w:jc w:val="both"/>
        <w:rPr>
          <w:rFonts w:hAnsi="宋体"/>
          <w:sz w:val="28"/>
        </w:rPr>
      </w:pPr>
      <w:bookmarkStart w:id="17" w:name="_Toc50128750"/>
      <w:r>
        <w:rPr>
          <w:rFonts w:hint="eastAsia" w:hAnsi="宋体"/>
          <w:sz w:val="28"/>
        </w:rPr>
        <w:t>二．磋商文件</w:t>
      </w:r>
      <w:bookmarkEnd w:id="17"/>
      <w:bookmarkStart w:id="18" w:name="_Hlt509650361"/>
      <w:bookmarkEnd w:id="18"/>
      <w:bookmarkStart w:id="19" w:name="_Hlt509649791"/>
      <w:bookmarkEnd w:id="19"/>
      <w:bookmarkStart w:id="20" w:name="_Hlt509649930"/>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6"/>
        <w:spacing w:line="500" w:lineRule="exact"/>
        <w:jc w:val="both"/>
        <w:rPr>
          <w:rFonts w:hAnsi="宋体"/>
          <w:sz w:val="28"/>
        </w:rPr>
      </w:pPr>
      <w:bookmarkStart w:id="23" w:name="_Hlt509649724"/>
      <w:bookmarkEnd w:id="23"/>
      <w:bookmarkStart w:id="24" w:name="_Hlt509650697"/>
      <w:bookmarkEnd w:id="24"/>
      <w:bookmarkStart w:id="25" w:name="_Hlt510342861"/>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8"/>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6"/>
        <w:ind w:firstLine="628"/>
        <w:jc w:val="both"/>
        <w:rPr>
          <w:rFonts w:hAnsi="宋体"/>
          <w:sz w:val="28"/>
        </w:rPr>
      </w:pPr>
      <w:bookmarkStart w:id="28" w:name="_Hlt509650572"/>
      <w:bookmarkEnd w:id="28"/>
      <w:bookmarkStart w:id="29" w:name="_Hlt509649294"/>
      <w:bookmarkEnd w:id="29"/>
      <w:bookmarkStart w:id="30" w:name="_Toc522466826"/>
      <w:bookmarkStart w:id="31" w:name="_Toc50128752"/>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6"/>
        <w:ind w:firstLine="628"/>
        <w:jc w:val="both"/>
        <w:rPr>
          <w:rFonts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6"/>
        <w:ind w:firstLine="628"/>
        <w:jc w:val="both"/>
        <w:rPr>
          <w:rFonts w:hAnsi="宋体"/>
          <w:sz w:val="28"/>
        </w:rPr>
      </w:pPr>
      <w:bookmarkStart w:id="36" w:name="_Toc477793061"/>
      <w:bookmarkStart w:id="37" w:name="_Toc522466828"/>
      <w:bookmarkStart w:id="38" w:name="_Toc50128754"/>
      <w:bookmarkStart w:id="39" w:name="_Toc460487454"/>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29"/>
        <w:snapToGrid w:val="0"/>
        <w:ind w:left="775" w:leftChars="228" w:hanging="228" w:hangingChars="95"/>
      </w:pPr>
      <w:r>
        <w:rPr>
          <w:rFonts w:hint="eastAsia"/>
        </w:rPr>
        <w:t>28</w:t>
      </w:r>
      <w:r>
        <w:t>.1</w:t>
      </w:r>
      <w:r>
        <w:rPr>
          <w:rFonts w:hint="eastAsia"/>
        </w:rPr>
        <w:t>招标人将以中标通知书形式通知中标人，其投标已被接受。</w:t>
      </w:r>
    </w:p>
    <w:p>
      <w:pPr>
        <w:pStyle w:val="29"/>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2"/>
        <w:rPr>
          <w:rFonts w:ascii="黑体" w:hAnsi="黑体"/>
          <w:b w:val="0"/>
        </w:rPr>
      </w:pPr>
      <w:bookmarkStart w:id="40" w:name="_Toc11229"/>
      <w:r>
        <w:rPr>
          <w:rFonts w:hint="eastAsia" w:ascii="黑体" w:hAnsi="黑体"/>
          <w:b w:val="0"/>
        </w:rPr>
        <w:t>第三章 招标需求</w:t>
      </w:r>
      <w:bookmarkEnd w:id="40"/>
    </w:p>
    <w:p>
      <w:pPr>
        <w:pStyle w:val="30"/>
        <w:spacing w:line="560" w:lineRule="exact"/>
        <w:ind w:left="0" w:leftChars="0" w:firstLine="562"/>
        <w:rPr>
          <w:rFonts w:ascii="仿宋_GB2312" w:hAnsi="仿宋_GB2312" w:eastAsia="仿宋_GB2312" w:cs="仿宋_GB2312"/>
          <w:b/>
          <w:sz w:val="28"/>
          <w:szCs w:val="28"/>
        </w:rPr>
      </w:pPr>
      <w:bookmarkStart w:id="41" w:name="_Hlk16461016"/>
      <w:bookmarkStart w:id="42" w:name="_Hlk23621890"/>
      <w:r>
        <w:rPr>
          <w:rFonts w:hint="eastAsia" w:ascii="仿宋_GB2312" w:hAnsi="仿宋_GB2312" w:eastAsia="仿宋_GB2312" w:cs="仿宋_GB2312"/>
          <w:b/>
          <w:sz w:val="28"/>
          <w:szCs w:val="28"/>
        </w:rPr>
        <w:t>一、项目基本情况</w:t>
      </w:r>
    </w:p>
    <w:p>
      <w:pPr>
        <w:pStyle w:val="30"/>
        <w:spacing w:line="560" w:lineRule="exact"/>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1.项目名称：原43中、长丰路等项目产业定位概念性方案编制</w:t>
      </w:r>
    </w:p>
    <w:p>
      <w:pPr>
        <w:pStyle w:val="30"/>
        <w:spacing w:line="560" w:lineRule="exact"/>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2.服务地点：庐阳区</w:t>
      </w:r>
    </w:p>
    <w:p>
      <w:pPr>
        <w:pStyle w:val="30"/>
        <w:spacing w:line="560" w:lineRule="exact"/>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.预算金额：27.5万元</w:t>
      </w:r>
    </w:p>
    <w:p>
      <w:pPr>
        <w:pStyle w:val="30"/>
        <w:spacing w:line="560" w:lineRule="exact"/>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项目概况：为进一步做好项目业态发展规划，立足全区发展新阶段、挖潜庐阳区老城区优势资源、打造集团文旅品牌，根据庐阳区委、区政府及集团重点工作安排，开展原43中、长丰路、铁塔厂、合肥师范学院三孝口校区及探矿厂项目产业定位概念性方案编制工作，</w:t>
      </w:r>
      <w:r>
        <w:rPr>
          <w:rFonts w:hint="eastAsia" w:ascii="仿宋_GB2312" w:hAnsi="仿宋_GB2312" w:eastAsia="仿宋_GB2312" w:cs="仿宋_GB2312"/>
          <w:b/>
          <w:sz w:val="28"/>
          <w:szCs w:val="28"/>
        </w:rPr>
        <w:t>项目总数</w:t>
      </w:r>
      <w:r>
        <w:rPr>
          <w:rFonts w:hint="eastAsia" w:ascii="仿宋_GB2312" w:hAnsi="仿宋_GB2312" w:eastAsia="仿宋_GB2312" w:cs="仿宋_GB2312"/>
          <w:b/>
          <w:sz w:val="28"/>
          <w:szCs w:val="28"/>
          <w:lang w:val="en-US" w:eastAsia="zh-CN"/>
        </w:rPr>
        <w:t>暂定</w:t>
      </w:r>
      <w:r>
        <w:rPr>
          <w:rFonts w:ascii="仿宋_GB2312" w:hAnsi="仿宋_GB2312" w:eastAsia="仿宋_GB2312" w:cs="仿宋_GB2312"/>
          <w:b/>
          <w:sz w:val="28"/>
          <w:szCs w:val="28"/>
        </w:rPr>
        <w:t>5个。</w:t>
      </w:r>
    </w:p>
    <w:p>
      <w:pPr>
        <w:pStyle w:val="30"/>
        <w:spacing w:line="560" w:lineRule="exact"/>
        <w:ind w:left="0" w:leftChars="0" w:firstLine="560"/>
        <w:rPr>
          <w:rFonts w:ascii="仿宋_GB2312" w:hAnsi="仿宋_GB2312" w:eastAsia="仿宋_GB2312" w:cs="仿宋_GB2312"/>
          <w:bCs/>
          <w:sz w:val="28"/>
          <w:szCs w:val="28"/>
        </w:rPr>
      </w:pPr>
      <w:r>
        <w:rPr>
          <w:rFonts w:ascii="仿宋_GB2312" w:hAnsi="仿宋_GB2312" w:eastAsia="仿宋_GB2312" w:cs="仿宋_GB2312"/>
          <w:bCs/>
          <w:sz w:val="28"/>
          <w:szCs w:val="28"/>
        </w:rPr>
        <w:t>其中：</w:t>
      </w:r>
      <w:r>
        <w:rPr>
          <w:rFonts w:hint="eastAsia" w:ascii="仿宋_GB2312" w:hAnsi="仿宋_GB2312" w:eastAsia="仿宋_GB2312" w:cs="仿宋_GB2312"/>
          <w:bCs/>
          <w:sz w:val="28"/>
          <w:szCs w:val="28"/>
        </w:rPr>
        <w:t>原43中位于合肥市庐阳区寿春路55号，占地面积约4.5亩，建筑面积约4700.44平方米。</w:t>
      </w:r>
    </w:p>
    <w:p>
      <w:pPr>
        <w:pStyle w:val="30"/>
        <w:spacing w:line="560" w:lineRule="exact"/>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长丰路位于庐阳区，北起北一环，南至沿河路，主要涉及道路两侧沿街门面以及4处军产等产权。</w:t>
      </w:r>
    </w:p>
    <w:p>
      <w:pPr>
        <w:pStyle w:val="30"/>
        <w:spacing w:line="560" w:lineRule="exact"/>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铁塔厂位于合肥市庐阳区沿河路与板桥河交口，北邻宿州路，西邻融侨官邸小区。占地面积约65.55亩，建筑面积约2.07万平方米。</w:t>
      </w:r>
    </w:p>
    <w:p>
      <w:pPr>
        <w:pStyle w:val="30"/>
        <w:spacing w:line="560" w:lineRule="exact"/>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合肥师范学院三孝口校区位于合肥市庐阳区金寨路与环城南路交口，占地面积约6.93公顷，建筑面积约8.32万平方米（不含教职工宿舍楼）。</w:t>
      </w:r>
    </w:p>
    <w:p>
      <w:pPr>
        <w:pStyle w:val="30"/>
        <w:spacing w:line="560" w:lineRule="exact"/>
        <w:ind w:left="0" w:leftChars="0" w:firstLine="560"/>
        <w:rPr>
          <w:rFonts w:ascii="仿宋_GB2312" w:hAnsi="仿宋_GB2312" w:eastAsia="仿宋_GB2312" w:cs="仿宋_GB2312"/>
          <w:bCs/>
          <w:sz w:val="28"/>
          <w:szCs w:val="28"/>
        </w:rPr>
      </w:pPr>
      <w:r>
        <w:rPr>
          <w:rFonts w:ascii="仿宋_GB2312" w:hAnsi="仿宋_GB2312" w:eastAsia="仿宋_GB2312" w:cs="仿宋_GB2312"/>
          <w:bCs/>
          <w:sz w:val="28"/>
          <w:szCs w:val="28"/>
        </w:rPr>
        <w:t>探矿厂位于合肥市庐阳区</w:t>
      </w:r>
      <w:r>
        <w:rPr>
          <w:rFonts w:hint="eastAsia" w:ascii="仿宋_GB2312" w:hAnsi="仿宋_GB2312" w:eastAsia="仿宋_GB2312" w:cs="仿宋_GB2312"/>
          <w:bCs/>
          <w:sz w:val="28"/>
          <w:szCs w:val="28"/>
        </w:rPr>
        <w:t>阜阳北路171号，东至阜阳北路、南至灵壁路、西临利辛路、北接蓝光半岛公馆小区，证载面积102.249亩，主厂房</w:t>
      </w:r>
      <w:r>
        <w:rPr>
          <w:rFonts w:ascii="仿宋_GB2312" w:hAnsi="仿宋_GB2312" w:eastAsia="仿宋_GB2312" w:cs="仿宋_GB2312"/>
          <w:bCs/>
          <w:sz w:val="28"/>
          <w:szCs w:val="28"/>
        </w:rPr>
        <w:t>5栋，面积约13381</w:t>
      </w:r>
      <w:r>
        <w:rPr>
          <w:rFonts w:hint="eastAsia" w:ascii="仿宋_GB2312" w:hAnsi="仿宋_GB2312" w:eastAsia="仿宋_GB2312" w:cs="仿宋_GB2312"/>
          <w:bCs/>
          <w:sz w:val="28"/>
          <w:szCs w:val="28"/>
        </w:rPr>
        <w:t>平方米</w:t>
      </w:r>
      <w:r>
        <w:rPr>
          <w:rFonts w:ascii="仿宋_GB2312" w:hAnsi="仿宋_GB2312" w:eastAsia="仿宋_GB2312" w:cs="仿宋_GB2312"/>
          <w:bCs/>
          <w:sz w:val="28"/>
          <w:szCs w:val="28"/>
        </w:rPr>
        <w:t>。</w:t>
      </w:r>
    </w:p>
    <w:p>
      <w:pPr>
        <w:pStyle w:val="30"/>
        <w:ind w:left="0" w:leftChars="0" w:firstLine="562"/>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
          <w:bCs/>
          <w:sz w:val="28"/>
          <w:szCs w:val="28"/>
        </w:rPr>
        <w:t>本次招标暂定以上5个项目，具体项目以甲方委托派单为准。均以同一单价进行结算，中标后单价不进行调整，请投标人综合考虑报价风险。</w:t>
      </w:r>
      <w:r>
        <w:rPr>
          <w:rFonts w:hint="eastAsia" w:ascii="仿宋_GB2312" w:hAnsi="仿宋_GB2312" w:eastAsia="仿宋_GB2312" w:cs="仿宋_GB2312"/>
          <w:bCs/>
          <w:sz w:val="28"/>
          <w:szCs w:val="28"/>
        </w:rPr>
        <w:t>（以上面积数据仅供参考，具体方案编制范围以实际测量为准）</w:t>
      </w:r>
      <w:r>
        <w:rPr>
          <w:rFonts w:hint="eastAsia" w:ascii="仿宋_GB2312" w:hAnsi="仿宋_GB2312" w:eastAsia="仿宋_GB2312" w:cs="仿宋_GB2312"/>
          <w:bCs/>
          <w:sz w:val="28"/>
          <w:szCs w:val="28"/>
          <w:lang w:val="en-US" w:eastAsia="zh-CN"/>
        </w:rPr>
        <w:t xml:space="preserve">     </w:t>
      </w:r>
    </w:p>
    <w:p>
      <w:pPr>
        <w:pStyle w:val="30"/>
        <w:spacing w:line="560" w:lineRule="exact"/>
        <w:ind w:left="0" w:leftChars="0" w:firstLine="562"/>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二、项目</w:t>
      </w:r>
      <w:bookmarkEnd w:id="41"/>
      <w:bookmarkEnd w:id="42"/>
      <w:r>
        <w:rPr>
          <w:rFonts w:hint="eastAsia" w:ascii="仿宋_GB2312" w:hAnsi="仿宋_GB2312" w:eastAsia="仿宋_GB2312" w:cs="仿宋_GB2312"/>
          <w:b/>
          <w:bCs/>
          <w:sz w:val="28"/>
          <w:szCs w:val="28"/>
        </w:rPr>
        <w:t>工作范围及内容</w:t>
      </w:r>
    </w:p>
    <w:p>
      <w:pPr>
        <w:autoSpaceDE w:val="0"/>
        <w:autoSpaceDN w:val="0"/>
        <w:adjustRightInd w:val="0"/>
        <w:ind w:firstLine="562" w:firstLineChars="200"/>
        <w:jc w:val="left"/>
        <w:rPr>
          <w:rFonts w:ascii="仿宋_GB2312" w:hAnsi="等线" w:eastAsia="仿宋_GB2312"/>
          <w:b/>
          <w:bCs/>
          <w:sz w:val="28"/>
          <w:szCs w:val="28"/>
        </w:rPr>
      </w:pPr>
      <w:bookmarkStart w:id="43" w:name="_Hlk88555510"/>
      <w:r>
        <w:rPr>
          <w:rFonts w:hint="eastAsia" w:ascii="仿宋_GB2312" w:hAnsi="等线" w:eastAsia="仿宋_GB2312"/>
          <w:b/>
          <w:bCs/>
          <w:sz w:val="28"/>
          <w:szCs w:val="28"/>
        </w:rPr>
        <w:t>1.</w:t>
      </w:r>
      <w:r>
        <w:rPr>
          <w:rFonts w:hint="eastAsia" w:ascii="仿宋_GB2312" w:hAnsi="等线" w:eastAsia="仿宋_GB2312"/>
          <w:sz w:val="28"/>
          <w:szCs w:val="28"/>
        </w:rPr>
        <w:t xml:space="preserve"> </w:t>
      </w:r>
      <w:r>
        <w:rPr>
          <w:rFonts w:hint="eastAsia" w:ascii="仿宋_GB2312" w:hAnsi="等线" w:eastAsia="仿宋_GB2312"/>
          <w:b/>
          <w:bCs/>
          <w:sz w:val="28"/>
          <w:szCs w:val="28"/>
        </w:rPr>
        <w:t>内外部发展条件解读</w:t>
      </w:r>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cs="微软雅黑"/>
          <w:sz w:val="28"/>
          <w:szCs w:val="28"/>
        </w:rPr>
      </w:pPr>
      <w:r>
        <w:rPr>
          <w:rFonts w:hint="eastAsia" w:ascii="仿宋_GB2312" w:hAnsi="等线" w:eastAsia="仿宋_GB2312" w:cs="微软雅黑"/>
          <w:sz w:val="28"/>
          <w:szCs w:val="28"/>
        </w:rPr>
        <w:t>区位交通条件</w:t>
      </w:r>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cs="微软雅黑"/>
          <w:sz w:val="28"/>
          <w:szCs w:val="28"/>
        </w:rPr>
      </w:pPr>
      <w:r>
        <w:rPr>
          <w:rFonts w:hint="eastAsia" w:ascii="仿宋_GB2312" w:hAnsi="等线" w:eastAsia="仿宋_GB2312" w:cs="微软雅黑"/>
          <w:sz w:val="28"/>
          <w:szCs w:val="28"/>
        </w:rPr>
        <w:t>周边发展要素及资源</w:t>
      </w:r>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sz w:val="28"/>
          <w:szCs w:val="28"/>
        </w:rPr>
      </w:pPr>
      <w:r>
        <w:rPr>
          <w:rFonts w:hint="eastAsia" w:ascii="仿宋_GB2312" w:hAnsi="等线" w:eastAsia="仿宋_GB2312" w:cs="微软雅黑"/>
          <w:sz w:val="28"/>
          <w:szCs w:val="28"/>
        </w:rPr>
        <w:t>区域潜在客群及画像</w:t>
      </w:r>
      <w:bookmarkEnd w:id="43"/>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cs="微软雅黑"/>
          <w:sz w:val="28"/>
          <w:szCs w:val="28"/>
        </w:rPr>
      </w:pPr>
      <w:r>
        <w:rPr>
          <w:rFonts w:hint="eastAsia" w:ascii="仿宋_GB2312" w:hAnsi="等线" w:eastAsia="仿宋_GB2312" w:cs="微软雅黑"/>
          <w:sz w:val="28"/>
          <w:szCs w:val="28"/>
        </w:rPr>
        <w:t>项目建筑指标及空间格局</w:t>
      </w:r>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cs="微软雅黑"/>
          <w:sz w:val="28"/>
          <w:szCs w:val="28"/>
        </w:rPr>
      </w:pPr>
      <w:r>
        <w:rPr>
          <w:rFonts w:hint="eastAsia" w:ascii="仿宋_GB2312" w:hAnsi="等线" w:eastAsia="仿宋_GB2312" w:cs="微软雅黑"/>
          <w:sz w:val="28"/>
          <w:szCs w:val="28"/>
        </w:rPr>
        <w:t>建筑改造可行性分析</w:t>
      </w:r>
    </w:p>
    <w:p>
      <w:pPr>
        <w:autoSpaceDE w:val="0"/>
        <w:autoSpaceDN w:val="0"/>
        <w:adjustRightInd w:val="0"/>
        <w:ind w:firstLine="562" w:firstLineChars="200"/>
        <w:jc w:val="left"/>
        <w:rPr>
          <w:rFonts w:ascii="仿宋_GB2312" w:hAnsi="等线" w:eastAsia="仿宋_GB2312"/>
          <w:b/>
          <w:bCs/>
          <w:sz w:val="28"/>
          <w:szCs w:val="28"/>
        </w:rPr>
      </w:pPr>
      <w:r>
        <w:rPr>
          <w:rFonts w:hint="eastAsia" w:ascii="仿宋_GB2312" w:hAnsi="等线" w:eastAsia="仿宋_GB2312"/>
          <w:b/>
          <w:bCs/>
          <w:sz w:val="28"/>
          <w:szCs w:val="28"/>
        </w:rPr>
        <w:t>2.</w:t>
      </w:r>
      <w:r>
        <w:rPr>
          <w:rFonts w:hint="eastAsia" w:ascii="仿宋_GB2312" w:hAnsi="等线" w:eastAsia="仿宋_GB2312"/>
          <w:sz w:val="28"/>
          <w:szCs w:val="28"/>
        </w:rPr>
        <w:t xml:space="preserve"> </w:t>
      </w:r>
      <w:r>
        <w:rPr>
          <w:rFonts w:hint="eastAsia" w:ascii="仿宋_GB2312" w:hAnsi="等线" w:eastAsia="仿宋_GB2312"/>
          <w:b/>
          <w:bCs/>
          <w:sz w:val="28"/>
          <w:szCs w:val="28"/>
        </w:rPr>
        <w:t>物业市场概览</w:t>
      </w:r>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cs="微软雅黑"/>
          <w:sz w:val="28"/>
          <w:szCs w:val="28"/>
        </w:rPr>
      </w:pPr>
      <w:r>
        <w:rPr>
          <w:rFonts w:hint="eastAsia" w:ascii="仿宋_GB2312" w:hAnsi="等线" w:eastAsia="仿宋_GB2312" w:cs="微软雅黑"/>
          <w:sz w:val="28"/>
          <w:szCs w:val="28"/>
        </w:rPr>
        <w:t>区域物业市场概况</w:t>
      </w:r>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cs="微软雅黑"/>
          <w:sz w:val="28"/>
          <w:szCs w:val="28"/>
        </w:rPr>
      </w:pPr>
      <w:r>
        <w:rPr>
          <w:rFonts w:hint="eastAsia" w:ascii="仿宋_GB2312" w:hAnsi="等线" w:eastAsia="仿宋_GB2312" w:cs="微软雅黑"/>
          <w:sz w:val="28"/>
          <w:szCs w:val="28"/>
        </w:rPr>
        <w:t>区域物业产品分布及特征</w:t>
      </w:r>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cs="微软雅黑"/>
          <w:sz w:val="28"/>
          <w:szCs w:val="28"/>
        </w:rPr>
      </w:pPr>
      <w:r>
        <w:rPr>
          <w:rFonts w:hint="eastAsia" w:ascii="仿宋_GB2312" w:hAnsi="等线" w:eastAsia="仿宋_GB2312" w:cs="微软雅黑"/>
          <w:sz w:val="28"/>
          <w:szCs w:val="28"/>
        </w:rPr>
        <w:t>竞品项目概况</w:t>
      </w:r>
    </w:p>
    <w:p>
      <w:pPr>
        <w:autoSpaceDE w:val="0"/>
        <w:autoSpaceDN w:val="0"/>
        <w:adjustRightInd w:val="0"/>
        <w:ind w:firstLine="562" w:firstLineChars="200"/>
        <w:jc w:val="left"/>
        <w:rPr>
          <w:rFonts w:ascii="仿宋_GB2312" w:hAnsi="等线" w:eastAsia="仿宋_GB2312"/>
          <w:b/>
          <w:bCs/>
          <w:sz w:val="28"/>
          <w:szCs w:val="28"/>
        </w:rPr>
      </w:pPr>
      <w:r>
        <w:rPr>
          <w:rFonts w:hint="eastAsia" w:ascii="仿宋_GB2312" w:hAnsi="等线" w:eastAsia="仿宋_GB2312"/>
          <w:b/>
          <w:bCs/>
          <w:sz w:val="28"/>
          <w:szCs w:val="28"/>
        </w:rPr>
        <w:t>3.</w:t>
      </w:r>
      <w:r>
        <w:rPr>
          <w:rFonts w:hint="eastAsia" w:ascii="仿宋_GB2312" w:hAnsi="等线" w:eastAsia="仿宋_GB2312"/>
          <w:sz w:val="28"/>
          <w:szCs w:val="28"/>
        </w:rPr>
        <w:t xml:space="preserve"> </w:t>
      </w:r>
      <w:r>
        <w:rPr>
          <w:rFonts w:hint="eastAsia" w:ascii="仿宋_GB2312" w:hAnsi="等线" w:eastAsia="仿宋_GB2312"/>
          <w:b/>
          <w:bCs/>
          <w:sz w:val="28"/>
          <w:szCs w:val="28"/>
        </w:rPr>
        <w:t>案例参考借鉴</w:t>
      </w:r>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cs="微软雅黑"/>
          <w:sz w:val="28"/>
          <w:szCs w:val="28"/>
        </w:rPr>
      </w:pPr>
      <w:r>
        <w:rPr>
          <w:rFonts w:hint="eastAsia" w:ascii="仿宋_GB2312" w:hAnsi="等线" w:eastAsia="仿宋_GB2312" w:cs="微软雅黑"/>
          <w:sz w:val="28"/>
          <w:szCs w:val="28"/>
        </w:rPr>
        <w:t>案例基本情况</w:t>
      </w:r>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cs="微软雅黑"/>
          <w:sz w:val="28"/>
          <w:szCs w:val="28"/>
        </w:rPr>
      </w:pPr>
      <w:r>
        <w:rPr>
          <w:rFonts w:hint="eastAsia" w:ascii="仿宋_GB2312" w:hAnsi="等线" w:eastAsia="仿宋_GB2312" w:cs="微软雅黑"/>
          <w:sz w:val="28"/>
          <w:szCs w:val="28"/>
        </w:rPr>
        <w:t>特色亮点</w:t>
      </w:r>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cs="微软雅黑"/>
          <w:sz w:val="28"/>
          <w:szCs w:val="28"/>
        </w:rPr>
      </w:pPr>
      <w:r>
        <w:rPr>
          <w:rFonts w:hint="eastAsia" w:ascii="仿宋_GB2312" w:hAnsi="等线" w:eastAsia="仿宋_GB2312" w:cs="微软雅黑"/>
          <w:sz w:val="28"/>
          <w:szCs w:val="28"/>
        </w:rPr>
        <w:t>经验借鉴</w:t>
      </w:r>
    </w:p>
    <w:p>
      <w:pPr>
        <w:autoSpaceDE w:val="0"/>
        <w:autoSpaceDN w:val="0"/>
        <w:adjustRightInd w:val="0"/>
        <w:ind w:firstLine="562" w:firstLineChars="200"/>
        <w:jc w:val="left"/>
        <w:rPr>
          <w:rFonts w:ascii="仿宋_GB2312" w:hAnsi="等线" w:eastAsia="仿宋_GB2312"/>
          <w:b/>
          <w:bCs/>
          <w:sz w:val="28"/>
          <w:szCs w:val="28"/>
        </w:rPr>
      </w:pPr>
      <w:r>
        <w:rPr>
          <w:rFonts w:hint="eastAsia" w:ascii="仿宋_GB2312" w:hAnsi="等线" w:eastAsia="仿宋_GB2312"/>
          <w:b/>
          <w:bCs/>
          <w:sz w:val="28"/>
          <w:szCs w:val="28"/>
        </w:rPr>
        <w:t>4.项目定位方案</w:t>
      </w:r>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cs="微软雅黑"/>
          <w:sz w:val="28"/>
          <w:szCs w:val="28"/>
        </w:rPr>
      </w:pPr>
      <w:r>
        <w:rPr>
          <w:rFonts w:hint="eastAsia" w:ascii="仿宋_GB2312" w:hAnsi="等线" w:eastAsia="仿宋_GB2312" w:cs="微软雅黑"/>
          <w:sz w:val="28"/>
          <w:szCs w:val="28"/>
        </w:rPr>
        <w:t>总体定位</w:t>
      </w:r>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cs="微软雅黑"/>
          <w:sz w:val="28"/>
          <w:szCs w:val="28"/>
        </w:rPr>
      </w:pPr>
      <w:r>
        <w:rPr>
          <w:rFonts w:hint="eastAsia" w:ascii="仿宋_GB2312" w:hAnsi="等线" w:eastAsia="仿宋_GB2312" w:cs="微软雅黑"/>
          <w:sz w:val="28"/>
          <w:szCs w:val="28"/>
        </w:rPr>
        <w:t>功能定位</w:t>
      </w:r>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cs="微软雅黑"/>
          <w:sz w:val="28"/>
          <w:szCs w:val="28"/>
        </w:rPr>
      </w:pPr>
      <w:r>
        <w:rPr>
          <w:rFonts w:hint="eastAsia" w:ascii="仿宋_GB2312" w:hAnsi="等线" w:eastAsia="仿宋_GB2312" w:cs="微软雅黑"/>
          <w:sz w:val="28"/>
          <w:szCs w:val="28"/>
        </w:rPr>
        <w:t>客群定位</w:t>
      </w:r>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cs="微软雅黑"/>
          <w:sz w:val="28"/>
          <w:szCs w:val="28"/>
        </w:rPr>
      </w:pPr>
      <w:r>
        <w:rPr>
          <w:rFonts w:hint="eastAsia" w:ascii="仿宋_GB2312" w:hAnsi="等线" w:eastAsia="仿宋_GB2312" w:cs="微软雅黑"/>
          <w:sz w:val="28"/>
          <w:szCs w:val="28"/>
        </w:rPr>
        <w:t>档次定位</w:t>
      </w:r>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cs="微软雅黑"/>
          <w:sz w:val="28"/>
          <w:szCs w:val="28"/>
        </w:rPr>
      </w:pPr>
      <w:r>
        <w:rPr>
          <w:rFonts w:hint="eastAsia" w:ascii="仿宋_GB2312" w:hAnsi="等线" w:eastAsia="仿宋_GB2312" w:cs="微软雅黑"/>
          <w:sz w:val="28"/>
          <w:szCs w:val="28"/>
        </w:rPr>
        <w:t>产品定位</w:t>
      </w:r>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cs="微软雅黑"/>
          <w:sz w:val="28"/>
          <w:szCs w:val="28"/>
        </w:rPr>
      </w:pPr>
      <w:r>
        <w:rPr>
          <w:rFonts w:hint="eastAsia" w:ascii="仿宋_GB2312" w:hAnsi="等线" w:eastAsia="仿宋_GB2312" w:cs="微软雅黑"/>
          <w:sz w:val="28"/>
          <w:szCs w:val="28"/>
        </w:rPr>
        <w:t>业态功能组合</w:t>
      </w:r>
    </w:p>
    <w:p>
      <w:pPr>
        <w:autoSpaceDE w:val="0"/>
        <w:autoSpaceDN w:val="0"/>
        <w:adjustRightInd w:val="0"/>
        <w:ind w:firstLine="562" w:firstLineChars="200"/>
        <w:jc w:val="left"/>
        <w:rPr>
          <w:rFonts w:ascii="仿宋_GB2312" w:hAnsi="等线" w:eastAsia="仿宋_GB2312"/>
          <w:b/>
          <w:bCs/>
          <w:sz w:val="28"/>
          <w:szCs w:val="28"/>
        </w:rPr>
      </w:pPr>
      <w:r>
        <w:rPr>
          <w:rFonts w:hint="eastAsia" w:ascii="仿宋_GB2312" w:hAnsi="等线" w:eastAsia="仿宋_GB2312"/>
          <w:b/>
          <w:bCs/>
          <w:sz w:val="28"/>
          <w:szCs w:val="28"/>
        </w:rPr>
        <w:t>5.财务概算</w:t>
      </w:r>
    </w:p>
    <w:p>
      <w:pPr>
        <w:numPr>
          <w:ilvl w:val="0"/>
          <w:numId w:val="3"/>
        </w:numPr>
        <w:autoSpaceDE w:val="0"/>
        <w:autoSpaceDN w:val="0"/>
        <w:adjustRightInd w:val="0"/>
        <w:spacing w:line="288" w:lineRule="auto"/>
        <w:ind w:left="480" w:leftChars="200" w:firstLine="560" w:firstLineChars="200"/>
        <w:jc w:val="left"/>
        <w:rPr>
          <w:rFonts w:ascii="仿宋_GB2312" w:hAnsi="等线" w:eastAsia="仿宋_GB2312" w:cs="微软雅黑"/>
          <w:sz w:val="28"/>
          <w:szCs w:val="28"/>
        </w:rPr>
      </w:pPr>
      <w:r>
        <w:rPr>
          <w:rFonts w:hint="eastAsia" w:ascii="仿宋_GB2312" w:hAnsi="等线" w:eastAsia="仿宋_GB2312" w:cs="微软雅黑"/>
          <w:sz w:val="28"/>
          <w:szCs w:val="28"/>
        </w:rPr>
        <w:t>财务假设</w:t>
      </w:r>
    </w:p>
    <w:p>
      <w:pPr>
        <w:numPr>
          <w:ilvl w:val="0"/>
          <w:numId w:val="3"/>
        </w:numPr>
        <w:autoSpaceDE w:val="0"/>
        <w:autoSpaceDN w:val="0"/>
        <w:adjustRightInd w:val="0"/>
        <w:spacing w:line="288" w:lineRule="auto"/>
        <w:ind w:left="480" w:leftChars="200" w:firstLine="560" w:firstLineChars="200"/>
        <w:jc w:val="left"/>
        <w:rPr>
          <w:rFonts w:hint="eastAsia" w:ascii="仿宋_GB2312" w:hAnsi="等线" w:eastAsia="仿宋_GB2312" w:cs="微软雅黑"/>
          <w:sz w:val="28"/>
          <w:szCs w:val="28"/>
        </w:rPr>
      </w:pPr>
      <w:r>
        <w:rPr>
          <w:rFonts w:hint="eastAsia" w:ascii="仿宋_GB2312" w:hAnsi="等线" w:eastAsia="仿宋_GB2312" w:cs="微软雅黑"/>
          <w:sz w:val="28"/>
          <w:szCs w:val="28"/>
        </w:rPr>
        <w:t>财务概算</w:t>
      </w:r>
    </w:p>
    <w:p>
      <w:pPr>
        <w:tabs>
          <w:tab w:val="left" w:pos="360"/>
        </w:tabs>
        <w:autoSpaceDE w:val="0"/>
        <w:autoSpaceDN w:val="0"/>
        <w:adjustRightInd w:val="0"/>
        <w:spacing w:line="288" w:lineRule="auto"/>
        <w:ind w:left="480" w:firstLine="560" w:firstLineChars="200"/>
        <w:jc w:val="left"/>
        <w:rPr>
          <w:rFonts w:ascii="仿宋_GB2312" w:hAnsi="等线" w:eastAsia="仿宋_GB2312" w:cs="微软雅黑"/>
          <w:sz w:val="28"/>
          <w:szCs w:val="28"/>
        </w:rPr>
      </w:pPr>
      <w:r>
        <w:rPr>
          <w:rFonts w:hint="eastAsia" w:ascii="仿宋_GB2312" w:hAnsi="仿宋_GB2312" w:eastAsia="仿宋_GB2312" w:cs="仿宋_GB2312"/>
          <w:bCs/>
          <w:sz w:val="28"/>
          <w:szCs w:val="28"/>
        </w:rPr>
        <w:t>中标单位应合理进行研究分析，并确保研策分析深度及结论对项目具有指导性意义，同时对数据计算成果应提供可靠、合理的基础数据或分析过程。</w:t>
      </w:r>
    </w:p>
    <w:p>
      <w:pPr>
        <w:pStyle w:val="30"/>
        <w:ind w:left="0" w:leftChars="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三、相关要求</w:t>
      </w:r>
    </w:p>
    <w:p>
      <w:pPr>
        <w:pStyle w:val="30"/>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
          <w:bCs/>
          <w:sz w:val="28"/>
          <w:szCs w:val="28"/>
        </w:rPr>
        <w:t>时限要求。</w:t>
      </w:r>
    </w:p>
    <w:p>
      <w:pPr>
        <w:pStyle w:val="30"/>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单个项目服务期限：在甲方出具项目咨询服务委派单时间之日，10个自然日内完成项目成果初稿，在初稿提交起10个自然日内根据甲方意见进一步修改完善方案。项目结算金额达到中标金额，则服务截止。</w:t>
      </w:r>
    </w:p>
    <w:p>
      <w:pPr>
        <w:pStyle w:val="30"/>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
          <w:bCs/>
          <w:sz w:val="28"/>
          <w:szCs w:val="28"/>
        </w:rPr>
        <w:t>认定标准。</w:t>
      </w:r>
      <w:r>
        <w:rPr>
          <w:rFonts w:hint="eastAsia" w:ascii="仿宋_GB2312" w:hAnsi="仿宋_GB2312" w:eastAsia="仿宋_GB2312" w:cs="仿宋_GB2312"/>
          <w:bCs/>
          <w:sz w:val="28"/>
          <w:szCs w:val="28"/>
        </w:rPr>
        <w:t>中标单位提供的服务内容成果需通过甲方过程核定，并根据甲方提出的要求进行修改完善，最终验收应以区政府提报会议通过（或会议未提出重大修改意见），并由甲方3人以上领导（部门分管负责人、集团副总经理、总经理）会签审核同意为准。</w:t>
      </w:r>
    </w:p>
    <w:p>
      <w:pPr>
        <w:pStyle w:val="30"/>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b/>
          <w:bCs/>
          <w:sz w:val="28"/>
          <w:szCs w:val="28"/>
        </w:rPr>
        <w:t>成果数据。</w:t>
      </w:r>
      <w:r>
        <w:rPr>
          <w:rFonts w:hint="eastAsia" w:ascii="仿宋_GB2312" w:hAnsi="仿宋_GB2312" w:eastAsia="仿宋_GB2312" w:cs="仿宋_GB2312"/>
          <w:bCs/>
          <w:sz w:val="28"/>
          <w:szCs w:val="28"/>
        </w:rPr>
        <w:t>中标单位应提供不少于5套纸质成果材料，同时提供成果及底稿电子数据，包括但不限于PPT文档成果数据、为完成成果所需的全套测算底稿、市场分析数据等。</w:t>
      </w:r>
    </w:p>
    <w:p>
      <w:pPr>
        <w:pStyle w:val="30"/>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r>
        <w:rPr>
          <w:rFonts w:hint="eastAsia" w:ascii="仿宋_GB2312" w:hAnsi="仿宋_GB2312" w:eastAsia="仿宋_GB2312" w:cs="仿宋_GB2312"/>
          <w:b/>
          <w:bCs/>
          <w:sz w:val="28"/>
          <w:szCs w:val="28"/>
        </w:rPr>
        <w:t>版权要求。</w:t>
      </w:r>
      <w:r>
        <w:rPr>
          <w:rFonts w:hint="eastAsia" w:ascii="仿宋_GB2312" w:hAnsi="仿宋_GB2312" w:eastAsia="仿宋_GB2312" w:cs="仿宋_GB2312"/>
          <w:bCs/>
          <w:sz w:val="28"/>
          <w:szCs w:val="28"/>
        </w:rPr>
        <w:t>甲方拥有中标单位提供服务内容的所有权、使用权，乙方在未征得甲方同意前，不得向第三方单位提供工作成果。</w:t>
      </w:r>
    </w:p>
    <w:p>
      <w:pPr>
        <w:pStyle w:val="30"/>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r>
        <w:rPr>
          <w:rFonts w:hint="eastAsia" w:ascii="仿宋_GB2312" w:hAnsi="仿宋_GB2312" w:eastAsia="仿宋_GB2312" w:cs="仿宋_GB2312"/>
          <w:b/>
          <w:bCs/>
          <w:sz w:val="28"/>
          <w:szCs w:val="28"/>
        </w:rPr>
        <w:t>保密要求。</w:t>
      </w:r>
      <w:r>
        <w:rPr>
          <w:rFonts w:hint="eastAsia" w:ascii="仿宋_GB2312" w:hAnsi="仿宋_GB2312" w:eastAsia="仿宋_GB2312" w:cs="仿宋_GB2312"/>
          <w:bCs/>
          <w:sz w:val="28"/>
          <w:szCs w:val="28"/>
        </w:rPr>
        <w:t>中标单位承诺对在本合同和相关服务项目内所获得有关甲方的保密信息和资料进行保密，不得向任何第三方提供和在其它服务项目内使用此类保密信息和资料。</w:t>
      </w:r>
    </w:p>
    <w:p>
      <w:pPr>
        <w:pStyle w:val="30"/>
        <w:ind w:left="0" w:leftChars="0" w:firstLine="560"/>
        <w:rPr>
          <w:rFonts w:ascii="仿宋_GB2312" w:hAnsi="仿宋_GB2312" w:eastAsia="仿宋_GB2312" w:cs="仿宋_GB2312"/>
          <w:bCs/>
          <w:sz w:val="28"/>
          <w:szCs w:val="28"/>
        </w:rPr>
      </w:pPr>
      <w:r>
        <w:rPr>
          <w:rFonts w:ascii="仿宋_GB2312" w:hAnsi="仿宋_GB2312" w:eastAsia="仿宋_GB2312" w:cs="仿宋_GB2312"/>
          <w:bCs/>
          <w:sz w:val="28"/>
          <w:szCs w:val="28"/>
        </w:rPr>
        <w:t>“保密信息”是指一方（“披露方”）向另一方（“接收方”）直接或间接地披露的非公开性质的任何资料，包括披露方的商业计划或意图、定价、产品资料、设计、商业秘密、数据、各种商业和管理模式、软件、市场机会、技术方法、诀窍、产品、经营信息和业务事项有关的任何信息。</w:t>
      </w:r>
    </w:p>
    <w:p>
      <w:pPr>
        <w:pStyle w:val="30"/>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在本项目期限内，接收方可向其任何雇员、承包商或专业顾问披露保密信息（名为“接受人”），但该种披露应以为履行本项目的合理所需为限，且接收方应促使每名接受人知晓并按照不低于接收方的标准遵守本协议顶下的全部保密义务。</w:t>
      </w:r>
    </w:p>
    <w:p>
      <w:pPr>
        <w:pStyle w:val="30"/>
        <w:ind w:left="0" w:leftChars="0" w:firstLine="560"/>
        <w:rPr>
          <w:rFonts w:ascii="仿宋_GB2312" w:hAnsi="仿宋_GB2312" w:eastAsia="仿宋_GB2312" w:cs="仿宋_GB2312"/>
          <w:bCs/>
          <w:sz w:val="28"/>
          <w:szCs w:val="28"/>
        </w:rPr>
      </w:pPr>
      <w:r>
        <w:rPr>
          <w:rFonts w:ascii="仿宋_GB2312" w:hAnsi="仿宋_GB2312" w:eastAsia="仿宋_GB2312" w:cs="仿宋_GB2312"/>
          <w:bCs/>
          <w:sz w:val="28"/>
          <w:szCs w:val="28"/>
        </w:rPr>
        <w:t>本保密条款在本合同未生效、终止或解除后仍继续有效。</w:t>
      </w:r>
    </w:p>
    <w:p>
      <w:pPr>
        <w:pStyle w:val="30"/>
        <w:ind w:left="0" w:leftChars="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四、报价要求 </w:t>
      </w:r>
    </w:p>
    <w:p>
      <w:pPr>
        <w:pStyle w:val="30"/>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本次报价为全费用综合单价，报价中体现综合单价即</w:t>
      </w:r>
      <w:r>
        <w:rPr>
          <w:rFonts w:hint="eastAsia" w:ascii="仿宋_GB2312" w:hAnsi="仿宋_GB2312" w:eastAsia="仿宋_GB2312" w:cs="仿宋_GB2312"/>
          <w:bCs/>
          <w:sz w:val="28"/>
          <w:szCs w:val="28"/>
          <w:lang w:val="en-US" w:eastAsia="zh-CN"/>
        </w:rPr>
        <w:t>完成</w:t>
      </w:r>
      <w:r>
        <w:rPr>
          <w:rFonts w:hint="eastAsia" w:ascii="仿宋_GB2312" w:hAnsi="仿宋_GB2312" w:eastAsia="仿宋_GB2312" w:cs="仿宋_GB2312"/>
          <w:bCs/>
          <w:sz w:val="28"/>
          <w:szCs w:val="28"/>
        </w:rPr>
        <w:t>单个项目</w:t>
      </w:r>
      <w:r>
        <w:rPr>
          <w:rFonts w:hint="eastAsia" w:ascii="仿宋_GB2312" w:hAnsi="仿宋_GB2312" w:eastAsia="仿宋_GB2312" w:cs="仿宋_GB2312"/>
          <w:bCs/>
          <w:sz w:val="28"/>
          <w:szCs w:val="28"/>
          <w:lang w:val="en-US" w:eastAsia="zh-CN"/>
        </w:rPr>
        <w:t>所需所有费用</w:t>
      </w:r>
      <w:r>
        <w:rPr>
          <w:rFonts w:hint="eastAsia" w:ascii="仿宋_GB2312" w:hAnsi="仿宋_GB2312" w:eastAsia="仿宋_GB2312" w:cs="仿宋_GB2312"/>
          <w:bCs/>
          <w:sz w:val="28"/>
          <w:szCs w:val="28"/>
        </w:rPr>
        <w:t>报价。投标总价（投标总价=Σ项目数量×投标单价）仅作为评标计分、暂定投标报价的依据；本项目中标价作为合同价款，综合单价作为中标后据实结算的依据，最终总结算价不超过中标价。</w:t>
      </w:r>
    </w:p>
    <w:p>
      <w:pPr>
        <w:pStyle w:val="30"/>
        <w:ind w:left="0" w:leftChars="0" w:firstLine="562"/>
        <w:rPr>
          <w:rFonts w:ascii="仿宋_GB2312" w:hAnsi="仿宋_GB2312" w:eastAsia="仿宋_GB2312" w:cs="仿宋_GB2312"/>
          <w:bCs/>
          <w:sz w:val="28"/>
          <w:szCs w:val="28"/>
        </w:rPr>
      </w:pPr>
      <w:r>
        <w:rPr>
          <w:rFonts w:hint="eastAsia" w:ascii="仿宋_GB2312" w:hAnsi="仿宋_GB2312" w:eastAsia="仿宋_GB2312" w:cs="仿宋_GB2312"/>
          <w:b/>
          <w:sz w:val="28"/>
          <w:szCs w:val="28"/>
        </w:rPr>
        <w:t>投标总价不得超出本项目概算27.5万元，投标单价不得超过单价最高投标限价5.5万元，否则投标无效。</w:t>
      </w:r>
      <w:r>
        <w:rPr>
          <w:rFonts w:hint="eastAsia" w:ascii="仿宋_GB2312" w:hAnsi="仿宋_GB2312" w:eastAsia="仿宋_GB2312" w:cs="仿宋_GB2312"/>
          <w:bCs/>
          <w:sz w:val="28"/>
          <w:szCs w:val="28"/>
        </w:rPr>
        <w:t>报价包含完成本项目所发生的一切费用，包括不限于一切劳务工作、税费、交通费、勘察费、调研费等完成项目的服务。本项目根据招标人要求单个项目规模不同，均以同一单价进行结算，中标后单价不进行调整，请投标人综合考虑报价风险。</w:t>
      </w:r>
    </w:p>
    <w:p>
      <w:pPr>
        <w:pStyle w:val="30"/>
        <w:ind w:left="0" w:leftChars="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五、付款方式</w:t>
      </w:r>
    </w:p>
    <w:p>
      <w:pPr>
        <w:pStyle w:val="11"/>
        <w:ind w:firstLine="630"/>
        <w:rPr>
          <w:rFonts w:ascii="仿宋_GB2312" w:hAnsi="仿宋_GB2312" w:cs="仿宋_GB2312"/>
          <w:bCs/>
          <w:sz w:val="28"/>
          <w:szCs w:val="28"/>
        </w:rPr>
      </w:pPr>
      <w:r>
        <w:rPr>
          <w:rFonts w:hint="eastAsia" w:ascii="仿宋_GB2312" w:hAnsi="仿宋_GB2312" w:cs="仿宋_GB2312"/>
          <w:bCs/>
          <w:sz w:val="28"/>
          <w:szCs w:val="28"/>
        </w:rPr>
        <w:t>合同签订后，甲方根据实际需要出具项目咨询服务委派单。针对单个项目任务，甲方下发服务委派单后据实支付该项目任务价的30%，中标人完成项目概念性方案编制提供成果文件且方案经甲方认可后据实支付该项目任务价的70%；最终项目总结算价不超过本项目中标价。</w:t>
      </w:r>
    </w:p>
    <w:p>
      <w:pPr>
        <w:pStyle w:val="11"/>
        <w:ind w:firstLine="630"/>
        <w:rPr>
          <w:rFonts w:ascii="仿宋_GB2312" w:hAnsi="仿宋_GB2312" w:cs="仿宋_GB2312"/>
          <w:bCs/>
          <w:sz w:val="28"/>
          <w:szCs w:val="28"/>
        </w:rPr>
      </w:pPr>
      <w:r>
        <w:rPr>
          <w:rFonts w:hint="eastAsia" w:ascii="仿宋_GB2312" w:hAnsi="仿宋_GB2312" w:cs="仿宋_GB2312"/>
          <w:bCs/>
          <w:sz w:val="28"/>
          <w:szCs w:val="28"/>
        </w:rPr>
        <w:t>每次付款前，乙方须按甲方要求提供合法有效的增值税专用发票。</w:t>
      </w:r>
    </w:p>
    <w:p>
      <w:pPr>
        <w:pStyle w:val="2"/>
        <w:rPr>
          <w:b w:val="0"/>
          <w:szCs w:val="22"/>
        </w:rPr>
      </w:pPr>
      <w:bookmarkStart w:id="44" w:name="_Toc38879335"/>
      <w:bookmarkStart w:id="45" w:name="_Toc63412030"/>
      <w:bookmarkStart w:id="46" w:name="_Toc22621"/>
      <w:r>
        <w:rPr>
          <w:rFonts w:hint="eastAsia" w:ascii="黑体" w:hAnsi="黑体"/>
          <w:b w:val="0"/>
        </w:rPr>
        <w:t>第四章  评审方法</w:t>
      </w:r>
      <w:bookmarkEnd w:id="44"/>
      <w:bookmarkEnd w:id="45"/>
      <w:r>
        <w:rPr>
          <w:rFonts w:hint="eastAsia" w:ascii="黑体" w:hAnsi="黑体"/>
          <w:b w:val="0"/>
        </w:rPr>
        <w:t>与标准</w:t>
      </w:r>
      <w:bookmarkEnd w:id="46"/>
    </w:p>
    <w:p>
      <w:pPr>
        <w:adjustRightInd w:val="0"/>
        <w:snapToGrid w:val="0"/>
        <w:spacing w:line="360" w:lineRule="auto"/>
        <w:ind w:right="-10" w:firstLine="420" w:firstLineChars="175"/>
        <w:rPr>
          <w:rFonts w:hAnsi="宋体"/>
          <w:bCs/>
        </w:rPr>
      </w:pPr>
      <w:bookmarkStart w:id="47"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4"/>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14"/>
        <w:gridCol w:w="2182"/>
        <w:gridCol w:w="773"/>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pStyle w:val="31"/>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3"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1384" w:type="pct"/>
            <w:tcBorders>
              <w:bottom w:val="single" w:color="auto" w:sz="4" w:space="0"/>
            </w:tcBorders>
            <w:vAlign w:val="center"/>
          </w:tcPr>
          <w:p>
            <w:pPr>
              <w:pStyle w:val="31"/>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1497"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3"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1</w:t>
            </w:r>
          </w:p>
        </w:tc>
        <w:tc>
          <w:tcPr>
            <w:tcW w:w="1384"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497"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2</w:t>
            </w:r>
          </w:p>
        </w:tc>
        <w:tc>
          <w:tcPr>
            <w:tcW w:w="1384" w:type="pct"/>
            <w:vAlign w:val="center"/>
          </w:tcPr>
          <w:p>
            <w:pPr>
              <w:spacing w:line="420" w:lineRule="exact"/>
              <w:ind w:right="-11"/>
              <w:jc w:val="center"/>
              <w:rPr>
                <w:rFonts w:hAnsi="宋体"/>
                <w:szCs w:val="24"/>
              </w:rPr>
            </w:pPr>
            <w:r>
              <w:rPr>
                <w:rFonts w:hint="eastAsia" w:hAnsi="宋体"/>
                <w:szCs w:val="24"/>
              </w:rPr>
              <w:t>投标函</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3</w:t>
            </w:r>
          </w:p>
        </w:tc>
        <w:tc>
          <w:tcPr>
            <w:tcW w:w="1384" w:type="pct"/>
            <w:vAlign w:val="center"/>
          </w:tcPr>
          <w:p>
            <w:pPr>
              <w:spacing w:line="420" w:lineRule="exact"/>
              <w:ind w:right="-11"/>
              <w:jc w:val="center"/>
              <w:rPr>
                <w:rFonts w:hAnsi="宋体"/>
                <w:szCs w:val="24"/>
              </w:rPr>
            </w:pPr>
            <w:r>
              <w:rPr>
                <w:rFonts w:hint="eastAsia" w:hAnsi="宋体"/>
                <w:szCs w:val="24"/>
              </w:rPr>
              <w:t>投标授权书</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4</w:t>
            </w:r>
          </w:p>
        </w:tc>
        <w:tc>
          <w:tcPr>
            <w:tcW w:w="1384" w:type="pct"/>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497" w:type="pct"/>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5</w:t>
            </w:r>
          </w:p>
        </w:tc>
        <w:tc>
          <w:tcPr>
            <w:tcW w:w="1384" w:type="pct"/>
            <w:vAlign w:val="center"/>
          </w:tcPr>
          <w:p>
            <w:pPr>
              <w:spacing w:after="50" w:line="360" w:lineRule="auto"/>
              <w:ind w:right="-10"/>
              <w:jc w:val="center"/>
              <w:rPr>
                <w:rFonts w:hAnsi="宋体"/>
                <w:szCs w:val="24"/>
              </w:rPr>
            </w:pPr>
            <w:r>
              <w:rPr>
                <w:rFonts w:hint="eastAsia" w:hAnsi="宋体"/>
                <w:szCs w:val="24"/>
              </w:rPr>
              <w:t>开标一览表</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6</w:t>
            </w:r>
          </w:p>
        </w:tc>
        <w:tc>
          <w:tcPr>
            <w:tcW w:w="1384" w:type="pct"/>
            <w:vAlign w:val="center"/>
          </w:tcPr>
          <w:p>
            <w:pPr>
              <w:spacing w:after="50" w:line="360" w:lineRule="auto"/>
              <w:ind w:right="-10"/>
              <w:jc w:val="center"/>
              <w:rPr>
                <w:rFonts w:hAnsi="宋体"/>
                <w:szCs w:val="24"/>
              </w:rPr>
            </w:pPr>
            <w:r>
              <w:rPr>
                <w:rFonts w:hint="eastAsia" w:hAnsi="宋体"/>
                <w:szCs w:val="24"/>
              </w:rPr>
              <w:t>投标报价</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7</w:t>
            </w:r>
          </w:p>
        </w:tc>
        <w:tc>
          <w:tcPr>
            <w:tcW w:w="1384" w:type="pct"/>
            <w:vAlign w:val="center"/>
          </w:tcPr>
          <w:p>
            <w:pPr>
              <w:spacing w:line="420" w:lineRule="exact"/>
              <w:ind w:right="-11"/>
              <w:jc w:val="center"/>
              <w:rPr>
                <w:rFonts w:hAnsi="宋体"/>
                <w:kern w:val="2"/>
                <w:szCs w:val="24"/>
              </w:rPr>
            </w:pPr>
            <w:r>
              <w:rPr>
                <w:rFonts w:hint="eastAsia" w:hAnsi="宋体"/>
                <w:szCs w:val="24"/>
              </w:rPr>
              <w:t>标书响应情况</w:t>
            </w:r>
          </w:p>
        </w:tc>
        <w:tc>
          <w:tcPr>
            <w:tcW w:w="1251" w:type="pct"/>
            <w:vAlign w:val="center"/>
          </w:tcPr>
          <w:p>
            <w:pPr>
              <w:spacing w:line="420" w:lineRule="exact"/>
              <w:ind w:right="-11"/>
              <w:jc w:val="center"/>
              <w:rPr>
                <w:rFonts w:hAnsi="宋体"/>
                <w:kern w:val="2"/>
                <w:szCs w:val="24"/>
              </w:rPr>
            </w:pPr>
            <w:r>
              <w:rPr>
                <w:rFonts w:hint="eastAsia" w:hAnsi="宋体"/>
                <w:szCs w:val="24"/>
              </w:rPr>
              <w:t>质量响应、工期响应</w:t>
            </w:r>
          </w:p>
        </w:tc>
        <w:tc>
          <w:tcPr>
            <w:tcW w:w="443" w:type="pct"/>
            <w:vAlign w:val="center"/>
          </w:tcPr>
          <w:p>
            <w:pPr>
              <w:adjustRightInd w:val="0"/>
              <w:snapToGrid w:val="0"/>
              <w:spacing w:line="420" w:lineRule="exact"/>
              <w:ind w:right="-11"/>
              <w:jc w:val="center"/>
              <w:rPr>
                <w:rFonts w:hAnsi="宋体"/>
                <w:kern w:val="2"/>
                <w:szCs w:val="24"/>
              </w:rPr>
            </w:pPr>
          </w:p>
        </w:tc>
        <w:tc>
          <w:tcPr>
            <w:tcW w:w="1497" w:type="pct"/>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8</w:t>
            </w:r>
          </w:p>
        </w:tc>
        <w:tc>
          <w:tcPr>
            <w:tcW w:w="1384" w:type="pct"/>
            <w:vAlign w:val="center"/>
          </w:tcPr>
          <w:p>
            <w:pPr>
              <w:spacing w:line="420" w:lineRule="exact"/>
              <w:ind w:right="-11"/>
              <w:jc w:val="center"/>
              <w:rPr>
                <w:rFonts w:hAnsi="宋体"/>
                <w:kern w:val="2"/>
                <w:szCs w:val="24"/>
              </w:rPr>
            </w:pPr>
            <w:r>
              <w:rPr>
                <w:rFonts w:hint="eastAsia" w:hAnsi="宋体"/>
                <w:szCs w:val="24"/>
              </w:rPr>
              <w:t>标书规范性</w:t>
            </w:r>
          </w:p>
        </w:tc>
        <w:tc>
          <w:tcPr>
            <w:tcW w:w="1251" w:type="pct"/>
            <w:vAlign w:val="center"/>
          </w:tcPr>
          <w:p>
            <w:pPr>
              <w:pStyle w:val="31"/>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443" w:type="pct"/>
            <w:vAlign w:val="center"/>
          </w:tcPr>
          <w:p>
            <w:pPr>
              <w:adjustRightInd w:val="0"/>
              <w:snapToGrid w:val="0"/>
              <w:spacing w:line="420" w:lineRule="exact"/>
              <w:ind w:right="-11"/>
              <w:jc w:val="center"/>
              <w:rPr>
                <w:rFonts w:hAnsi="宋体"/>
                <w:kern w:val="2"/>
                <w:szCs w:val="24"/>
              </w:rPr>
            </w:pPr>
          </w:p>
        </w:tc>
        <w:tc>
          <w:tcPr>
            <w:tcW w:w="1497"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9</w:t>
            </w:r>
          </w:p>
        </w:tc>
        <w:tc>
          <w:tcPr>
            <w:tcW w:w="1384" w:type="pct"/>
            <w:vAlign w:val="center"/>
          </w:tcPr>
          <w:p>
            <w:pPr>
              <w:spacing w:line="420" w:lineRule="exact"/>
              <w:ind w:right="-11"/>
              <w:jc w:val="center"/>
              <w:rPr>
                <w:rFonts w:hAnsi="宋体"/>
                <w:kern w:val="2"/>
                <w:szCs w:val="24"/>
              </w:rPr>
            </w:pPr>
            <w:r>
              <w:rPr>
                <w:rFonts w:hint="eastAsia" w:hAnsi="宋体"/>
                <w:szCs w:val="24"/>
              </w:rPr>
              <w:t>其他要求</w:t>
            </w:r>
          </w:p>
        </w:tc>
        <w:tc>
          <w:tcPr>
            <w:tcW w:w="1251" w:type="pct"/>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443" w:type="pct"/>
            <w:vAlign w:val="center"/>
          </w:tcPr>
          <w:p>
            <w:pPr>
              <w:adjustRightInd w:val="0"/>
              <w:snapToGrid w:val="0"/>
              <w:spacing w:line="420" w:lineRule="exact"/>
              <w:ind w:right="-11"/>
              <w:jc w:val="center"/>
              <w:rPr>
                <w:rFonts w:hAnsi="宋体"/>
                <w:kern w:val="2"/>
                <w:szCs w:val="24"/>
              </w:rPr>
            </w:pPr>
          </w:p>
        </w:tc>
        <w:tc>
          <w:tcPr>
            <w:tcW w:w="1497"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80  %</w:t>
      </w:r>
      <w:r>
        <w:rPr>
          <w:rFonts w:hint="eastAsia" w:hAnsi="宋体"/>
        </w:rPr>
        <w:t>，价格分值占总分值的权重为</w:t>
      </w:r>
      <w:r>
        <w:rPr>
          <w:rFonts w:hint="eastAsia" w:hAnsi="宋体"/>
          <w:u w:val="single"/>
        </w:rPr>
        <w:t xml:space="preserve">  20 %</w:t>
      </w:r>
      <w:r>
        <w:rPr>
          <w:rFonts w:hint="eastAsia" w:hAnsi="宋体"/>
        </w:rPr>
        <w:t>。</w:t>
      </w:r>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rPr>
      </w:pPr>
      <w:r>
        <w:rPr>
          <w:rFonts w:hint="eastAsia" w:hAnsi="宋体"/>
        </w:rPr>
        <w:t>2.2.2.1技术资信分</w:t>
      </w:r>
    </w:p>
    <w:tbl>
      <w:tblPr>
        <w:tblStyle w:val="22"/>
        <w:tblpPr w:leftFromText="180" w:rightFromText="180" w:vertAnchor="text" w:horzAnchor="page" w:tblpX="1664" w:tblpY="440"/>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403"/>
        <w:gridCol w:w="5646"/>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23" w:type="dxa"/>
          </w:tcPr>
          <w:p>
            <w:pPr>
              <w:jc w:val="center"/>
              <w:rPr>
                <w:rFonts w:hAnsi="宋体" w:cs="宋体"/>
                <w:b/>
                <w:color w:val="000000"/>
                <w:spacing w:val="-6"/>
                <w:szCs w:val="24"/>
              </w:rPr>
            </w:pPr>
          </w:p>
          <w:p>
            <w:pPr>
              <w:jc w:val="center"/>
              <w:rPr>
                <w:szCs w:val="24"/>
              </w:rPr>
            </w:pPr>
            <w:r>
              <w:rPr>
                <w:rFonts w:hAnsi="宋体" w:cs="宋体"/>
                <w:b/>
                <w:color w:val="000000"/>
                <w:spacing w:val="-6"/>
                <w:szCs w:val="24"/>
              </w:rPr>
              <w:t>类别</w:t>
            </w:r>
          </w:p>
        </w:tc>
        <w:tc>
          <w:tcPr>
            <w:tcW w:w="1403" w:type="dxa"/>
          </w:tcPr>
          <w:p>
            <w:pPr>
              <w:jc w:val="center"/>
              <w:rPr>
                <w:rFonts w:hAnsi="宋体" w:cs="宋体"/>
                <w:b/>
                <w:color w:val="000000"/>
                <w:spacing w:val="-4"/>
                <w:szCs w:val="24"/>
              </w:rPr>
            </w:pPr>
          </w:p>
          <w:p>
            <w:pPr>
              <w:jc w:val="center"/>
              <w:rPr>
                <w:szCs w:val="24"/>
              </w:rPr>
            </w:pPr>
            <w:r>
              <w:rPr>
                <w:rFonts w:hAnsi="宋体" w:cs="宋体"/>
                <w:b/>
                <w:color w:val="000000"/>
                <w:spacing w:val="-4"/>
                <w:szCs w:val="24"/>
              </w:rPr>
              <w:t>评分</w:t>
            </w:r>
            <w:r>
              <w:rPr>
                <w:rFonts w:hAnsi="宋体" w:cs="宋体"/>
                <w:b/>
                <w:color w:val="000000"/>
                <w:spacing w:val="-2"/>
                <w:szCs w:val="24"/>
              </w:rPr>
              <w:t>内容</w:t>
            </w:r>
          </w:p>
        </w:tc>
        <w:tc>
          <w:tcPr>
            <w:tcW w:w="5646" w:type="dxa"/>
          </w:tcPr>
          <w:p>
            <w:pPr>
              <w:jc w:val="center"/>
              <w:rPr>
                <w:rFonts w:hAnsi="宋体" w:cs="宋体"/>
                <w:b/>
                <w:color w:val="000000"/>
                <w:spacing w:val="-4"/>
                <w:szCs w:val="24"/>
              </w:rPr>
            </w:pPr>
          </w:p>
          <w:p>
            <w:pPr>
              <w:jc w:val="center"/>
              <w:rPr>
                <w:szCs w:val="24"/>
              </w:rPr>
            </w:pPr>
            <w:r>
              <w:rPr>
                <w:rFonts w:hAnsi="宋体" w:cs="宋体"/>
                <w:b/>
                <w:color w:val="000000"/>
                <w:spacing w:val="-4"/>
                <w:szCs w:val="24"/>
              </w:rPr>
              <w:t>评分</w:t>
            </w:r>
            <w:r>
              <w:rPr>
                <w:rFonts w:hAnsi="宋体" w:cs="宋体"/>
                <w:b/>
                <w:color w:val="000000"/>
                <w:spacing w:val="-2"/>
                <w:szCs w:val="24"/>
              </w:rPr>
              <w:t>标准</w:t>
            </w:r>
          </w:p>
        </w:tc>
        <w:tc>
          <w:tcPr>
            <w:tcW w:w="817" w:type="dxa"/>
          </w:tcPr>
          <w:p>
            <w:pPr>
              <w:jc w:val="center"/>
              <w:rPr>
                <w:rFonts w:hAnsi="宋体" w:cs="宋体"/>
                <w:b/>
                <w:color w:val="000000"/>
                <w:spacing w:val="-4"/>
                <w:szCs w:val="24"/>
              </w:rPr>
            </w:pPr>
          </w:p>
          <w:p>
            <w:pPr>
              <w:jc w:val="center"/>
              <w:rPr>
                <w:szCs w:val="24"/>
              </w:rPr>
            </w:pPr>
            <w:r>
              <w:rPr>
                <w:rFonts w:hAnsi="宋体" w:cs="宋体"/>
                <w:b/>
                <w:color w:val="000000"/>
                <w:spacing w:val="-4"/>
                <w:szCs w:val="24"/>
              </w:rPr>
              <w:t>分值</w:t>
            </w:r>
            <w:r>
              <w:rPr>
                <w:rFonts w:hAnsi="宋体" w:cs="宋体"/>
                <w:b/>
                <w:color w:val="000000"/>
                <w:spacing w:val="-2"/>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restart"/>
          </w:tcPr>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jc w:val="center"/>
            </w:pPr>
            <w:r>
              <w:rPr>
                <w:rFonts w:hAnsi="宋体" w:cs="宋体"/>
                <w:color w:val="000000"/>
                <w:spacing w:val="-3"/>
                <w:szCs w:val="24"/>
              </w:rPr>
              <w:t>技术</w:t>
            </w:r>
            <w:r>
              <w:rPr>
                <w:rFonts w:hAnsi="宋体" w:cs="宋体"/>
                <w:color w:val="000000"/>
                <w:spacing w:val="-2"/>
                <w:szCs w:val="24"/>
              </w:rPr>
              <w:t>资信分</w:t>
            </w:r>
          </w:p>
          <w:p>
            <w:pPr>
              <w:spacing w:line="156" w:lineRule="exact"/>
              <w:jc w:val="center"/>
            </w:pPr>
          </w:p>
          <w:p>
            <w:pPr>
              <w:jc w:val="center"/>
            </w:pPr>
            <w:r>
              <w:rPr>
                <w:rFonts w:hint="eastAsia" w:hAnsi="宋体" w:cs="宋体"/>
                <w:color w:val="000000"/>
                <w:spacing w:val="-1"/>
                <w:szCs w:val="24"/>
              </w:rPr>
              <w:t>（</w:t>
            </w:r>
            <w:r>
              <w:rPr>
                <w:rFonts w:hAnsi="宋体" w:cs="宋体"/>
                <w:color w:val="000000"/>
                <w:spacing w:val="-1"/>
                <w:szCs w:val="24"/>
              </w:rPr>
              <w:t>90</w:t>
            </w:r>
            <w:r>
              <w:rPr>
                <w:rFonts w:hAnsi="宋体" w:cs="宋体"/>
                <w:spacing w:val="-61"/>
                <w:szCs w:val="24"/>
              </w:rPr>
              <w:t xml:space="preserve"> </w:t>
            </w:r>
            <w:r>
              <w:rPr>
                <w:rFonts w:hAnsi="宋体" w:cs="宋体"/>
                <w:color w:val="000000"/>
                <w:spacing w:val="-3"/>
                <w:szCs w:val="24"/>
              </w:rPr>
              <w:t>分</w:t>
            </w:r>
            <w:r>
              <w:rPr>
                <w:rFonts w:hint="eastAsia" w:hAnsi="宋体" w:cs="宋体"/>
                <w:color w:val="000000"/>
                <w:spacing w:val="-1"/>
                <w:szCs w:val="24"/>
              </w:rPr>
              <w:t>）</w:t>
            </w:r>
          </w:p>
        </w:tc>
        <w:tc>
          <w:tcPr>
            <w:tcW w:w="1403" w:type="dxa"/>
            <w:vAlign w:val="center"/>
          </w:tcPr>
          <w:p>
            <w:pPr>
              <w:jc w:val="center"/>
            </w:pPr>
            <w:r>
              <w:rPr>
                <w:rFonts w:hint="eastAsia"/>
                <w:b/>
                <w:bCs/>
                <w:szCs w:val="24"/>
              </w:rPr>
              <w:t>投标人荣誉</w:t>
            </w:r>
          </w:p>
        </w:tc>
        <w:tc>
          <w:tcPr>
            <w:tcW w:w="5646" w:type="dxa"/>
            <w:vAlign w:val="center"/>
          </w:tcPr>
          <w:p>
            <w:pPr>
              <w:pStyle w:val="36"/>
              <w:widowControl/>
              <w:numPr>
                <w:ilvl w:val="0"/>
                <w:numId w:val="5"/>
              </w:numPr>
              <w:ind w:firstLineChars="0"/>
              <w:jc w:val="left"/>
            </w:pPr>
            <w:r>
              <w:rPr>
                <w:rFonts w:hint="eastAsia" w:ascii="Courier New" w:hAnsi="宋体"/>
                <w:szCs w:val="21"/>
              </w:rPr>
              <w:t>供应商自2020年1月1日以来（以获奖证书时间为准），完成的咨询类项目获得国家级奖项的，每有一个得3分，获得省市级奖项的，每有1个得1分</w:t>
            </w:r>
            <w:r>
              <w:rPr>
                <w:rFonts w:hint="eastAsia" w:ascii="Courier New" w:hAnsi="宋体"/>
                <w:szCs w:val="21"/>
                <w:lang w:eastAsia="zh-CN"/>
              </w:rPr>
              <w:t>。</w:t>
            </w:r>
            <w:r>
              <w:rPr>
                <w:rFonts w:hint="eastAsia" w:ascii="Courier New" w:hAnsi="宋体"/>
                <w:szCs w:val="21"/>
              </w:rPr>
              <w:t>此项最多</w:t>
            </w:r>
            <w:r>
              <w:rPr>
                <w:rFonts w:hint="eastAsia" w:ascii="Courier New" w:hAnsi="宋体"/>
                <w:szCs w:val="21"/>
                <w:lang w:val="en-US" w:eastAsia="zh-CN"/>
              </w:rPr>
              <w:t>6</w:t>
            </w:r>
            <w:r>
              <w:rPr>
                <w:rFonts w:hint="eastAsia" w:ascii="Courier New" w:hAnsi="宋体"/>
                <w:szCs w:val="21"/>
              </w:rPr>
              <w:t>分</w:t>
            </w:r>
            <w:r>
              <w:rPr>
                <w:rFonts w:hint="eastAsia" w:ascii="Courier New" w:hAnsi="宋体"/>
                <w:szCs w:val="21"/>
                <w:lang w:eastAsia="zh-CN"/>
              </w:rPr>
              <w:t>，</w:t>
            </w:r>
            <w:r>
              <w:rPr>
                <w:rFonts w:hint="eastAsia" w:ascii="Courier New" w:hAnsi="宋体"/>
                <w:szCs w:val="21"/>
                <w:lang w:val="en-US" w:eastAsia="zh-CN"/>
              </w:rPr>
              <w:t>以最高分数计取</w:t>
            </w:r>
            <w:r>
              <w:rPr>
                <w:rFonts w:hint="eastAsia" w:ascii="Courier New" w:hAnsi="宋体"/>
                <w:szCs w:val="21"/>
              </w:rPr>
              <w:t>；</w:t>
            </w:r>
          </w:p>
          <w:p>
            <w:pPr>
              <w:pStyle w:val="36"/>
              <w:widowControl/>
              <w:ind w:firstLine="419" w:firstLineChars="174"/>
              <w:jc w:val="left"/>
            </w:pPr>
            <w:r>
              <w:rPr>
                <w:rFonts w:hint="eastAsia" w:hAnsi="宋体" w:cs="宋体"/>
                <w:b/>
                <w:bCs/>
                <w:color w:val="000000"/>
                <w:szCs w:val="24"/>
                <w:lang w:bidi="ar"/>
              </w:rPr>
              <w:t>注：(1)以颁奖时间为准，提供以上相关书面证明材料复印件（加盖公章）编入投标文件；</w:t>
            </w:r>
          </w:p>
          <w:p>
            <w:pPr>
              <w:widowControl/>
              <w:jc w:val="left"/>
              <w:rPr>
                <w:rFonts w:hAnsi="宋体" w:cs="宋体"/>
                <w:b/>
                <w:bCs/>
                <w:color w:val="000000"/>
                <w:szCs w:val="24"/>
                <w:lang w:bidi="ar"/>
              </w:rPr>
            </w:pPr>
            <w:r>
              <w:rPr>
                <w:rFonts w:hint="eastAsia" w:hAnsi="宋体" w:cs="宋体"/>
                <w:b/>
                <w:bCs/>
                <w:color w:val="000000"/>
                <w:szCs w:val="24"/>
                <w:lang w:bidi="ar"/>
              </w:rPr>
              <w:t>(2)投标文件中须提供颁奖单位的颁奖文件(颁奖文件不含荣誉证书、奖杯、奖牌、奖状)或颁奖单位官网文件的截图，须能体现投标人名称，如无法体现，须另附颁奖单位的相关证明材料，未提供或提供不全的不得分；</w:t>
            </w:r>
          </w:p>
          <w:p>
            <w:pPr>
              <w:widowControl/>
              <w:jc w:val="left"/>
              <w:rPr>
                <w:rFonts w:hAnsi="宋体" w:cs="宋体"/>
                <w:b/>
                <w:bCs/>
                <w:color w:val="000000"/>
                <w:szCs w:val="24"/>
                <w:lang w:bidi="ar"/>
              </w:rPr>
            </w:pPr>
            <w:r>
              <w:rPr>
                <w:rFonts w:hint="eastAsia" w:hAnsi="宋体" w:cs="宋体"/>
                <w:b/>
                <w:bCs/>
                <w:color w:val="000000"/>
                <w:szCs w:val="24"/>
                <w:lang w:bidi="ar"/>
              </w:rPr>
              <w:t>(3)a.“国内依法登记注册”以中国社会组织政务服务平台中“全国社会组织信用信息公示平台”查询结果为准；</w:t>
            </w:r>
          </w:p>
          <w:p>
            <w:pPr>
              <w:widowControl/>
              <w:jc w:val="left"/>
              <w:rPr>
                <w:rFonts w:hAnsi="宋体" w:cs="宋体"/>
                <w:b/>
                <w:bCs/>
                <w:color w:val="000000"/>
                <w:szCs w:val="24"/>
                <w:lang w:bidi="ar"/>
              </w:rPr>
            </w:pPr>
            <w:r>
              <w:rPr>
                <w:rFonts w:hint="eastAsia" w:hAnsi="宋体" w:cs="宋体"/>
                <w:b/>
                <w:bCs/>
                <w:color w:val="000000"/>
                <w:szCs w:val="24"/>
                <w:lang w:bidi="ar"/>
              </w:rPr>
              <w:t>b.投标文件中须提供该协会在中国社会组织政务服务平台中“全国社会组织信用信息公示平台”查询结果截图。</w:t>
            </w:r>
          </w:p>
          <w:p>
            <w:pPr>
              <w:jc w:val="left"/>
            </w:pPr>
            <w:r>
              <w:rPr>
                <w:rFonts w:hint="eastAsia"/>
                <w:b/>
                <w:bCs/>
                <w:color w:val="000000"/>
                <w:szCs w:val="24"/>
                <w:lang w:bidi="ar"/>
              </w:rPr>
              <w:t>c.民政部公布的“离岸社团”、“山寨社团或中国社会组织政务服务平台中“全国社会组织信用信息公示平台”公示的“涉嫌非法社会组织”颁发的荣誉、奖励均无效”。</w:t>
            </w:r>
          </w:p>
        </w:tc>
        <w:tc>
          <w:tcPr>
            <w:tcW w:w="817" w:type="dxa"/>
          </w:tcPr>
          <w:p>
            <w:pPr>
              <w:spacing w:line="332" w:lineRule="exact"/>
              <w:jc w:val="left"/>
            </w:pPr>
          </w:p>
          <w:p>
            <w:pPr>
              <w:jc w:val="left"/>
              <w:rPr>
                <w:rFonts w:hAnsi="宋体" w:cs="宋体"/>
                <w:color w:val="000000"/>
                <w:spacing w:val="-2"/>
                <w:szCs w:val="24"/>
              </w:rPr>
            </w:pPr>
          </w:p>
          <w:p>
            <w:pPr>
              <w:jc w:val="left"/>
              <w:rPr>
                <w:rFonts w:hAnsi="宋体" w:cs="宋体"/>
                <w:color w:val="000000"/>
                <w:spacing w:val="-2"/>
                <w:szCs w:val="24"/>
              </w:rPr>
            </w:pPr>
          </w:p>
          <w:p>
            <w:pPr>
              <w:jc w:val="center"/>
            </w:pPr>
            <w:r>
              <w:rPr>
                <w:rFonts w:hAnsi="宋体" w:cs="宋体"/>
                <w:color w:val="000000"/>
                <w:spacing w:val="-2"/>
                <w:szCs w:val="24"/>
              </w:rPr>
              <w:t>0-</w:t>
            </w:r>
            <w:r>
              <w:rPr>
                <w:rFonts w:hint="eastAsia" w:hAnsi="宋体" w:cs="宋体"/>
                <w:color w:val="000000"/>
                <w:spacing w:val="-2"/>
                <w:szCs w:val="24"/>
                <w:lang w:val="en-US" w:eastAsia="zh-CN"/>
              </w:rPr>
              <w:t>6</w:t>
            </w:r>
            <w:r>
              <w:rPr>
                <w:rFonts w:hAnsi="宋体" w:cs="宋体"/>
                <w:spacing w:val="-60"/>
                <w:szCs w:val="24"/>
              </w:rPr>
              <w:t xml:space="preserve"> </w:t>
            </w:r>
            <w:r>
              <w:rPr>
                <w:rFonts w:hAnsi="宋体" w:cs="宋体"/>
                <w:color w:val="000000"/>
                <w:spacing w:val="-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tcPr>
          <w:p/>
        </w:tc>
        <w:tc>
          <w:tcPr>
            <w:tcW w:w="1403" w:type="dxa"/>
            <w:vAlign w:val="center"/>
          </w:tcPr>
          <w:p>
            <w:pPr>
              <w:jc w:val="center"/>
            </w:pPr>
            <w:r>
              <w:rPr>
                <w:rFonts w:hint="eastAsia"/>
                <w:b/>
                <w:bCs/>
                <w:szCs w:val="24"/>
              </w:rPr>
              <w:t>投标人业绩</w:t>
            </w:r>
          </w:p>
        </w:tc>
        <w:tc>
          <w:tcPr>
            <w:tcW w:w="5646" w:type="dxa"/>
            <w:vAlign w:val="center"/>
          </w:tcPr>
          <w:p>
            <w:pPr>
              <w:pStyle w:val="4"/>
              <w:rPr>
                <w:rFonts w:hAnsi="宋体"/>
                <w:szCs w:val="21"/>
              </w:rPr>
            </w:pPr>
            <w:r>
              <w:rPr>
                <w:rFonts w:hint="eastAsia" w:hAnsi="宋体"/>
                <w:szCs w:val="21"/>
              </w:rPr>
              <w:t>投标人自2020年1月1日以来，（以合同签订时间为准），投标人承担过城市更新、存量资产盘活等相关规划、研究或咨询类的项目，有1个得1分，有2个得3分，有3个及以上得5分；最高得5分。</w:t>
            </w:r>
          </w:p>
          <w:p>
            <w:pPr>
              <w:widowControl/>
            </w:pPr>
            <w:r>
              <w:rPr>
                <w:rFonts w:hAnsi="宋体" w:cs="宋体"/>
                <w:b/>
                <w:bCs/>
                <w:color w:val="000000"/>
                <w:szCs w:val="24"/>
                <w:lang w:bidi="ar"/>
              </w:rPr>
              <w:t xml:space="preserve">（1）本项满分 </w:t>
            </w:r>
            <w:r>
              <w:rPr>
                <w:rFonts w:hint="eastAsia" w:hAnsi="宋体" w:cs="宋体"/>
                <w:b/>
                <w:bCs/>
                <w:color w:val="000000"/>
                <w:szCs w:val="24"/>
                <w:lang w:bidi="ar"/>
              </w:rPr>
              <w:t>5</w:t>
            </w:r>
            <w:r>
              <w:rPr>
                <w:rFonts w:hAnsi="宋体" w:cs="宋体"/>
                <w:b/>
                <w:bCs/>
                <w:color w:val="000000"/>
                <w:szCs w:val="24"/>
                <w:lang w:bidi="ar"/>
              </w:rPr>
              <w:t>分</w:t>
            </w:r>
            <w:r>
              <w:rPr>
                <w:rFonts w:hint="eastAsia" w:hAnsi="宋体" w:cs="宋体"/>
                <w:b/>
                <w:bCs/>
                <w:color w:val="000000"/>
                <w:szCs w:val="24"/>
                <w:lang w:bidi="ar"/>
              </w:rPr>
              <w:t>。</w:t>
            </w:r>
          </w:p>
          <w:p>
            <w:pPr>
              <w:widowControl/>
            </w:pPr>
            <w:r>
              <w:rPr>
                <w:rFonts w:hAnsi="宋体" w:cs="宋体"/>
                <w:b/>
                <w:bCs/>
                <w:color w:val="000000"/>
                <w:szCs w:val="24"/>
                <w:lang w:bidi="ar"/>
              </w:rPr>
              <w:t>（2）投标文件中须提供业绩合同</w:t>
            </w:r>
            <w:r>
              <w:rPr>
                <w:rFonts w:hint="eastAsia" w:hAnsi="宋体" w:cs="宋体"/>
                <w:b/>
                <w:bCs/>
                <w:color w:val="000000"/>
                <w:szCs w:val="24"/>
                <w:lang w:bidi="ar"/>
              </w:rPr>
              <w:t>复印</w:t>
            </w:r>
            <w:r>
              <w:rPr>
                <w:rFonts w:hAnsi="宋体" w:cs="宋体"/>
                <w:b/>
                <w:bCs/>
                <w:color w:val="000000"/>
                <w:szCs w:val="24"/>
                <w:lang w:bidi="ar"/>
              </w:rPr>
              <w:t>件。</w:t>
            </w:r>
          </w:p>
          <w:p>
            <w:pPr>
              <w:widowControl/>
            </w:pPr>
            <w:r>
              <w:rPr>
                <w:rFonts w:hAnsi="宋体" w:cs="宋体"/>
                <w:b/>
                <w:bCs/>
                <w:color w:val="000000"/>
                <w:szCs w:val="24"/>
                <w:lang w:bidi="ar"/>
              </w:rPr>
              <w:t>（3）如投标人提供的业绩合同</w:t>
            </w:r>
            <w:r>
              <w:rPr>
                <w:rFonts w:hint="eastAsia" w:hAnsi="宋体" w:cs="宋体"/>
                <w:b/>
                <w:bCs/>
                <w:color w:val="000000"/>
                <w:szCs w:val="24"/>
                <w:lang w:bidi="ar"/>
              </w:rPr>
              <w:t>复印</w:t>
            </w:r>
            <w:r>
              <w:rPr>
                <w:rFonts w:hAnsi="宋体" w:cs="宋体"/>
                <w:b/>
                <w:bCs/>
                <w:color w:val="000000"/>
                <w:szCs w:val="24"/>
                <w:lang w:bidi="ar"/>
              </w:rPr>
              <w:t>件未能明确反映出磋商文件所要求的内容的（如合同总金额、服务内容等），应另附业主（或合同甲方）证明材料予以明确说明，须加盖项目业主单位或合同甲方公章，否则磋商小组不予认可。</w:t>
            </w:r>
          </w:p>
          <w:p>
            <w:r>
              <w:rPr>
                <w:rFonts w:hAnsi="宋体" w:cs="宋体"/>
                <w:b/>
                <w:bCs/>
                <w:color w:val="000000"/>
                <w:szCs w:val="24"/>
                <w:lang w:bidi="ar"/>
              </w:rPr>
              <w:t>（4）</w:t>
            </w:r>
            <w:r>
              <w:rPr>
                <w:rFonts w:hint="eastAsia" w:hAnsi="宋体" w:cs="宋体"/>
                <w:b/>
                <w:bCs/>
                <w:color w:val="000000"/>
                <w:szCs w:val="24"/>
                <w:lang w:val="en-US" w:eastAsia="zh-CN" w:bidi="ar"/>
              </w:rPr>
              <w:t>不同年度</w:t>
            </w:r>
            <w:r>
              <w:rPr>
                <w:rFonts w:hAnsi="宋体" w:cs="宋体"/>
                <w:b/>
                <w:bCs/>
                <w:color w:val="000000"/>
                <w:szCs w:val="24"/>
                <w:lang w:bidi="ar"/>
              </w:rPr>
              <w:t>同一业绩同时满足以上要求的，仅认可一次。</w:t>
            </w:r>
          </w:p>
        </w:tc>
        <w:tc>
          <w:tcPr>
            <w:tcW w:w="817" w:type="dxa"/>
          </w:tcPr>
          <w:p>
            <w:pPr>
              <w:rPr>
                <w:rFonts w:hAnsi="宋体" w:cs="宋体"/>
                <w:color w:val="000000"/>
                <w:spacing w:val="-2"/>
                <w:szCs w:val="24"/>
              </w:rPr>
            </w:pPr>
          </w:p>
          <w:p>
            <w:pPr>
              <w:rPr>
                <w:rFonts w:hAnsi="宋体" w:cs="宋体"/>
                <w:color w:val="000000"/>
                <w:spacing w:val="-2"/>
                <w:szCs w:val="24"/>
              </w:rPr>
            </w:pPr>
          </w:p>
          <w:p>
            <w:pPr>
              <w:rPr>
                <w:rFonts w:hAnsi="宋体" w:cs="宋体"/>
                <w:color w:val="000000"/>
                <w:spacing w:val="-2"/>
                <w:szCs w:val="24"/>
              </w:rPr>
            </w:pPr>
          </w:p>
          <w:p>
            <w:pPr>
              <w:jc w:val="center"/>
              <w:rPr>
                <w:rFonts w:hAnsi="宋体" w:cs="宋体"/>
                <w:color w:val="000000"/>
                <w:spacing w:val="-2"/>
                <w:szCs w:val="24"/>
              </w:rPr>
            </w:pPr>
          </w:p>
          <w:p>
            <w:pPr>
              <w:jc w:val="center"/>
            </w:pPr>
            <w:r>
              <w:rPr>
                <w:rFonts w:hAnsi="宋体" w:cs="宋体"/>
                <w:color w:val="000000"/>
                <w:spacing w:val="-2"/>
                <w:szCs w:val="24"/>
              </w:rPr>
              <w:t>0-5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tcPr>
          <w:p/>
        </w:tc>
        <w:tc>
          <w:tcPr>
            <w:tcW w:w="1403" w:type="dxa"/>
            <w:vAlign w:val="center"/>
          </w:tcPr>
          <w:p>
            <w:pPr>
              <w:jc w:val="center"/>
            </w:pPr>
            <w:r>
              <w:rPr>
                <w:rFonts w:hint="eastAsia"/>
                <w:b/>
                <w:bCs/>
                <w:szCs w:val="24"/>
              </w:rPr>
              <w:t>项目组成员</w:t>
            </w:r>
          </w:p>
        </w:tc>
        <w:tc>
          <w:tcPr>
            <w:tcW w:w="5646" w:type="dxa"/>
            <w:vAlign w:val="center"/>
          </w:tcPr>
          <w:p>
            <w:pPr>
              <w:pStyle w:val="4"/>
              <w:numPr>
                <w:ilvl w:val="0"/>
                <w:numId w:val="6"/>
              </w:numPr>
              <w:rPr>
                <w:rFonts w:hAnsi="宋体"/>
                <w:szCs w:val="21"/>
              </w:rPr>
            </w:pPr>
            <w:r>
              <w:rPr>
                <w:rFonts w:hint="eastAsia" w:hAnsi="宋体"/>
                <w:szCs w:val="21"/>
              </w:rPr>
              <w:t>自2020年1月1日以来，（以合同签订时间为准）项目负责人承担过至少1个规划、研究或咨询类</w:t>
            </w:r>
            <w:r>
              <w:rPr>
                <w:rFonts w:hint="eastAsia" w:hAnsi="宋体"/>
                <w:szCs w:val="21"/>
                <w:lang w:val="en-US" w:eastAsia="zh-CN"/>
              </w:rPr>
              <w:t>项目</w:t>
            </w:r>
            <w:r>
              <w:rPr>
                <w:rFonts w:hint="eastAsia" w:hAnsi="宋体"/>
                <w:szCs w:val="21"/>
              </w:rPr>
              <w:t>的每有1个得2分，最高的</w:t>
            </w:r>
            <w:r>
              <w:rPr>
                <w:rFonts w:hint="eastAsia" w:hAnsi="宋体"/>
                <w:szCs w:val="21"/>
                <w:lang w:val="en-US" w:eastAsia="zh-CN"/>
              </w:rPr>
              <w:t>4</w:t>
            </w:r>
            <w:r>
              <w:rPr>
                <w:rFonts w:hint="eastAsia" w:hAnsi="宋体"/>
                <w:szCs w:val="21"/>
              </w:rPr>
              <w:t>分。</w:t>
            </w:r>
          </w:p>
          <w:p>
            <w:pPr>
              <w:pStyle w:val="4"/>
              <w:numPr>
                <w:ilvl w:val="0"/>
                <w:numId w:val="6"/>
              </w:numPr>
              <w:rPr>
                <w:rFonts w:hAnsi="宋体"/>
                <w:szCs w:val="21"/>
              </w:rPr>
            </w:pPr>
            <w:r>
              <w:rPr>
                <w:rFonts w:hint="eastAsia" w:hAnsi="宋体"/>
                <w:szCs w:val="21"/>
              </w:rPr>
              <w:t>项目组成员有博士生学历的每有1位得2分；硕士学历每有1位得1分；最高得5分。</w:t>
            </w:r>
          </w:p>
          <w:p>
            <w:pPr>
              <w:tabs>
                <w:tab w:val="left" w:pos="348"/>
              </w:tabs>
              <w:autoSpaceDE w:val="0"/>
              <w:autoSpaceDN w:val="0"/>
              <w:rPr>
                <w:rFonts w:hAnsi="宋体" w:cs="宋体"/>
                <w:b/>
                <w:bCs/>
                <w:spacing w:val="-7"/>
                <w:szCs w:val="24"/>
                <w:lang w:bidi="zh-CN"/>
              </w:rPr>
            </w:pPr>
            <w:r>
              <w:rPr>
                <w:rFonts w:hint="eastAsia" w:hAnsi="宋体" w:cs="宋体"/>
                <w:b/>
                <w:bCs/>
                <w:spacing w:val="-7"/>
                <w:szCs w:val="24"/>
                <w:lang w:bidi="zh-CN"/>
              </w:rPr>
              <w:t>注：（1）上述拟配人员不得兼任，投标文件中提供人员证件（证书或奖状或获奖文件）的影印件〔学历证书需同时提供学信网截图、等级证书需同时提供技能人才评价证书全国联网查询截图）作为评审依据，上述材料须体现人员姓名、证书的类别、证书的发放单位，</w:t>
            </w:r>
            <w:r>
              <w:rPr>
                <w:rFonts w:hint="eastAsia" w:hAnsi="宋体" w:cs="宋体"/>
                <w:b/>
                <w:bCs/>
                <w:spacing w:val="-7"/>
                <w:szCs w:val="24"/>
                <w:lang w:val="zh-CN" w:bidi="zh-CN"/>
              </w:rPr>
              <w:t>如无法体现，须另附颁奖单位的相</w:t>
            </w:r>
            <w:r>
              <w:rPr>
                <w:rFonts w:hint="eastAsia" w:hAnsi="宋体" w:cs="宋体"/>
                <w:b/>
                <w:bCs/>
                <w:szCs w:val="24"/>
                <w:lang w:val="zh-CN" w:bidi="zh-CN"/>
              </w:rPr>
              <w:t>关证明材料扫描件，</w:t>
            </w:r>
            <w:r>
              <w:rPr>
                <w:rFonts w:hint="eastAsia" w:hAnsi="宋体" w:cs="宋体"/>
                <w:b/>
                <w:bCs/>
                <w:spacing w:val="-7"/>
                <w:szCs w:val="24"/>
                <w:lang w:bidi="zh-CN"/>
              </w:rPr>
              <w:t>未提供或提供不全的，不得分。</w:t>
            </w:r>
          </w:p>
          <w:p>
            <w:pPr>
              <w:pStyle w:val="8"/>
              <w:numPr>
                <w:ilvl w:val="0"/>
                <w:numId w:val="7"/>
              </w:numPr>
              <w:ind w:firstLine="0"/>
              <w:rPr>
                <w:rFonts w:hint="eastAsia" w:hAnsi="宋体" w:cs="宋体"/>
                <w:b/>
                <w:bCs/>
                <w:spacing w:val="-7"/>
                <w:szCs w:val="24"/>
                <w:lang w:bidi="zh-CN"/>
              </w:rPr>
            </w:pPr>
            <w:r>
              <w:rPr>
                <w:rFonts w:hint="eastAsia" w:hAnsi="宋体" w:cs="宋体"/>
                <w:b/>
                <w:bCs/>
                <w:spacing w:val="-7"/>
                <w:szCs w:val="24"/>
                <w:lang w:bidi="zh-CN"/>
              </w:rPr>
              <w:t>除以上证明材料外，投标文件中须提供供应商为上述人员缴纳的</w:t>
            </w:r>
            <w:r>
              <w:rPr>
                <w:rFonts w:hint="eastAsia" w:hAnsi="宋体" w:cs="宋体"/>
                <w:b/>
                <w:bCs/>
                <w:spacing w:val="-7"/>
                <w:szCs w:val="24"/>
                <w:lang w:val="en-US" w:bidi="zh-CN"/>
              </w:rPr>
              <w:t>近三个月任意一个月</w:t>
            </w:r>
            <w:r>
              <w:rPr>
                <w:rFonts w:hint="eastAsia" w:hAnsi="宋体" w:cs="宋体"/>
                <w:b/>
                <w:bCs/>
                <w:spacing w:val="-7"/>
                <w:szCs w:val="24"/>
                <w:lang w:bidi="zh-CN"/>
              </w:rPr>
              <w:t>的社保证明材料，社保证明材料具体要求详见投标供应商须知前附表。未提供社保证明不得分。</w:t>
            </w:r>
          </w:p>
          <w:p>
            <w:pPr>
              <w:pStyle w:val="8"/>
              <w:numPr>
                <w:ilvl w:val="0"/>
                <w:numId w:val="7"/>
              </w:numPr>
              <w:ind w:firstLine="0"/>
              <w:rPr>
                <w:rFonts w:hint="eastAsia" w:hAnsi="宋体" w:cs="宋体"/>
                <w:b/>
                <w:bCs/>
                <w:spacing w:val="-7"/>
                <w:szCs w:val="24"/>
                <w:lang w:bidi="zh-CN"/>
              </w:rPr>
            </w:pPr>
            <w:r>
              <w:rPr>
                <w:rFonts w:hAnsi="宋体" w:cs="宋体"/>
                <w:b/>
                <w:bCs/>
                <w:color w:val="000000"/>
                <w:szCs w:val="24"/>
                <w:lang w:bidi="ar"/>
              </w:rPr>
              <w:t>如投标人提供的业绩合同</w:t>
            </w:r>
            <w:r>
              <w:rPr>
                <w:rFonts w:hint="eastAsia" w:hAnsi="宋体" w:cs="宋体"/>
                <w:b/>
                <w:bCs/>
                <w:color w:val="000000"/>
                <w:szCs w:val="24"/>
                <w:lang w:bidi="ar"/>
              </w:rPr>
              <w:t>复印</w:t>
            </w:r>
            <w:r>
              <w:rPr>
                <w:rFonts w:hAnsi="宋体" w:cs="宋体"/>
                <w:b/>
                <w:bCs/>
                <w:color w:val="000000"/>
                <w:szCs w:val="24"/>
                <w:lang w:bidi="ar"/>
              </w:rPr>
              <w:t>件未能明确反映出磋商文件所要求的内容的（如服务内容等），应另附业主（或合同甲方）证明材料予以明确说明，须加盖项目业主单位或合同甲方公章，否则磋商小组不予认可。</w:t>
            </w:r>
          </w:p>
        </w:tc>
        <w:tc>
          <w:tcPr>
            <w:tcW w:w="817" w:type="dxa"/>
          </w:tcPr>
          <w:p>
            <w:pPr>
              <w:rPr>
                <w:rFonts w:hAnsi="宋体" w:cs="宋体"/>
                <w:color w:val="000000"/>
                <w:spacing w:val="-2"/>
                <w:szCs w:val="24"/>
              </w:rPr>
            </w:pPr>
          </w:p>
          <w:p>
            <w:pPr>
              <w:rPr>
                <w:rFonts w:hAnsi="宋体" w:cs="宋体"/>
                <w:color w:val="000000"/>
                <w:spacing w:val="-2"/>
                <w:szCs w:val="24"/>
              </w:rPr>
            </w:pPr>
          </w:p>
          <w:p>
            <w:pPr>
              <w:jc w:val="center"/>
              <w:rPr>
                <w:rFonts w:hAnsi="宋体" w:cs="宋体"/>
                <w:color w:val="000000"/>
                <w:spacing w:val="-2"/>
                <w:szCs w:val="24"/>
              </w:rPr>
            </w:pPr>
          </w:p>
          <w:p>
            <w:pPr>
              <w:jc w:val="center"/>
              <w:rPr>
                <w:rFonts w:hAnsi="宋体" w:cs="宋体"/>
                <w:color w:val="000000"/>
                <w:spacing w:val="-2"/>
                <w:szCs w:val="24"/>
              </w:rPr>
            </w:pPr>
          </w:p>
          <w:p>
            <w:pPr>
              <w:jc w:val="center"/>
            </w:pPr>
            <w:r>
              <w:rPr>
                <w:rFonts w:hAnsi="宋体" w:cs="宋体"/>
                <w:color w:val="000000"/>
                <w:spacing w:val="-2"/>
                <w:szCs w:val="24"/>
              </w:rPr>
              <w:t>0-</w:t>
            </w:r>
            <w:r>
              <w:rPr>
                <w:rFonts w:hint="eastAsia" w:hAnsi="宋体" w:cs="宋体"/>
                <w:color w:val="000000"/>
                <w:spacing w:val="-2"/>
                <w:szCs w:val="24"/>
                <w:lang w:val="en-US" w:eastAsia="zh-CN"/>
              </w:rPr>
              <w:t>9</w:t>
            </w:r>
            <w:r>
              <w:rPr>
                <w:rFonts w:hAnsi="宋体" w:cs="宋体"/>
                <w:color w:val="000000"/>
                <w:spacing w:val="-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tcPr>
          <w:p/>
        </w:tc>
        <w:tc>
          <w:tcPr>
            <w:tcW w:w="1403" w:type="dxa"/>
            <w:vAlign w:val="center"/>
          </w:tcPr>
          <w:p>
            <w:pPr>
              <w:widowControl/>
              <w:jc w:val="center"/>
              <w:textAlignment w:val="center"/>
              <w:rPr>
                <w:b/>
                <w:bCs/>
              </w:rPr>
            </w:pPr>
            <w:r>
              <w:rPr>
                <w:rFonts w:hint="eastAsia"/>
                <w:b/>
                <w:bCs/>
              </w:rPr>
              <w:t>项目的理解与认识</w:t>
            </w:r>
          </w:p>
          <w:p>
            <w:pPr>
              <w:jc w:val="center"/>
            </w:pPr>
          </w:p>
        </w:tc>
        <w:tc>
          <w:tcPr>
            <w:tcW w:w="5646" w:type="dxa"/>
            <w:vAlign w:val="center"/>
          </w:tcPr>
          <w:p>
            <w:pPr>
              <w:pStyle w:val="4"/>
              <w:rPr>
                <w:rFonts w:hAnsi="宋体"/>
                <w:szCs w:val="21"/>
              </w:rPr>
            </w:pPr>
            <w:r>
              <w:rPr>
                <w:rFonts w:hint="eastAsia" w:hAnsi="宋体"/>
                <w:szCs w:val="21"/>
              </w:rPr>
              <w:t>评委根据投标人对项目的理解与认识，进行评分：</w:t>
            </w:r>
          </w:p>
          <w:p>
            <w:pPr>
              <w:pStyle w:val="4"/>
              <w:rPr>
                <w:rFonts w:hAnsi="宋体"/>
                <w:szCs w:val="21"/>
              </w:rPr>
            </w:pPr>
            <w:r>
              <w:rPr>
                <w:rFonts w:hint="eastAsia" w:hAnsi="宋体"/>
                <w:szCs w:val="21"/>
              </w:rPr>
              <w:t>项目认识全面，对项目定位的重难点理解到位、准确，定位方案合理、切实可行的，得</w:t>
            </w:r>
            <w:r>
              <w:rPr>
                <w:rFonts w:hint="eastAsia" w:ascii="宋体" w:hAnsi="宋体"/>
                <w:szCs w:val="21"/>
              </w:rPr>
              <w:t>24分</w:t>
            </w:r>
            <w:r>
              <w:rPr>
                <w:rFonts w:hint="eastAsia" w:hAnsi="宋体"/>
                <w:szCs w:val="21"/>
              </w:rPr>
              <w:t>；</w:t>
            </w:r>
          </w:p>
          <w:p>
            <w:pPr>
              <w:pStyle w:val="4"/>
              <w:rPr>
                <w:rFonts w:hAnsi="宋体"/>
                <w:szCs w:val="21"/>
              </w:rPr>
            </w:pPr>
            <w:r>
              <w:rPr>
                <w:rFonts w:hint="eastAsia" w:hAnsi="宋体"/>
                <w:szCs w:val="21"/>
              </w:rPr>
              <w:t>项目认识较全面，理解较完整、准确，项目定位方案具有一定理解和参考价值的，得</w:t>
            </w:r>
            <w:r>
              <w:rPr>
                <w:rFonts w:hint="eastAsia" w:ascii="宋体" w:hAnsi="宋体"/>
                <w:szCs w:val="21"/>
              </w:rPr>
              <w:t>16</w:t>
            </w:r>
            <w:r>
              <w:rPr>
                <w:rFonts w:hint="eastAsia" w:hAnsi="宋体"/>
                <w:szCs w:val="21"/>
              </w:rPr>
              <w:t>分；</w:t>
            </w:r>
          </w:p>
          <w:p>
            <w:pPr>
              <w:pStyle w:val="4"/>
              <w:rPr>
                <w:rFonts w:hAnsi="宋体"/>
                <w:szCs w:val="21"/>
              </w:rPr>
            </w:pPr>
            <w:r>
              <w:rPr>
                <w:rFonts w:hint="eastAsia" w:hAnsi="宋体"/>
                <w:szCs w:val="21"/>
              </w:rPr>
              <w:t>项目认识基本全面，理解基本完整、准确的，得</w:t>
            </w:r>
            <w:r>
              <w:rPr>
                <w:rFonts w:hint="eastAsia" w:ascii="宋体" w:hAnsi="宋体"/>
                <w:szCs w:val="21"/>
              </w:rPr>
              <w:t>8</w:t>
            </w:r>
            <w:r>
              <w:rPr>
                <w:rFonts w:hint="eastAsia" w:hAnsi="宋体"/>
                <w:szCs w:val="21"/>
              </w:rPr>
              <w:t>分；</w:t>
            </w:r>
          </w:p>
          <w:p>
            <w:pPr>
              <w:widowControl/>
              <w:jc w:val="left"/>
            </w:pPr>
            <w:r>
              <w:rPr>
                <w:rFonts w:hint="eastAsia" w:hAnsi="宋体"/>
                <w:szCs w:val="21"/>
                <w:lang w:val="en-US" w:eastAsia="zh-CN"/>
              </w:rPr>
              <w:t>未提供</w:t>
            </w:r>
            <w:r>
              <w:rPr>
                <w:rFonts w:hint="eastAsia" w:hAnsi="宋体"/>
                <w:szCs w:val="21"/>
              </w:rPr>
              <w:t>不得分。</w:t>
            </w:r>
          </w:p>
        </w:tc>
        <w:tc>
          <w:tcPr>
            <w:tcW w:w="817" w:type="dxa"/>
          </w:tcPr>
          <w:p>
            <w:pPr>
              <w:rPr>
                <w:rFonts w:hAnsi="宋体" w:cs="宋体"/>
                <w:color w:val="000000"/>
                <w:spacing w:val="-2"/>
                <w:szCs w:val="24"/>
              </w:rPr>
            </w:pPr>
          </w:p>
          <w:p>
            <w:pPr>
              <w:rPr>
                <w:rFonts w:hAnsi="宋体" w:cs="宋体"/>
                <w:color w:val="000000"/>
                <w:spacing w:val="-2"/>
                <w:szCs w:val="24"/>
              </w:rPr>
            </w:pPr>
          </w:p>
          <w:p>
            <w:pPr>
              <w:jc w:val="center"/>
            </w:pPr>
            <w:r>
              <w:rPr>
                <w:rFonts w:hAnsi="宋体" w:cs="宋体"/>
                <w:color w:val="000000"/>
                <w:spacing w:val="-2"/>
                <w:szCs w:val="24"/>
              </w:rPr>
              <w:t>0-</w:t>
            </w:r>
            <w:r>
              <w:rPr>
                <w:rFonts w:hint="eastAsia" w:hAnsi="宋体" w:cs="宋体"/>
                <w:color w:val="000000"/>
                <w:spacing w:val="-2"/>
                <w:szCs w:val="24"/>
              </w:rPr>
              <w:t>24</w:t>
            </w:r>
            <w:r>
              <w:rPr>
                <w:rFonts w:hAnsi="宋体" w:cs="宋体"/>
                <w:spacing w:val="-60"/>
                <w:szCs w:val="24"/>
              </w:rPr>
              <w:t xml:space="preserve"> </w:t>
            </w:r>
            <w:r>
              <w:rPr>
                <w:rFonts w:hAnsi="宋体" w:cs="宋体"/>
                <w:color w:val="000000"/>
                <w:spacing w:val="-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tcPr>
          <w:p/>
        </w:tc>
        <w:tc>
          <w:tcPr>
            <w:tcW w:w="1403" w:type="dxa"/>
            <w:vAlign w:val="center"/>
          </w:tcPr>
          <w:p>
            <w:pPr>
              <w:widowControl/>
              <w:jc w:val="center"/>
              <w:textAlignment w:val="center"/>
              <w:rPr>
                <w:b/>
                <w:bCs/>
              </w:rPr>
            </w:pPr>
            <w:r>
              <w:rPr>
                <w:rFonts w:hint="eastAsia"/>
                <w:b/>
                <w:bCs/>
              </w:rPr>
              <w:t>总体工作思路、技术路线</w:t>
            </w:r>
          </w:p>
          <w:p>
            <w:pPr>
              <w:jc w:val="center"/>
            </w:pPr>
          </w:p>
        </w:tc>
        <w:tc>
          <w:tcPr>
            <w:tcW w:w="5646" w:type="dxa"/>
            <w:vAlign w:val="center"/>
          </w:tcPr>
          <w:p>
            <w:pPr>
              <w:pStyle w:val="4"/>
              <w:rPr>
                <w:rFonts w:hAnsi="宋体"/>
                <w:szCs w:val="21"/>
              </w:rPr>
            </w:pPr>
            <w:r>
              <w:rPr>
                <w:rFonts w:hint="eastAsia" w:hAnsi="宋体"/>
                <w:szCs w:val="21"/>
              </w:rPr>
              <w:t>（1）总体工作思路（8分）</w:t>
            </w:r>
          </w:p>
          <w:p>
            <w:pPr>
              <w:pStyle w:val="4"/>
              <w:rPr>
                <w:rFonts w:hAnsi="宋体"/>
                <w:szCs w:val="21"/>
              </w:rPr>
            </w:pPr>
            <w:r>
              <w:rPr>
                <w:rFonts w:hint="eastAsia" w:hAnsi="宋体"/>
                <w:szCs w:val="21"/>
              </w:rPr>
              <w:t>总体工作思路清晰严谨、能充分满足本项目要求的得8分；</w:t>
            </w:r>
          </w:p>
          <w:p>
            <w:pPr>
              <w:pStyle w:val="4"/>
              <w:rPr>
                <w:rFonts w:hAnsi="宋体"/>
                <w:szCs w:val="21"/>
              </w:rPr>
            </w:pPr>
            <w:r>
              <w:rPr>
                <w:rFonts w:hint="eastAsia" w:hAnsi="宋体"/>
                <w:szCs w:val="21"/>
              </w:rPr>
              <w:t>总体工作思路较清晰、较能满足本项目要求的得4分；</w:t>
            </w:r>
          </w:p>
          <w:p>
            <w:pPr>
              <w:pStyle w:val="4"/>
              <w:rPr>
                <w:rFonts w:hint="eastAsia" w:hAnsi="宋体"/>
                <w:szCs w:val="21"/>
              </w:rPr>
            </w:pPr>
            <w:r>
              <w:rPr>
                <w:rFonts w:hint="eastAsia" w:hAnsi="宋体"/>
                <w:szCs w:val="21"/>
              </w:rPr>
              <w:t>总体工作思路基本清晰、基本满足本项目要求的得1分；</w:t>
            </w:r>
          </w:p>
          <w:p>
            <w:pPr>
              <w:pStyle w:val="4"/>
              <w:rPr>
                <w:rFonts w:hAnsi="宋体"/>
                <w:szCs w:val="21"/>
              </w:rPr>
            </w:pPr>
            <w:r>
              <w:rPr>
                <w:rFonts w:hint="eastAsia" w:hAnsi="宋体"/>
                <w:szCs w:val="21"/>
                <w:lang w:val="en-US" w:eastAsia="zh-CN"/>
              </w:rPr>
              <w:t>未提供</w:t>
            </w:r>
            <w:r>
              <w:rPr>
                <w:rFonts w:hint="eastAsia" w:hAnsi="宋体"/>
                <w:szCs w:val="21"/>
              </w:rPr>
              <w:t>不得分。</w:t>
            </w:r>
          </w:p>
          <w:p>
            <w:pPr>
              <w:pStyle w:val="4"/>
              <w:rPr>
                <w:rFonts w:hAnsi="宋体"/>
                <w:szCs w:val="21"/>
              </w:rPr>
            </w:pPr>
            <w:r>
              <w:rPr>
                <w:rFonts w:hint="eastAsia" w:hAnsi="宋体"/>
                <w:szCs w:val="21"/>
              </w:rPr>
              <w:t>（2）技术路线（8分）</w:t>
            </w:r>
          </w:p>
          <w:p>
            <w:pPr>
              <w:pStyle w:val="4"/>
              <w:rPr>
                <w:rFonts w:hAnsi="宋体"/>
                <w:szCs w:val="21"/>
              </w:rPr>
            </w:pPr>
            <w:r>
              <w:rPr>
                <w:rFonts w:hint="eastAsia" w:hAnsi="宋体"/>
                <w:szCs w:val="21"/>
              </w:rPr>
              <w:t>技术路线技术手段、研究步骤科学合理，主要研究途径和关键性问题解决方法针对性、可行性强的，得8分；</w:t>
            </w:r>
          </w:p>
          <w:p>
            <w:pPr>
              <w:pStyle w:val="4"/>
              <w:rPr>
                <w:rFonts w:hAnsi="宋体"/>
                <w:szCs w:val="21"/>
              </w:rPr>
            </w:pPr>
            <w:r>
              <w:rPr>
                <w:rFonts w:hint="eastAsia" w:hAnsi="宋体"/>
                <w:szCs w:val="21"/>
              </w:rPr>
              <w:t>技术路线技术手段、研究步骤较合理，主要研究途径和关键性问题解决方法针对性、可行性较强的，得4分；</w:t>
            </w:r>
          </w:p>
          <w:p>
            <w:pPr>
              <w:pStyle w:val="4"/>
              <w:rPr>
                <w:rFonts w:hAnsi="宋体"/>
                <w:szCs w:val="21"/>
              </w:rPr>
            </w:pPr>
            <w:r>
              <w:rPr>
                <w:rFonts w:hint="eastAsia" w:hAnsi="宋体"/>
                <w:szCs w:val="21"/>
              </w:rPr>
              <w:t>技术路线技术手段、研究步骤基本合理，主要研究途径和关键性问题解决方法针对性、可行性一般的，得1分；</w:t>
            </w:r>
          </w:p>
          <w:p>
            <w:pPr>
              <w:widowControl/>
              <w:jc w:val="left"/>
            </w:pPr>
            <w:r>
              <w:rPr>
                <w:rFonts w:hint="eastAsia" w:hAnsi="宋体"/>
                <w:szCs w:val="21"/>
                <w:lang w:val="en-US" w:eastAsia="zh-CN"/>
              </w:rPr>
              <w:t>未提供</w:t>
            </w:r>
            <w:r>
              <w:rPr>
                <w:rFonts w:hint="eastAsia" w:hAnsi="宋体"/>
                <w:szCs w:val="21"/>
              </w:rPr>
              <w:t>不得分。</w:t>
            </w:r>
          </w:p>
        </w:tc>
        <w:tc>
          <w:tcPr>
            <w:tcW w:w="817" w:type="dxa"/>
          </w:tcPr>
          <w:p>
            <w:pPr>
              <w:jc w:val="center"/>
              <w:rPr>
                <w:rFonts w:hAnsi="宋体" w:cs="宋体"/>
                <w:color w:val="000000"/>
                <w:spacing w:val="-2"/>
                <w:szCs w:val="24"/>
              </w:rPr>
            </w:pPr>
          </w:p>
          <w:p>
            <w:pPr>
              <w:jc w:val="center"/>
              <w:rPr>
                <w:rFonts w:hAnsi="宋体" w:cs="宋体"/>
                <w:color w:val="000000"/>
                <w:spacing w:val="-2"/>
                <w:szCs w:val="24"/>
              </w:rPr>
            </w:pPr>
          </w:p>
          <w:p>
            <w:pPr>
              <w:jc w:val="center"/>
              <w:rPr>
                <w:rFonts w:hAnsi="宋体" w:cs="宋体"/>
                <w:color w:val="000000"/>
                <w:spacing w:val="-2"/>
                <w:szCs w:val="24"/>
              </w:rPr>
            </w:pPr>
          </w:p>
          <w:p>
            <w:pPr>
              <w:jc w:val="center"/>
              <w:rPr>
                <w:rFonts w:hAnsi="宋体" w:cs="宋体"/>
                <w:color w:val="000000"/>
                <w:spacing w:val="-2"/>
                <w:szCs w:val="24"/>
              </w:rPr>
            </w:pPr>
          </w:p>
          <w:p>
            <w:pPr>
              <w:jc w:val="center"/>
              <w:rPr>
                <w:rFonts w:hAnsi="宋体" w:cs="宋体"/>
                <w:color w:val="000000"/>
                <w:spacing w:val="-2"/>
                <w:szCs w:val="24"/>
              </w:rPr>
            </w:pPr>
          </w:p>
          <w:p>
            <w:pPr>
              <w:jc w:val="center"/>
              <w:rPr>
                <w:rFonts w:hAnsi="宋体" w:cs="宋体"/>
                <w:color w:val="000000"/>
                <w:spacing w:val="-2"/>
                <w:szCs w:val="24"/>
              </w:rPr>
            </w:pPr>
          </w:p>
          <w:p>
            <w:pPr>
              <w:jc w:val="center"/>
              <w:rPr>
                <w:rFonts w:hAnsi="宋体" w:cs="宋体"/>
                <w:color w:val="000000"/>
                <w:spacing w:val="-2"/>
                <w:szCs w:val="24"/>
              </w:rPr>
            </w:pPr>
          </w:p>
          <w:p>
            <w:pPr>
              <w:jc w:val="center"/>
            </w:pPr>
            <w:r>
              <w:rPr>
                <w:rFonts w:hAnsi="宋体" w:cs="宋体"/>
                <w:color w:val="000000"/>
                <w:spacing w:val="-2"/>
                <w:szCs w:val="24"/>
              </w:rPr>
              <w:t>0</w:t>
            </w:r>
            <w:r>
              <w:rPr>
                <w:rFonts w:hAnsi="宋体" w:cs="宋体"/>
                <w:color w:val="000000"/>
                <w:spacing w:val="-3"/>
                <w:szCs w:val="24"/>
              </w:rPr>
              <w:t>-</w:t>
            </w:r>
            <w:r>
              <w:rPr>
                <w:rFonts w:hint="eastAsia" w:hAnsi="宋体" w:cs="宋体"/>
                <w:color w:val="000000"/>
                <w:spacing w:val="-3"/>
                <w:szCs w:val="24"/>
              </w:rPr>
              <w:t>16</w:t>
            </w:r>
            <w:r>
              <w:rPr>
                <w:rFonts w:hAnsi="宋体" w:cs="宋体"/>
                <w:color w:val="000000"/>
                <w:spacing w:val="-5"/>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tcPr>
          <w:p/>
        </w:tc>
        <w:tc>
          <w:tcPr>
            <w:tcW w:w="1403" w:type="dxa"/>
            <w:vAlign w:val="center"/>
          </w:tcPr>
          <w:p>
            <w:pPr>
              <w:widowControl/>
              <w:jc w:val="center"/>
              <w:textAlignment w:val="center"/>
              <w:rPr>
                <w:b/>
                <w:bCs/>
              </w:rPr>
            </w:pPr>
            <w:r>
              <w:rPr>
                <w:rFonts w:hint="eastAsia"/>
                <w:b/>
                <w:bCs/>
              </w:rPr>
              <w:t>质量、进度保障措施</w:t>
            </w:r>
          </w:p>
          <w:p>
            <w:pPr>
              <w:jc w:val="center"/>
              <w:rPr>
                <w:rFonts w:hAnsi="宋体" w:cs="宋体"/>
                <w:color w:val="000000"/>
                <w:spacing w:val="-3"/>
                <w:szCs w:val="24"/>
              </w:rPr>
            </w:pPr>
          </w:p>
        </w:tc>
        <w:tc>
          <w:tcPr>
            <w:tcW w:w="5646" w:type="dxa"/>
            <w:vAlign w:val="center"/>
          </w:tcPr>
          <w:p>
            <w:pPr>
              <w:pStyle w:val="4"/>
              <w:rPr>
                <w:rFonts w:hAnsi="宋体"/>
                <w:szCs w:val="21"/>
              </w:rPr>
            </w:pPr>
            <w:r>
              <w:rPr>
                <w:rFonts w:hint="eastAsia" w:hAnsi="宋体"/>
                <w:szCs w:val="21"/>
              </w:rPr>
              <w:t>（1）质量保障措施（5分）</w:t>
            </w:r>
          </w:p>
          <w:p>
            <w:pPr>
              <w:pStyle w:val="4"/>
              <w:rPr>
                <w:rFonts w:hAnsi="宋体"/>
                <w:szCs w:val="21"/>
              </w:rPr>
            </w:pPr>
            <w:r>
              <w:rPr>
                <w:rFonts w:hint="eastAsia" w:hAnsi="宋体"/>
                <w:szCs w:val="21"/>
              </w:rPr>
              <w:t>质量保障措施完整，合理可行，得5分；</w:t>
            </w:r>
          </w:p>
          <w:p>
            <w:pPr>
              <w:pStyle w:val="4"/>
              <w:rPr>
                <w:rFonts w:hAnsi="宋体"/>
                <w:szCs w:val="21"/>
              </w:rPr>
            </w:pPr>
            <w:r>
              <w:rPr>
                <w:rFonts w:hint="eastAsia" w:hAnsi="宋体"/>
                <w:szCs w:val="21"/>
              </w:rPr>
              <w:t>质量保障措施较完整，较合理可行，得3分；</w:t>
            </w:r>
          </w:p>
          <w:p>
            <w:pPr>
              <w:pStyle w:val="4"/>
              <w:rPr>
                <w:rFonts w:hAnsi="宋体"/>
                <w:szCs w:val="21"/>
              </w:rPr>
            </w:pPr>
            <w:r>
              <w:rPr>
                <w:rFonts w:hint="eastAsia" w:hAnsi="宋体"/>
                <w:szCs w:val="21"/>
              </w:rPr>
              <w:t>质量保障措施基本完整，基本合理可行，得1分；</w:t>
            </w:r>
          </w:p>
          <w:p>
            <w:pPr>
              <w:pStyle w:val="4"/>
              <w:rPr>
                <w:rFonts w:hAnsi="宋体"/>
                <w:szCs w:val="21"/>
              </w:rPr>
            </w:pPr>
            <w:r>
              <w:rPr>
                <w:rFonts w:hint="eastAsia" w:hAnsi="宋体"/>
                <w:szCs w:val="21"/>
                <w:lang w:val="en-US" w:eastAsia="zh-CN"/>
              </w:rPr>
              <w:t>未提供</w:t>
            </w:r>
            <w:r>
              <w:rPr>
                <w:rFonts w:hint="eastAsia" w:hAnsi="宋体"/>
                <w:szCs w:val="21"/>
              </w:rPr>
              <w:t>不得分。</w:t>
            </w:r>
          </w:p>
          <w:p>
            <w:pPr>
              <w:pStyle w:val="4"/>
              <w:rPr>
                <w:rFonts w:hAnsi="宋体"/>
                <w:szCs w:val="21"/>
              </w:rPr>
            </w:pPr>
            <w:r>
              <w:rPr>
                <w:rFonts w:hint="eastAsia" w:hAnsi="宋体"/>
                <w:szCs w:val="21"/>
              </w:rPr>
              <w:t>（2）进度保障措施（5分）</w:t>
            </w:r>
          </w:p>
          <w:p>
            <w:pPr>
              <w:pStyle w:val="4"/>
              <w:rPr>
                <w:rFonts w:hAnsi="宋体"/>
                <w:szCs w:val="21"/>
              </w:rPr>
            </w:pPr>
            <w:r>
              <w:rPr>
                <w:rFonts w:hint="eastAsia" w:hAnsi="宋体"/>
                <w:szCs w:val="21"/>
              </w:rPr>
              <w:t>进度保障措施科学合理、切实可行，得5分；</w:t>
            </w:r>
          </w:p>
          <w:p>
            <w:pPr>
              <w:pStyle w:val="4"/>
              <w:rPr>
                <w:rFonts w:hAnsi="宋体"/>
                <w:szCs w:val="21"/>
              </w:rPr>
            </w:pPr>
            <w:r>
              <w:rPr>
                <w:rFonts w:hint="eastAsia" w:hAnsi="宋体"/>
                <w:szCs w:val="21"/>
              </w:rPr>
              <w:t>进度保障措施较合理、可行，得3分；</w:t>
            </w:r>
          </w:p>
          <w:p>
            <w:pPr>
              <w:widowControl/>
              <w:spacing w:line="360" w:lineRule="auto"/>
              <w:rPr>
                <w:rFonts w:hAnsi="宋体"/>
                <w:szCs w:val="21"/>
              </w:rPr>
            </w:pPr>
            <w:r>
              <w:rPr>
                <w:rFonts w:hint="eastAsia" w:hAnsi="宋体"/>
                <w:szCs w:val="21"/>
              </w:rPr>
              <w:t>进度保障措施基本合理，可行性一般，得1分；</w:t>
            </w:r>
          </w:p>
          <w:p>
            <w:pPr>
              <w:widowControl/>
              <w:jc w:val="left"/>
              <w:rPr>
                <w:rFonts w:hAnsi="宋体" w:cs="宋体"/>
                <w:spacing w:val="-3"/>
                <w:szCs w:val="24"/>
              </w:rPr>
            </w:pPr>
            <w:r>
              <w:rPr>
                <w:rFonts w:hint="eastAsia" w:hAnsi="宋体"/>
                <w:szCs w:val="21"/>
                <w:lang w:val="en-US" w:eastAsia="zh-CN"/>
              </w:rPr>
              <w:t>未提供</w:t>
            </w:r>
            <w:r>
              <w:rPr>
                <w:rFonts w:hint="eastAsia" w:hAnsi="宋体"/>
                <w:szCs w:val="21"/>
              </w:rPr>
              <w:t>不得分。</w:t>
            </w:r>
          </w:p>
        </w:tc>
        <w:tc>
          <w:tcPr>
            <w:tcW w:w="817" w:type="dxa"/>
          </w:tcPr>
          <w:p>
            <w:pPr>
              <w:rPr>
                <w:rFonts w:hAnsi="宋体" w:cs="宋体"/>
                <w:spacing w:val="-2"/>
                <w:szCs w:val="24"/>
              </w:rPr>
            </w:pPr>
          </w:p>
          <w:p>
            <w:pPr>
              <w:rPr>
                <w:rFonts w:hAnsi="宋体" w:cs="宋体"/>
                <w:spacing w:val="-2"/>
                <w:szCs w:val="24"/>
              </w:rPr>
            </w:pPr>
          </w:p>
          <w:p>
            <w:pPr>
              <w:rPr>
                <w:rFonts w:hAnsi="宋体" w:cs="宋体"/>
                <w:spacing w:val="-2"/>
                <w:szCs w:val="24"/>
              </w:rPr>
            </w:pPr>
          </w:p>
          <w:p>
            <w:pPr>
              <w:rPr>
                <w:rFonts w:hAnsi="宋体" w:cs="宋体"/>
                <w:spacing w:val="-2"/>
                <w:szCs w:val="24"/>
              </w:rPr>
            </w:pPr>
          </w:p>
          <w:p>
            <w:pPr>
              <w:jc w:val="center"/>
              <w:rPr>
                <w:rFonts w:hAnsi="宋体" w:cs="宋体"/>
                <w:spacing w:val="-2"/>
                <w:szCs w:val="24"/>
              </w:rPr>
            </w:pPr>
            <w:r>
              <w:rPr>
                <w:rFonts w:hAnsi="宋体" w:cs="宋体"/>
                <w:spacing w:val="-2"/>
                <w:szCs w:val="24"/>
              </w:rPr>
              <w:t>0</w:t>
            </w:r>
            <w:r>
              <w:rPr>
                <w:rFonts w:hAnsi="宋体" w:cs="宋体"/>
                <w:spacing w:val="-3"/>
                <w:szCs w:val="24"/>
              </w:rPr>
              <w:t>-</w:t>
            </w:r>
            <w:r>
              <w:rPr>
                <w:rFonts w:hAnsi="宋体" w:cs="宋体"/>
                <w:spacing w:val="-2"/>
                <w:szCs w:val="24"/>
              </w:rPr>
              <w:t>10</w:t>
            </w:r>
            <w:r>
              <w:rPr>
                <w:rFonts w:hAnsi="宋体" w:cs="宋体"/>
                <w:spacing w:val="-5"/>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tcPr>
          <w:p/>
        </w:tc>
        <w:tc>
          <w:tcPr>
            <w:tcW w:w="1403" w:type="dxa"/>
            <w:vAlign w:val="center"/>
          </w:tcPr>
          <w:p>
            <w:pPr>
              <w:widowControl/>
              <w:jc w:val="center"/>
              <w:textAlignment w:val="center"/>
              <w:rPr>
                <w:b/>
                <w:bCs/>
              </w:rPr>
            </w:pPr>
            <w:r>
              <w:rPr>
                <w:rFonts w:hint="eastAsia"/>
                <w:b/>
                <w:bCs/>
              </w:rPr>
              <w:t xml:space="preserve"> 后续服务的安排与承诺</w:t>
            </w:r>
          </w:p>
          <w:p>
            <w:pPr>
              <w:jc w:val="center"/>
              <w:rPr>
                <w:rFonts w:hAnsi="宋体" w:cs="宋体"/>
                <w:color w:val="000000"/>
                <w:spacing w:val="-3"/>
                <w:szCs w:val="24"/>
              </w:rPr>
            </w:pPr>
          </w:p>
        </w:tc>
        <w:tc>
          <w:tcPr>
            <w:tcW w:w="5646" w:type="dxa"/>
            <w:vAlign w:val="center"/>
          </w:tcPr>
          <w:p>
            <w:pPr>
              <w:pStyle w:val="4"/>
              <w:rPr>
                <w:rFonts w:hAnsi="宋体"/>
                <w:szCs w:val="21"/>
              </w:rPr>
            </w:pPr>
            <w:r>
              <w:rPr>
                <w:rFonts w:hint="eastAsia" w:hAnsi="宋体"/>
                <w:szCs w:val="21"/>
              </w:rPr>
              <w:t>（1）后续服务安排（5分）</w:t>
            </w:r>
          </w:p>
          <w:p>
            <w:pPr>
              <w:pStyle w:val="4"/>
              <w:rPr>
                <w:rFonts w:hAnsi="宋体"/>
                <w:szCs w:val="21"/>
              </w:rPr>
            </w:pPr>
            <w:r>
              <w:rPr>
                <w:rFonts w:hint="eastAsia" w:hAnsi="宋体"/>
                <w:szCs w:val="21"/>
              </w:rPr>
              <w:t>后续服务安排科学合理、针对性强、可操作性好，得5分；</w:t>
            </w:r>
          </w:p>
          <w:p>
            <w:pPr>
              <w:pStyle w:val="4"/>
              <w:rPr>
                <w:rFonts w:hAnsi="宋体"/>
                <w:szCs w:val="21"/>
              </w:rPr>
            </w:pPr>
            <w:r>
              <w:rPr>
                <w:rFonts w:hint="eastAsia" w:hAnsi="宋体"/>
                <w:szCs w:val="21"/>
              </w:rPr>
              <w:t>后续服务安排总体合理、针对性较强、可操作性较好，得3分；</w:t>
            </w:r>
          </w:p>
          <w:p>
            <w:pPr>
              <w:pStyle w:val="4"/>
              <w:rPr>
                <w:rFonts w:hAnsi="宋体"/>
                <w:szCs w:val="21"/>
              </w:rPr>
            </w:pPr>
            <w:r>
              <w:rPr>
                <w:rFonts w:hint="eastAsia" w:hAnsi="宋体"/>
                <w:szCs w:val="21"/>
              </w:rPr>
              <w:t>后续服务安排尚合理、针对性一般、可操作性一般，得1分；</w:t>
            </w:r>
          </w:p>
          <w:p>
            <w:pPr>
              <w:pStyle w:val="4"/>
              <w:rPr>
                <w:rFonts w:hAnsi="宋体"/>
                <w:szCs w:val="21"/>
              </w:rPr>
            </w:pPr>
            <w:r>
              <w:rPr>
                <w:rFonts w:hint="eastAsia" w:hAnsi="宋体"/>
                <w:szCs w:val="21"/>
                <w:lang w:val="en-US" w:eastAsia="zh-CN"/>
              </w:rPr>
              <w:t>未提供</w:t>
            </w:r>
            <w:r>
              <w:rPr>
                <w:rFonts w:hint="eastAsia" w:hAnsi="宋体"/>
                <w:szCs w:val="21"/>
              </w:rPr>
              <w:t>不得分。</w:t>
            </w:r>
          </w:p>
          <w:p>
            <w:pPr>
              <w:pStyle w:val="4"/>
              <w:rPr>
                <w:rFonts w:hAnsi="宋体"/>
                <w:szCs w:val="21"/>
              </w:rPr>
            </w:pPr>
            <w:r>
              <w:rPr>
                <w:rFonts w:hint="eastAsia" w:hAnsi="宋体"/>
                <w:szCs w:val="21"/>
              </w:rPr>
              <w:t>（2）后续服务承诺（5分）</w:t>
            </w:r>
          </w:p>
          <w:p>
            <w:pPr>
              <w:pStyle w:val="4"/>
              <w:rPr>
                <w:rFonts w:hAnsi="宋体"/>
                <w:szCs w:val="21"/>
              </w:rPr>
            </w:pPr>
            <w:r>
              <w:rPr>
                <w:rFonts w:hint="eastAsia" w:hAnsi="宋体"/>
                <w:szCs w:val="21"/>
              </w:rPr>
              <w:t>服务承诺内容具体全面，切实可行，响应及时，充分满足项目需求，得5分；</w:t>
            </w:r>
          </w:p>
          <w:p>
            <w:pPr>
              <w:pStyle w:val="4"/>
              <w:rPr>
                <w:rFonts w:hAnsi="宋体"/>
                <w:szCs w:val="21"/>
              </w:rPr>
            </w:pPr>
            <w:r>
              <w:rPr>
                <w:rFonts w:hint="eastAsia" w:hAnsi="宋体"/>
                <w:szCs w:val="21"/>
              </w:rPr>
              <w:t>服务承诺较全面，较可行，响应较及时，较满足项目需求，得3分；</w:t>
            </w:r>
          </w:p>
          <w:p>
            <w:pPr>
              <w:pStyle w:val="4"/>
              <w:rPr>
                <w:rFonts w:hAnsi="宋体"/>
                <w:szCs w:val="21"/>
              </w:rPr>
            </w:pPr>
            <w:r>
              <w:rPr>
                <w:rFonts w:hint="eastAsia" w:hAnsi="宋体"/>
                <w:szCs w:val="21"/>
              </w:rPr>
              <w:t>服务承诺基本全面，可行性一般，响应不及时，基本满足项目需求，得1分；</w:t>
            </w:r>
          </w:p>
          <w:p>
            <w:pPr>
              <w:widowControl/>
              <w:jc w:val="left"/>
              <w:rPr>
                <w:rFonts w:hAnsi="宋体" w:cs="宋体"/>
                <w:spacing w:val="17"/>
                <w:szCs w:val="24"/>
              </w:rPr>
            </w:pPr>
            <w:r>
              <w:rPr>
                <w:rFonts w:hint="eastAsia" w:hAnsi="宋体"/>
                <w:szCs w:val="21"/>
                <w:lang w:val="en-US" w:eastAsia="zh-CN"/>
              </w:rPr>
              <w:t>未提供</w:t>
            </w:r>
            <w:r>
              <w:rPr>
                <w:rFonts w:hint="eastAsia" w:hAnsi="宋体"/>
                <w:szCs w:val="21"/>
              </w:rPr>
              <w:t>不得分。</w:t>
            </w:r>
            <w:bookmarkStart w:id="100" w:name="_GoBack"/>
            <w:bookmarkEnd w:id="100"/>
          </w:p>
        </w:tc>
        <w:tc>
          <w:tcPr>
            <w:tcW w:w="817" w:type="dxa"/>
          </w:tcPr>
          <w:p>
            <w:pPr>
              <w:rPr>
                <w:rFonts w:hAnsi="宋体" w:cs="宋体"/>
                <w:color w:val="000000"/>
                <w:spacing w:val="-2"/>
                <w:szCs w:val="24"/>
              </w:rPr>
            </w:pPr>
          </w:p>
          <w:p>
            <w:pPr>
              <w:rPr>
                <w:rFonts w:hAnsi="宋体" w:cs="宋体"/>
                <w:color w:val="000000"/>
                <w:spacing w:val="-2"/>
                <w:szCs w:val="24"/>
              </w:rPr>
            </w:pPr>
          </w:p>
          <w:p>
            <w:pPr>
              <w:rPr>
                <w:rFonts w:hAnsi="宋体" w:cs="宋体"/>
                <w:color w:val="000000"/>
                <w:spacing w:val="-2"/>
                <w:szCs w:val="24"/>
              </w:rPr>
            </w:pPr>
          </w:p>
          <w:p>
            <w:pPr>
              <w:rPr>
                <w:rFonts w:hAnsi="宋体" w:cs="宋体"/>
                <w:color w:val="000000"/>
                <w:spacing w:val="-2"/>
                <w:szCs w:val="24"/>
              </w:rPr>
            </w:pPr>
          </w:p>
          <w:p>
            <w:pPr>
              <w:jc w:val="center"/>
              <w:rPr>
                <w:rFonts w:hAnsi="宋体" w:cs="宋体"/>
                <w:color w:val="000000"/>
                <w:spacing w:val="-2"/>
                <w:szCs w:val="24"/>
              </w:rPr>
            </w:pPr>
            <w:r>
              <w:rPr>
                <w:rFonts w:hAnsi="宋体" w:cs="宋体"/>
                <w:color w:val="000000"/>
                <w:spacing w:val="-2"/>
                <w:szCs w:val="24"/>
              </w:rPr>
              <w:t>0</w:t>
            </w:r>
            <w:r>
              <w:rPr>
                <w:rFonts w:hAnsi="宋体" w:cs="宋体"/>
                <w:color w:val="000000"/>
                <w:spacing w:val="-3"/>
                <w:szCs w:val="24"/>
              </w:rPr>
              <w:t>-</w:t>
            </w:r>
            <w:r>
              <w:rPr>
                <w:rFonts w:hAnsi="宋体" w:cs="宋体"/>
                <w:color w:val="000000"/>
                <w:spacing w:val="-2"/>
                <w:szCs w:val="24"/>
              </w:rPr>
              <w:t>10</w:t>
            </w:r>
            <w:r>
              <w:rPr>
                <w:rFonts w:hAnsi="宋体" w:cs="宋体"/>
                <w:spacing w:val="-60"/>
                <w:szCs w:val="24"/>
              </w:rPr>
              <w:t xml:space="preserve"> </w:t>
            </w:r>
            <w:r>
              <w:rPr>
                <w:rFonts w:hAnsi="宋体" w:cs="宋体"/>
                <w:color w:val="000000"/>
                <w:spacing w:val="-5"/>
                <w:szCs w:val="24"/>
              </w:rPr>
              <w:t>分</w:t>
            </w:r>
          </w:p>
        </w:tc>
      </w:tr>
    </w:tbl>
    <w:p>
      <w:pPr>
        <w:pStyle w:val="10"/>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21"/>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vAlign w:val="center"/>
          </w:tcPr>
          <w:p>
            <w:pPr>
              <w:spacing w:line="0" w:lineRule="atLeast"/>
              <w:rPr>
                <w:rFonts w:hAnsi="宋体"/>
                <w:b/>
                <w:sz w:val="22"/>
                <w:szCs w:val="22"/>
              </w:rPr>
            </w:pPr>
            <w:r>
              <w:rPr>
                <w:rFonts w:hint="eastAsia" w:hAnsi="宋体"/>
                <w:b/>
                <w:sz w:val="22"/>
                <w:szCs w:val="22"/>
              </w:rPr>
              <w:t>价格分</w:t>
            </w:r>
          </w:p>
        </w:tc>
        <w:tc>
          <w:tcPr>
            <w:tcW w:w="4169" w:type="pct"/>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w:t>
            </w:r>
            <w:r>
              <w:rPr>
                <w:rFonts w:hint="eastAsia" w:hAnsi="宋体" w:cs="宋体"/>
                <w:u w:val="single"/>
                <w:lang w:val="en-US" w:eastAsia="zh-CN"/>
              </w:rPr>
              <w:t>20</w:t>
            </w:r>
            <w:r>
              <w:rPr>
                <w:rFonts w:hint="eastAsia" w:hAnsi="宋体" w:cs="宋体"/>
                <w:u w:val="single"/>
              </w:rPr>
              <w:t xml:space="preserve">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20 </w:t>
            </w:r>
            <w:r>
              <w:rPr>
                <w:rFonts w:hint="eastAsia" w:hAnsi="宋体" w:cs="宋体"/>
              </w:rPr>
              <w:t>％×100</w:t>
            </w:r>
          </w:p>
        </w:tc>
        <w:tc>
          <w:tcPr>
            <w:tcW w:w="488" w:type="pct"/>
            <w:vAlign w:val="center"/>
          </w:tcPr>
          <w:p>
            <w:pPr>
              <w:widowControl/>
              <w:spacing w:line="0" w:lineRule="atLeast"/>
              <w:jc w:val="center"/>
              <w:rPr>
                <w:rFonts w:hAnsi="宋体" w:cs="宋体"/>
                <w:b/>
                <w:sz w:val="22"/>
                <w:szCs w:val="22"/>
              </w:rPr>
            </w:pPr>
            <w:r>
              <w:rPr>
                <w:rFonts w:hint="eastAsia" w:hAnsi="宋体" w:cs="宋体"/>
                <w:szCs w:val="24"/>
              </w:rPr>
              <w:t>0-20分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8"/>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8"/>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7"/>
    <w:p>
      <w:pPr>
        <w:adjustRightInd w:val="0"/>
        <w:snapToGrid w:val="0"/>
        <w:spacing w:line="360" w:lineRule="auto"/>
        <w:ind w:right="-10" w:firstLine="420" w:firstLineChars="175"/>
        <w:rPr>
          <w:rFonts w:hAnsi="宋体"/>
          <w:bCs/>
        </w:rPr>
      </w:pPr>
      <w:bookmarkStart w:id="48"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9" w:name="_Hlk514735510"/>
      <w:r>
        <w:rPr>
          <w:rFonts w:hint="eastAsia" w:hAnsi="宋体"/>
          <w:bCs/>
        </w:rPr>
        <w:t>则采取磋商小组抽签方式确定其前后次序。</w:t>
      </w:r>
      <w:bookmarkEnd w:id="49"/>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pStyle w:val="2"/>
        <w:rPr>
          <w:rFonts w:hAnsi="Times New Roman" w:eastAsia="宋体"/>
          <w:bCs/>
        </w:rPr>
      </w:pPr>
      <w:bookmarkStart w:id="50" w:name="_Toc7528"/>
      <w:r>
        <w:rPr>
          <w:rFonts w:hint="eastAsia" w:hAnsi="Times New Roman" w:eastAsia="宋体"/>
          <w:bCs/>
        </w:rPr>
        <w:t>第五章 合同条款及格式</w:t>
      </w:r>
      <w:bookmarkEnd w:id="48"/>
      <w:r>
        <w:rPr>
          <w:rFonts w:hint="eastAsia" w:hAnsi="Times New Roman" w:eastAsia="宋体"/>
          <w:bCs/>
        </w:rPr>
        <w:t>（另行提供）</w:t>
      </w:r>
      <w:bookmarkEnd w:id="50"/>
    </w:p>
    <w:p>
      <w:pPr>
        <w:jc w:val="center"/>
        <w:rPr>
          <w:rFonts w:ascii="黑体" w:hAnsi="黑体" w:eastAsia="黑体"/>
          <w:bCs/>
          <w:kern w:val="44"/>
          <w:sz w:val="32"/>
          <w:szCs w:val="44"/>
        </w:rPr>
      </w:pPr>
    </w:p>
    <w:p>
      <w:pPr>
        <w:pStyle w:val="30"/>
        <w:ind w:left="240" w:firstLine="482"/>
        <w:rPr>
          <w:b/>
          <w:color w:val="000000"/>
        </w:rPr>
      </w:pPr>
    </w:p>
    <w:p>
      <w:pPr>
        <w:pStyle w:val="30"/>
        <w:ind w:left="240" w:firstLine="482"/>
        <w:rPr>
          <w:b/>
          <w:color w:val="000000"/>
        </w:rPr>
      </w:pPr>
    </w:p>
    <w:p>
      <w:pPr>
        <w:pStyle w:val="30"/>
        <w:ind w:left="240" w:firstLine="482"/>
        <w:rPr>
          <w:b/>
          <w:color w:val="000000"/>
        </w:rPr>
      </w:pPr>
    </w:p>
    <w:p>
      <w:pPr>
        <w:rPr>
          <w:rFonts w:hint="eastAsia" w:hAnsi="Times New Roman" w:eastAsia="宋体"/>
          <w:bCs/>
        </w:rPr>
      </w:pPr>
      <w:bookmarkStart w:id="51" w:name="_Toc11159"/>
      <w:r>
        <w:rPr>
          <w:rFonts w:hint="eastAsia" w:hAnsi="Times New Roman" w:eastAsia="宋体"/>
          <w:bCs/>
        </w:rPr>
        <w:br w:type="page"/>
      </w:r>
    </w:p>
    <w:p>
      <w:pPr>
        <w:pStyle w:val="2"/>
        <w:rPr>
          <w:rFonts w:hAnsi="Times New Roman" w:eastAsia="宋体"/>
          <w:bCs/>
        </w:rPr>
      </w:pPr>
      <w:r>
        <w:rPr>
          <w:rFonts w:hint="eastAsia" w:hAnsi="Times New Roman" w:eastAsia="宋体"/>
          <w:bCs/>
        </w:rPr>
        <w:t>第六章 响应文件格式</w:t>
      </w:r>
      <w:bookmarkEnd w:id="51"/>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5"/>
        <w:jc w:val="center"/>
        <w:rPr>
          <w:rFonts w:ascii="黑体" w:hAnsi="黑体" w:eastAsia="黑体"/>
          <w:b w:val="0"/>
          <w:sz w:val="44"/>
          <w:szCs w:val="44"/>
        </w:rPr>
      </w:pPr>
      <w:bookmarkStart w:id="52" w:name="_Toc29256"/>
      <w:bookmarkStart w:id="53" w:name="_Toc26391"/>
      <w:r>
        <w:rPr>
          <w:rFonts w:hint="eastAsia" w:ascii="黑体" w:hAnsi="黑体" w:eastAsia="黑体"/>
          <w:b w:val="0"/>
          <w:sz w:val="44"/>
          <w:szCs w:val="44"/>
        </w:rPr>
        <w:t>响应文件</w:t>
      </w:r>
      <w:bookmarkEnd w:id="52"/>
    </w:p>
    <w:bookmarkEnd w:id="53"/>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5"/>
        <w:spacing w:before="120" w:after="120" w:line="400" w:lineRule="exact"/>
        <w:jc w:val="center"/>
        <w:rPr>
          <w:rFonts w:ascii="黑体" w:eastAsia="黑体"/>
          <w:sz w:val="28"/>
          <w:szCs w:val="28"/>
        </w:rPr>
      </w:pPr>
      <w:r>
        <w:rPr>
          <w:rFonts w:ascii="黑体" w:eastAsia="黑体"/>
          <w:sz w:val="28"/>
          <w:szCs w:val="28"/>
        </w:rPr>
        <w:br w:type="page"/>
      </w:r>
      <w:bookmarkStart w:id="54" w:name="_Toc28394"/>
      <w:r>
        <w:rPr>
          <w:rFonts w:hint="eastAsia" w:ascii="黑体" w:eastAsia="黑体"/>
          <w:sz w:val="28"/>
          <w:szCs w:val="28"/>
        </w:rPr>
        <w:t>目  录</w:t>
      </w:r>
      <w:bookmarkEnd w:id="54"/>
    </w:p>
    <w:p/>
    <w:p/>
    <w:p>
      <w:pPr>
        <w:spacing w:line="600" w:lineRule="exact"/>
        <w:rPr>
          <w:rFonts w:hAnsi="宋体"/>
          <w:szCs w:val="21"/>
        </w:rPr>
      </w:pPr>
      <w:bookmarkStart w:id="55"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0"/>
        <w:ind w:firstLine="480"/>
        <w:rPr>
          <w:rFonts w:hAnsi="Times New Roman"/>
          <w:bCs w:val="0"/>
          <w:sz w:val="24"/>
        </w:rPr>
      </w:pPr>
    </w:p>
    <w:p/>
    <w:p>
      <w:pPr>
        <w:jc w:val="center"/>
        <w:outlineLvl w:val="1"/>
      </w:pPr>
      <w:bookmarkStart w:id="56" w:name="_Toc22933"/>
      <w:r>
        <w:rPr>
          <w:rFonts w:hint="eastAsia"/>
        </w:rPr>
        <w:t>一、开标一览表</w:t>
      </w:r>
      <w:bookmarkEnd w:id="56"/>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spacing w:line="360" w:lineRule="auto"/>
              <w:ind w:right="-670"/>
            </w:pPr>
          </w:p>
          <w:p>
            <w:pPr>
              <w:spacing w:line="360" w:lineRule="auto"/>
              <w:ind w:right="-670"/>
            </w:pPr>
            <w:r>
              <w:rPr>
                <w:rFonts w:hint="eastAsia"/>
              </w:rPr>
              <w:t>大写：</w:t>
            </w:r>
            <w:r>
              <w:rPr>
                <w:rFonts w:hint="eastAsia"/>
                <w:u w:val="single"/>
              </w:rPr>
              <w:t xml:space="preserve">           </w:t>
            </w:r>
            <w:r>
              <w:rPr>
                <w:rFonts w:hint="eastAsia"/>
              </w:rPr>
              <w:t>圆</w:t>
            </w:r>
          </w:p>
          <w:p>
            <w:pPr>
              <w:spacing w:line="360" w:lineRule="auto"/>
              <w:ind w:right="-670"/>
            </w:pPr>
            <w:r>
              <w:rPr>
                <w:rFonts w:hint="eastAsia"/>
              </w:rPr>
              <w:t>小写：</w:t>
            </w:r>
            <w:r>
              <w:rPr>
                <w:rFonts w:hint="eastAsia"/>
                <w:u w:val="single"/>
              </w:rPr>
              <w:t xml:space="preserve">           </w:t>
            </w:r>
            <w:r>
              <w:rPr>
                <w:rFonts w:hint="eastAsia"/>
              </w:rPr>
              <w:t xml:space="preserve">元 </w:t>
            </w: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ind w:right="-670"/>
              <w:rPr>
                <w:rFonts w:hAnsi="宋体"/>
                <w:bCs/>
                <w:szCs w:val="28"/>
              </w:rPr>
            </w:pPr>
            <w:r>
              <w:rPr>
                <w:rFonts w:hint="eastAsia" w:hAnsi="宋体"/>
                <w:b/>
                <w:szCs w:val="28"/>
              </w:rPr>
              <w:t>单个项目报价</w:t>
            </w:r>
            <w:r>
              <w:rPr>
                <w:rFonts w:hint="eastAsia"/>
                <w:b/>
              </w:rPr>
              <w:t>：</w:t>
            </w:r>
            <w:r>
              <w:rPr>
                <w:rFonts w:hint="eastAsia"/>
                <w:b/>
                <w:u w:val="single"/>
              </w:rPr>
              <w:t xml:space="preserve">           </w:t>
            </w:r>
            <w:r>
              <w:rPr>
                <w:rFonts w:hint="eastAsia"/>
                <w:b/>
              </w:rPr>
              <w:t xml:space="preserve">元 </w:t>
            </w: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Ansi="宋体"/>
          <w:bCs/>
        </w:rPr>
      </w:pPr>
      <w:r>
        <w:rPr>
          <w:rFonts w:hint="eastAsia" w:hAnsi="宋体"/>
          <w:bCs/>
        </w:rPr>
        <w:t>日期：</w:t>
      </w:r>
    </w:p>
    <w:p>
      <w:pPr>
        <w:spacing w:before="100" w:beforeAutospacing="1" w:after="100" w:afterAutospacing="1" w:line="360" w:lineRule="auto"/>
        <w:rPr>
          <w:rFonts w:hAnsi="宋体"/>
          <w:bCs/>
        </w:rPr>
      </w:pPr>
      <w:r>
        <w:rPr>
          <w:rFonts w:hint="eastAsia" w:hAnsi="宋体"/>
          <w:bCs/>
        </w:rPr>
        <w:t xml:space="preserve">                                 </w:t>
      </w:r>
    </w:p>
    <w:p>
      <w:pPr>
        <w:jc w:val="left"/>
      </w:pPr>
      <w:r>
        <w:rPr>
          <w:rFonts w:hint="eastAsia" w:hAnsi="宋体"/>
          <w:bCs/>
        </w:rPr>
        <w:t>备注：1、表中最终投标报价即为优惠后报价，并作为评审及定标依据。任何有选择或有条件的最终投标报价，或者对应某一报价项填写了多个报价的，均为无效报价（磋商文件另有规定的，除外）。</w:t>
      </w:r>
    </w:p>
    <w:p>
      <w:pPr>
        <w:ind w:firstLine="720" w:firstLineChars="300"/>
      </w:pPr>
      <w:r>
        <w:rPr>
          <w:rFonts w:hint="eastAsia"/>
        </w:rPr>
        <w:t>2、投标报价表大写金额与小写金额不一致的，以大写金额为准（有明显错误的除外）</w:t>
      </w:r>
    </w:p>
    <w:p>
      <w:pPr>
        <w:jc w:val="center"/>
      </w:pPr>
    </w:p>
    <w:p>
      <w:pPr>
        <w:jc w:val="center"/>
      </w:pPr>
    </w:p>
    <w:p>
      <w:pPr>
        <w:jc w:val="center"/>
        <w:outlineLvl w:val="1"/>
      </w:pPr>
      <w:bookmarkStart w:id="57" w:name="_Toc16336"/>
      <w:r>
        <w:rPr>
          <w:rFonts w:hint="eastAsia"/>
        </w:rPr>
        <w:t>二、投标人基本情况表</w:t>
      </w:r>
      <w:bookmarkEnd w:id="57"/>
    </w:p>
    <w:tbl>
      <w:tblPr>
        <w:tblStyle w:val="21"/>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5"/>
    <w:p>
      <w:pPr>
        <w:pStyle w:val="6"/>
        <w:jc w:val="center"/>
        <w:rPr>
          <w:rFonts w:ascii="宋体" w:hAnsi="Times New Roman" w:eastAsia="宋体"/>
          <w:bCs w:val="0"/>
        </w:rPr>
      </w:pPr>
      <w:bookmarkStart w:id="58" w:name="_Toc665"/>
      <w:bookmarkStart w:id="59" w:name="_Toc421917001"/>
      <w:bookmarkStart w:id="60" w:name="_Toc460660223"/>
      <w:bookmarkStart w:id="61" w:name="_Toc390411621"/>
      <w:bookmarkStart w:id="62" w:name="_Toc460227108"/>
      <w:bookmarkStart w:id="63" w:name="_Toc224103496"/>
      <w:r>
        <w:rPr>
          <w:rFonts w:hint="eastAsia" w:ascii="宋体" w:hAnsi="Times New Roman" w:eastAsia="宋体"/>
          <w:bCs w:val="0"/>
        </w:rPr>
        <w:t>三、投标函</w:t>
      </w:r>
      <w:bookmarkEnd w:id="58"/>
    </w:p>
    <w:p>
      <w:pPr>
        <w:spacing w:line="360" w:lineRule="auto"/>
        <w:ind w:firstLine="480" w:firstLineChars="200"/>
        <w:rPr>
          <w:rFonts w:hAnsi="宋体"/>
          <w:dstrike/>
        </w:rPr>
      </w:pPr>
      <w:r>
        <w:rPr>
          <w:rFonts w:hint="eastAsia" w:hAnsi="宋体"/>
        </w:rPr>
        <w:t xml:space="preserve"> 根据贵方“ </w:t>
      </w:r>
      <w:r>
        <w:rPr>
          <w:rFonts w:hint="eastAsia" w:hAnsi="宋体"/>
          <w:u w:val="single"/>
        </w:rPr>
        <w:t xml:space="preserve">      （项目名称）        </w:t>
      </w:r>
      <w:r>
        <w:rPr>
          <w:rFonts w:hint="eastAsia" w:hAnsi="宋体"/>
        </w:rPr>
        <w:t>”的招标邀请书或磋商公告，我方提交规定形式的响应文件。</w:t>
      </w:r>
    </w:p>
    <w:p>
      <w:pPr>
        <w:spacing w:line="360" w:lineRule="auto"/>
        <w:ind w:firstLine="630"/>
        <w:rPr>
          <w:rFonts w:hAnsi="宋体"/>
        </w:rPr>
      </w:pPr>
      <w:r>
        <w:rPr>
          <w:rFonts w:hint="eastAsia" w:hAnsi="宋体"/>
        </w:rPr>
        <w:t>据此函，我方兹宣布同意如下：</w:t>
      </w:r>
    </w:p>
    <w:p>
      <w:pPr>
        <w:spacing w:line="360" w:lineRule="auto"/>
        <w:ind w:firstLine="628" w:firstLineChars="262"/>
        <w:rPr>
          <w:rFonts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r>
        <w:rPr>
          <w:rFonts w:hint="eastAsia"/>
        </w:rPr>
        <w:t>四、法定代表人身份证明或授权委托书</w:t>
      </w:r>
      <w:bookmarkEnd w:id="59"/>
      <w:bookmarkEnd w:id="60"/>
      <w:bookmarkEnd w:id="61"/>
      <w:bookmarkEnd w:id="62"/>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1"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b0pwj1wAAAAoBAAAPAAAAAAAAAAEAIAAAACIAAABkcnMvZG93&#10;bnJldi54bWxQSwECFAAUAAAACACHTuJAWgGUYjoCAACJ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2"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ZrtpkDoCAACJ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bookmarkEnd w:id="63"/>
    <w:p>
      <w:pPr>
        <w:jc w:val="center"/>
        <w:rPr>
          <w:sz w:val="32"/>
          <w:szCs w:val="32"/>
        </w:rPr>
      </w:pPr>
      <w:bookmarkStart w:id="64" w:name="_Toc535241227"/>
      <w:bookmarkStart w:id="65" w:name="_Toc535241084"/>
      <w:bookmarkStart w:id="66" w:name="_Toc535241130"/>
      <w:bookmarkStart w:id="67" w:name="_Toc224103497"/>
      <w:bookmarkStart w:id="68" w:name="_Toc224103498"/>
      <w:r>
        <w:rPr>
          <w:sz w:val="32"/>
          <w:szCs w:val="32"/>
        </w:rPr>
        <w:br w:type="page"/>
      </w:r>
      <w:r>
        <w:rPr>
          <w:rFonts w:hint="eastAsia" w:ascii="黑体" w:hAnsi="黑体" w:eastAsia="黑体"/>
          <w:bCs/>
        </w:rPr>
        <w:t>授权委托书</w:t>
      </w:r>
      <w:bookmarkEnd w:id="64"/>
      <w:bookmarkEnd w:id="65"/>
      <w:bookmarkEnd w:id="66"/>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u w:val="single"/>
        </w:rPr>
        <w:t>（项目名称</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35"/>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fj15tcAAAAKAQAADwAAAAAAAAABACAAAAAiAAAAZHJzL2Rvd25y&#10;ZXYueG1sUEsBAhQAFAAAAAgAh07iQB2p02I4AgAAiAQAAA4AAAAAAAAAAQAgAAAAJg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0GeW51QAAAAgBAAAPAAAAAAAAAAEAIAAAACIAAABkcnMvZG93bnJl&#10;di54bWxQSwECFAAUAAAACACHTuJAIXB1YTkCAACIBAAADgAAAAAAAAABACAAAAAkAQAAZHJzL2Uy&#10;b0RvYy54bWxQSwUGAAAAAAYABgBZAQAAzw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35"/>
          <w:rFonts w:hint="default"/>
          <w:b/>
          <w:bCs/>
          <w:color w:val="auto"/>
        </w:rPr>
        <w:t>法定代表人身份证明</w:t>
      </w:r>
    </w:p>
    <w:p>
      <w:pPr>
        <w:pStyle w:val="20"/>
        <w:ind w:firstLine="442"/>
        <w:rPr>
          <w:rStyle w:val="35"/>
          <w:rFonts w:hint="default"/>
          <w:b/>
          <w:color w:val="auto"/>
        </w:rPr>
      </w:pPr>
    </w:p>
    <w:p>
      <w:pPr>
        <w:pStyle w:val="20"/>
        <w:ind w:firstLine="442"/>
        <w:rPr>
          <w:rStyle w:val="35"/>
          <w:rFonts w:hint="default"/>
          <w:b/>
          <w:color w:val="auto"/>
        </w:rPr>
      </w:pPr>
    </w:p>
    <w:p>
      <w:pPr>
        <w:pStyle w:val="20"/>
        <w:ind w:firstLine="442"/>
        <w:rPr>
          <w:rStyle w:val="35"/>
          <w:rFonts w:hint="default"/>
          <w:b/>
          <w:color w:val="auto"/>
        </w:rPr>
      </w:pPr>
    </w:p>
    <w:p>
      <w:pPr>
        <w:pStyle w:val="20"/>
        <w:ind w:firstLine="442"/>
        <w:rPr>
          <w:rStyle w:val="35"/>
          <w:rFonts w:hint="default"/>
          <w:b/>
          <w:color w:val="auto"/>
        </w:rPr>
      </w:pPr>
    </w:p>
    <w:p>
      <w:pPr>
        <w:pStyle w:val="20"/>
        <w:ind w:firstLine="442"/>
        <w:rPr>
          <w:rStyle w:val="35"/>
          <w:rFonts w:hint="default"/>
          <w:b/>
          <w:color w:val="auto"/>
        </w:rPr>
      </w:pPr>
    </w:p>
    <w:p>
      <w:pPr>
        <w:rPr>
          <w:rStyle w:val="35"/>
          <w:rFonts w:hint="default"/>
          <w:b/>
          <w:bCs/>
          <w:color w:val="auto"/>
        </w:rPr>
      </w:pPr>
    </w:p>
    <w:p>
      <w:pPr>
        <w:pStyle w:val="20"/>
        <w:ind w:firstLine="442"/>
        <w:rPr>
          <w:rStyle w:val="35"/>
          <w:rFonts w:hint="default"/>
          <w:b/>
          <w:color w:val="auto"/>
        </w:rPr>
      </w:pPr>
    </w:p>
    <w:p/>
    <w:p>
      <w:pPr>
        <w:snapToGrid w:val="0"/>
        <w:spacing w:line="360" w:lineRule="auto"/>
        <w:ind w:firstLine="482" w:firstLineChars="200"/>
        <w:rPr>
          <w:rFonts w:hAnsi="宋体"/>
          <w:b/>
          <w:bCs/>
          <w:szCs w:val="21"/>
        </w:rPr>
      </w:pPr>
      <w:r>
        <w:rPr>
          <w:rFonts w:hint="eastAsia" w:hAnsi="宋体"/>
          <w:b/>
          <w:bCs/>
          <w:szCs w:val="21"/>
        </w:rPr>
        <w:t xml:space="preserve">    代理人身份证扫描件</w:t>
      </w:r>
    </w:p>
    <w:p>
      <w:pPr>
        <w:pStyle w:val="20"/>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S/24cDkCAACI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3"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fAZ8k1QAAAAgBAAAPAAAAAAAAAAEAIAAAACIAAABkcnMvZG93bnJl&#10;di54bWxQSwECFAAUAAAACACHTuJATGe8lzkCAACI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20"/>
        <w:ind w:firstLine="562"/>
        <w:rPr>
          <w:b/>
          <w:szCs w:val="21"/>
        </w:rPr>
      </w:pPr>
    </w:p>
    <w:p>
      <w:pPr>
        <w:rPr>
          <w:rFonts w:hAnsi="宋体"/>
          <w:b/>
          <w:bCs/>
          <w:szCs w:val="21"/>
        </w:rPr>
      </w:pPr>
    </w:p>
    <w:p>
      <w:pPr>
        <w:pStyle w:val="20"/>
        <w:ind w:firstLine="562"/>
        <w:rPr>
          <w:b/>
          <w:szCs w:val="21"/>
        </w:rPr>
      </w:pPr>
    </w:p>
    <w:p>
      <w:pPr>
        <w:pStyle w:val="20"/>
        <w:ind w:firstLine="562"/>
        <w:rPr>
          <w:b/>
          <w:szCs w:val="21"/>
        </w:rPr>
      </w:pPr>
    </w:p>
    <w:p>
      <w:pPr>
        <w:spacing w:line="500" w:lineRule="exact"/>
        <w:rPr>
          <w:rFonts w:hAnsi="宋体"/>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autoSpaceDE w:val="0"/>
        <w:autoSpaceDN w:val="0"/>
        <w:adjustRightInd w:val="0"/>
        <w:snapToGrid w:val="0"/>
        <w:spacing w:line="360" w:lineRule="auto"/>
        <w:jc w:val="left"/>
        <w:rPr>
          <w:rFonts w:hAnsi="宋体"/>
          <w:szCs w:val="22"/>
        </w:rPr>
      </w:pP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7"/>
      <w:bookmarkEnd w:id="68"/>
      <w:bookmarkStart w:id="69" w:name="_Toc460660224"/>
      <w:bookmarkStart w:id="70" w:name="_Toc421917002"/>
      <w:bookmarkStart w:id="71" w:name="_Toc224103499"/>
      <w:bookmarkStart w:id="72" w:name="_Toc460227109"/>
      <w:bookmarkStart w:id="73" w:name="_Toc390411622"/>
    </w:p>
    <w:bookmarkEnd w:id="69"/>
    <w:bookmarkEnd w:id="70"/>
    <w:bookmarkEnd w:id="71"/>
    <w:bookmarkEnd w:id="72"/>
    <w:bookmarkEnd w:id="73"/>
    <w:p>
      <w:pPr>
        <w:spacing w:before="240" w:beforeLines="100" w:line="510" w:lineRule="exact"/>
        <w:jc w:val="center"/>
        <w:outlineLvl w:val="1"/>
      </w:pPr>
      <w:bookmarkStart w:id="74" w:name="_Toc24894"/>
      <w:bookmarkStart w:id="75" w:name="_Toc535241135"/>
      <w:bookmarkStart w:id="76" w:name="_Toc535241232"/>
      <w:bookmarkStart w:id="77" w:name="_Toc535241089"/>
      <w:bookmarkStart w:id="78" w:name="_Toc460660225"/>
      <w:bookmarkStart w:id="79" w:name="_Toc460227110"/>
      <w:bookmarkStart w:id="80" w:name="_Toc535241132"/>
      <w:bookmarkStart w:id="81" w:name="_Toc535241086"/>
      <w:bookmarkStart w:id="82" w:name="_Toc535241229"/>
      <w:r>
        <w:rPr>
          <w:rFonts w:hint="eastAsia"/>
        </w:rPr>
        <w:t>五、投标人信用承诺</w:t>
      </w:r>
      <w:bookmarkEnd w:id="74"/>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83" w:name="_Toc31234"/>
      <w:r>
        <w:rPr>
          <w:rFonts w:hint="eastAsia"/>
        </w:rPr>
        <w:t>六、投标人业绩</w:t>
      </w:r>
      <w:bookmarkEnd w:id="83"/>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21"/>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vAlign w:val="center"/>
          </w:tcPr>
          <w:p>
            <w:pPr>
              <w:spacing w:line="360" w:lineRule="auto"/>
              <w:jc w:val="center"/>
              <w:rPr>
                <w:rFonts w:hAnsi="宋体"/>
                <w:sz w:val="22"/>
                <w:szCs w:val="22"/>
              </w:rPr>
            </w:pPr>
            <w:r>
              <w:rPr>
                <w:rFonts w:hint="eastAsia" w:hAnsi="宋体"/>
                <w:sz w:val="22"/>
                <w:szCs w:val="22"/>
              </w:rPr>
              <w:t>序号</w:t>
            </w:r>
          </w:p>
        </w:tc>
        <w:tc>
          <w:tcPr>
            <w:tcW w:w="626" w:type="pct"/>
            <w:vAlign w:val="center"/>
          </w:tcPr>
          <w:p>
            <w:pPr>
              <w:spacing w:line="360" w:lineRule="auto"/>
              <w:jc w:val="center"/>
              <w:rPr>
                <w:rFonts w:hAnsi="宋体"/>
                <w:sz w:val="22"/>
                <w:szCs w:val="22"/>
              </w:rPr>
            </w:pPr>
            <w:r>
              <w:rPr>
                <w:rFonts w:hint="eastAsia" w:hAnsi="宋体"/>
                <w:sz w:val="22"/>
                <w:szCs w:val="22"/>
              </w:rPr>
              <w:t>项目名称</w:t>
            </w:r>
          </w:p>
        </w:tc>
        <w:tc>
          <w:tcPr>
            <w:tcW w:w="639" w:type="pct"/>
            <w:vAlign w:val="center"/>
          </w:tcPr>
          <w:p>
            <w:pPr>
              <w:widowControl/>
              <w:jc w:val="center"/>
              <w:rPr>
                <w:rFonts w:hAnsi="宋体"/>
                <w:sz w:val="22"/>
                <w:szCs w:val="22"/>
              </w:rPr>
            </w:pPr>
            <w:r>
              <w:rPr>
                <w:rFonts w:hint="eastAsia" w:hAnsi="宋体"/>
                <w:sz w:val="22"/>
                <w:szCs w:val="22"/>
              </w:rPr>
              <w:t>合同签订时间</w:t>
            </w:r>
          </w:p>
        </w:tc>
        <w:tc>
          <w:tcPr>
            <w:tcW w:w="717" w:type="pct"/>
            <w:vAlign w:val="center"/>
          </w:tcPr>
          <w:p>
            <w:pPr>
              <w:spacing w:line="360" w:lineRule="auto"/>
              <w:jc w:val="center"/>
              <w:rPr>
                <w:rFonts w:hAnsi="宋体"/>
                <w:sz w:val="22"/>
                <w:szCs w:val="22"/>
              </w:rPr>
            </w:pPr>
            <w:r>
              <w:rPr>
                <w:rFonts w:hint="eastAsia" w:hAnsi="宋体"/>
                <w:sz w:val="22"/>
                <w:szCs w:val="22"/>
              </w:rPr>
              <w:t>合同金额</w:t>
            </w:r>
          </w:p>
        </w:tc>
        <w:tc>
          <w:tcPr>
            <w:tcW w:w="682" w:type="pct"/>
            <w:vAlign w:val="center"/>
          </w:tcPr>
          <w:p>
            <w:pPr>
              <w:spacing w:line="360" w:lineRule="auto"/>
              <w:jc w:val="center"/>
              <w:rPr>
                <w:rFonts w:hAnsi="宋体"/>
                <w:sz w:val="22"/>
                <w:szCs w:val="22"/>
              </w:rPr>
            </w:pPr>
            <w:r>
              <w:rPr>
                <w:rFonts w:hint="eastAsia" w:hAnsi="宋体"/>
                <w:sz w:val="22"/>
                <w:szCs w:val="22"/>
              </w:rPr>
              <w:t>合同内容</w:t>
            </w:r>
          </w:p>
        </w:tc>
        <w:tc>
          <w:tcPr>
            <w:tcW w:w="589" w:type="pct"/>
            <w:vAlign w:val="center"/>
          </w:tcPr>
          <w:p>
            <w:pPr>
              <w:spacing w:line="360" w:lineRule="auto"/>
              <w:jc w:val="center"/>
              <w:rPr>
                <w:rFonts w:hAnsi="宋体"/>
                <w:sz w:val="22"/>
                <w:szCs w:val="22"/>
              </w:rPr>
            </w:pPr>
            <w:r>
              <w:rPr>
                <w:rFonts w:hint="eastAsia" w:hAnsi="宋体"/>
                <w:sz w:val="22"/>
                <w:szCs w:val="22"/>
              </w:rPr>
              <w:t>项目所在地</w:t>
            </w:r>
          </w:p>
        </w:tc>
        <w:tc>
          <w:tcPr>
            <w:tcW w:w="1037" w:type="pct"/>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vAlign w:val="center"/>
          </w:tcPr>
          <w:p>
            <w:pPr>
              <w:spacing w:line="360" w:lineRule="auto"/>
              <w:jc w:val="center"/>
              <w:rPr>
                <w:rFonts w:hAnsi="宋体"/>
                <w:sz w:val="22"/>
                <w:szCs w:val="22"/>
              </w:rPr>
            </w:pPr>
            <w:r>
              <w:rPr>
                <w:rFonts w:hint="eastAsia" w:hAnsi="宋体"/>
                <w:sz w:val="22"/>
                <w:szCs w:val="22"/>
              </w:rPr>
              <w:t>1</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360" w:lineRule="auto"/>
              <w:jc w:val="center"/>
              <w:rPr>
                <w:rFonts w:hAnsi="宋体"/>
                <w:sz w:val="22"/>
                <w:szCs w:val="22"/>
              </w:rPr>
            </w:pPr>
            <w:r>
              <w:rPr>
                <w:rFonts w:hAnsi="宋体"/>
                <w:sz w:val="22"/>
                <w:szCs w:val="22"/>
              </w:rPr>
              <w:t>……</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84" w:name="_Toc21642"/>
      <w:r>
        <w:rPr>
          <w:rFonts w:hint="eastAsia"/>
        </w:rPr>
        <w:t>七、奖项、荣誉（如有）</w:t>
      </w:r>
      <w:bookmarkEnd w:id="84"/>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85" w:name="_Toc19879"/>
      <w:r>
        <w:rPr>
          <w:rFonts w:hint="eastAsia"/>
        </w:rPr>
        <w:t>八、项目管理机构</w:t>
      </w:r>
      <w:bookmarkEnd w:id="85"/>
    </w:p>
    <w:bookmarkEnd w:id="75"/>
    <w:bookmarkEnd w:id="76"/>
    <w:bookmarkEnd w:id="77"/>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21"/>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86" w:name="_Toc384308390"/>
      <w:bookmarkStart w:id="87" w:name="_Toc300835232"/>
      <w:bookmarkStart w:id="88" w:name="_Toc152045805"/>
      <w:bookmarkStart w:id="89" w:name="_Toc359594249"/>
      <w:bookmarkStart w:id="90" w:name="_Toc482188668"/>
      <w:bookmarkStart w:id="91" w:name="_Toc385943079"/>
      <w:bookmarkStart w:id="92" w:name="_Toc370676440"/>
      <w:bookmarkStart w:id="93" w:name="_Toc144974873"/>
      <w:bookmarkStart w:id="94" w:name="_Toc179632825"/>
      <w:bookmarkStart w:id="95" w:name="_Toc152042594"/>
      <w:bookmarkStart w:id="96" w:name="_Toc492300541"/>
      <w:bookmarkStart w:id="97" w:name="_Toc391394125"/>
      <w:r>
        <w:rPr>
          <w:rFonts w:hint="eastAsia" w:hAnsi="宋体"/>
          <w:b/>
          <w:bCs/>
          <w:szCs w:val="24"/>
        </w:rPr>
        <w:t>（二）主要人员简历表</w:t>
      </w:r>
      <w:bookmarkEnd w:id="86"/>
      <w:bookmarkEnd w:id="87"/>
      <w:bookmarkEnd w:id="88"/>
      <w:bookmarkEnd w:id="89"/>
      <w:bookmarkEnd w:id="90"/>
      <w:bookmarkEnd w:id="91"/>
      <w:bookmarkEnd w:id="92"/>
      <w:bookmarkEnd w:id="93"/>
      <w:bookmarkEnd w:id="94"/>
      <w:bookmarkEnd w:id="95"/>
      <w:bookmarkEnd w:id="96"/>
      <w:bookmarkEnd w:id="97"/>
    </w:p>
    <w:p>
      <w:pPr>
        <w:topLinePunct/>
        <w:spacing w:line="440" w:lineRule="exact"/>
        <w:jc w:val="center"/>
        <w:rPr>
          <w:sz w:val="23"/>
        </w:rPr>
      </w:pPr>
      <w:r>
        <w:rPr>
          <w:rFonts w:hint="eastAsia"/>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78"/>
    <w:bookmarkEnd w:id="79"/>
    <w:bookmarkEnd w:id="80"/>
    <w:bookmarkEnd w:id="81"/>
    <w:bookmarkEnd w:id="82"/>
    <w:p>
      <w:pPr>
        <w:jc w:val="center"/>
        <w:rPr>
          <w:rFonts w:hAnsi="宋体" w:cs="宋体"/>
          <w:b/>
          <w:bCs/>
          <w:spacing w:val="-2"/>
          <w:szCs w:val="24"/>
        </w:rPr>
      </w:pPr>
    </w:p>
    <w:p>
      <w:pPr>
        <w:jc w:val="center"/>
        <w:outlineLvl w:val="1"/>
        <w:rPr>
          <w:rFonts w:hAnsi="宋体" w:cs="宋体"/>
          <w:b/>
          <w:bCs/>
          <w:spacing w:val="-2"/>
          <w:szCs w:val="24"/>
        </w:rPr>
      </w:pPr>
      <w:bookmarkStart w:id="98" w:name="_Toc8868"/>
      <w:r>
        <w:rPr>
          <w:rFonts w:hint="eastAsia" w:hAnsi="宋体" w:cs="宋体"/>
          <w:b/>
          <w:bCs/>
          <w:spacing w:val="-2"/>
          <w:szCs w:val="24"/>
        </w:rPr>
        <w:t>九、后期服务方案</w:t>
      </w:r>
      <w:bookmarkEnd w:id="98"/>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9" w:name="_Toc4961"/>
      <w:r>
        <w:rPr>
          <w:rFonts w:hint="eastAsia" w:hAnsi="宋体" w:cs="宋体"/>
          <w:b/>
          <w:bCs/>
          <w:spacing w:val="-2"/>
          <w:szCs w:val="24"/>
        </w:rPr>
        <w:t>十、其他资料</w:t>
      </w:r>
      <w:bookmarkEnd w:id="99"/>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DotumChe">
    <w:altName w:val="Malgun Gothic"/>
    <w:panose1 w:val="00000000000000000000"/>
    <w:charset w:val="81"/>
    <w:family w:val="swiss"/>
    <w:pitch w:val="default"/>
    <w:sig w:usb0="00000000" w:usb1="00000000" w:usb2="00000030" w:usb3="00000000" w:csb0="000800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Mincho">
    <w:altName w:val="MS Gothic"/>
    <w:panose1 w:val="02020609040205080304"/>
    <w:charset w:val="80"/>
    <w:family w:val="roman"/>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Fonts w:ascii="仿宋_GB2312" w:eastAsia="仿宋_GB2312"/>
        <w:sz w:val="21"/>
        <w:szCs w:val="21"/>
      </w:rPr>
    </w:pPr>
    <w:r>
      <w:rPr>
        <w:rFonts w:hint="eastAsia" w:ascii="仿宋_GB2312" w:eastAsia="仿宋_GB2312"/>
        <w:sz w:val="21"/>
        <w:szCs w:val="21"/>
      </w:rPr>
      <w:fldChar w:fldCharType="begin"/>
    </w:r>
    <w:r>
      <w:rPr>
        <w:rStyle w:val="24"/>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4"/>
        <w:rFonts w:ascii="仿宋_GB2312" w:eastAsia="仿宋_GB2312"/>
        <w:sz w:val="21"/>
        <w:szCs w:val="21"/>
      </w:rPr>
      <w:t>8</w:t>
    </w:r>
    <w:r>
      <w:rPr>
        <w:rFonts w:hint="eastAsia" w:ascii="仿宋_GB2312" w:eastAsia="仿宋_GB2312"/>
        <w:sz w:val="21"/>
        <w:szCs w:val="21"/>
      </w:rPr>
      <w:fldChar w:fldCharType="end"/>
    </w:r>
  </w:p>
  <w:p>
    <w:pPr>
      <w:pStyle w:val="1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Fonts w:ascii="仿宋_GB2312" w:eastAsia="仿宋_GB2312"/>
      </w:rPr>
    </w:pPr>
    <w:r>
      <w:rPr>
        <w:rFonts w:hint="eastAsia" w:ascii="仿宋_GB2312" w:eastAsia="仿宋_GB2312"/>
      </w:rPr>
      <w:fldChar w:fldCharType="begin"/>
    </w:r>
    <w:r>
      <w:rPr>
        <w:rStyle w:val="24"/>
        <w:rFonts w:hint="eastAsia" w:ascii="仿宋_GB2312" w:eastAsia="仿宋_GB2312"/>
      </w:rPr>
      <w:instrText xml:space="preserve">PAGE  </w:instrText>
    </w:r>
    <w:r>
      <w:rPr>
        <w:rFonts w:hint="eastAsia" w:ascii="仿宋_GB2312" w:eastAsia="仿宋_GB2312"/>
      </w:rPr>
      <w:fldChar w:fldCharType="separate"/>
    </w:r>
    <w:r>
      <w:rPr>
        <w:rStyle w:val="24"/>
        <w:rFonts w:ascii="仿宋_GB2312" w:eastAsia="仿宋_GB2312"/>
      </w:rPr>
      <w:t>9</w:t>
    </w:r>
    <w:r>
      <w:rPr>
        <w:rFonts w:hint="eastAsia" w:ascii="仿宋_GB2312" w:eastAsia="仿宋_GB2312"/>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6ED11"/>
    <w:multiLevelType w:val="singleLevel"/>
    <w:tmpl w:val="A0C6ED11"/>
    <w:lvl w:ilvl="0" w:tentative="0">
      <w:start w:val="2"/>
      <w:numFmt w:val="decimal"/>
      <w:suff w:val="nothing"/>
      <w:lvlText w:val="（%1）"/>
      <w:lvlJc w:val="left"/>
    </w:lvl>
  </w:abstractNum>
  <w:abstractNum w:abstractNumId="1">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2">
    <w:nsid w:val="C5E535A5"/>
    <w:multiLevelType w:val="singleLevel"/>
    <w:tmpl w:val="C5E535A5"/>
    <w:lvl w:ilvl="0" w:tentative="0">
      <w:start w:val="1"/>
      <w:numFmt w:val="decimal"/>
      <w:suff w:val="nothing"/>
      <w:lvlText w:val="%1、"/>
      <w:lvlJc w:val="left"/>
    </w:lvl>
  </w:abstractNum>
  <w:abstractNum w:abstractNumId="3">
    <w:nsid w:val="E1650FEF"/>
    <w:multiLevelType w:val="singleLevel"/>
    <w:tmpl w:val="E1650FEF"/>
    <w:lvl w:ilvl="0" w:tentative="0">
      <w:start w:val="1"/>
      <w:numFmt w:val="decimal"/>
      <w:suff w:val="nothing"/>
      <w:lvlText w:val="%1、"/>
      <w:lvlJc w:val="left"/>
    </w:lvl>
  </w:abstractNum>
  <w:abstractNum w:abstractNumId="4">
    <w:nsid w:val="14AF497A"/>
    <w:multiLevelType w:val="singleLevel"/>
    <w:tmpl w:val="14AF497A"/>
    <w:lvl w:ilvl="0" w:tentative="0">
      <w:start w:val="1"/>
      <w:numFmt w:val="chineseCounting"/>
      <w:suff w:val="space"/>
      <w:lvlText w:val="第%1章"/>
      <w:lvlJc w:val="left"/>
      <w:rPr>
        <w:rFonts w:hint="eastAsia"/>
      </w:rPr>
    </w:lvl>
  </w:abstractNum>
  <w:abstractNum w:abstractNumId="5">
    <w:nsid w:val="30C82E46"/>
    <w:multiLevelType w:val="multilevel"/>
    <w:tmpl w:val="30C82E46"/>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6">
    <w:nsid w:val="32E11E16"/>
    <w:multiLevelType w:val="singleLevel"/>
    <w:tmpl w:val="32E11E16"/>
    <w:lvl w:ilvl="0" w:tentative="0">
      <w:start w:val="6"/>
      <w:numFmt w:val="chineseCounting"/>
      <w:suff w:val="nothing"/>
      <w:lvlText w:val="%1、"/>
      <w:lvlJc w:val="left"/>
      <w:rPr>
        <w:rFonts w:hint="eastAsia"/>
      </w:rPr>
    </w:lvl>
  </w:abstractNum>
  <w:abstractNum w:abstractNumId="7">
    <w:nsid w:val="7A55F52D"/>
    <w:multiLevelType w:val="singleLevel"/>
    <w:tmpl w:val="7A55F52D"/>
    <w:lvl w:ilvl="0" w:tentative="0">
      <w:start w:val="1"/>
      <w:numFmt w:val="decimal"/>
      <w:suff w:val="nothing"/>
      <w:lvlText w:val="（%1）"/>
      <w:lvlJc w:val="left"/>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0172A27"/>
    <w:rsid w:val="00170799"/>
    <w:rsid w:val="00172A27"/>
    <w:rsid w:val="001B22D7"/>
    <w:rsid w:val="002F0E4F"/>
    <w:rsid w:val="003304DD"/>
    <w:rsid w:val="003E7A29"/>
    <w:rsid w:val="00680874"/>
    <w:rsid w:val="006F69CC"/>
    <w:rsid w:val="00891F5D"/>
    <w:rsid w:val="00947F43"/>
    <w:rsid w:val="009D763F"/>
    <w:rsid w:val="00B13E31"/>
    <w:rsid w:val="00BB16B9"/>
    <w:rsid w:val="00C0760F"/>
    <w:rsid w:val="00D12FDA"/>
    <w:rsid w:val="00DA6BD6"/>
    <w:rsid w:val="00E5425C"/>
    <w:rsid w:val="00E65779"/>
    <w:rsid w:val="046D59B6"/>
    <w:rsid w:val="09C11908"/>
    <w:rsid w:val="147A766B"/>
    <w:rsid w:val="15ED6151"/>
    <w:rsid w:val="182179D5"/>
    <w:rsid w:val="2F672F5C"/>
    <w:rsid w:val="329573BA"/>
    <w:rsid w:val="341C439D"/>
    <w:rsid w:val="3EFC7B40"/>
    <w:rsid w:val="4AD863DD"/>
    <w:rsid w:val="54726FA4"/>
    <w:rsid w:val="5A84292A"/>
    <w:rsid w:val="6B232A45"/>
    <w:rsid w:val="6EB74691"/>
    <w:rsid w:val="705A308D"/>
    <w:rsid w:val="72662BDB"/>
    <w:rsid w:val="767A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3"/>
    <w:next w:val="4"/>
    <w:qFormat/>
    <w:uiPriority w:val="0"/>
    <w:pPr>
      <w:keepNext/>
      <w:keepLines/>
      <w:outlineLvl w:val="0"/>
    </w:pPr>
    <w:rPr>
      <w:b/>
      <w:bCs w:val="0"/>
      <w:kern w:val="44"/>
      <w:sz w:val="32"/>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rPr>
  </w:style>
  <w:style w:type="paragraph" w:styleId="7">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line="360" w:lineRule="auto"/>
      <w:jc w:val="center"/>
    </w:pPr>
    <w:rPr>
      <w:rFonts w:hAnsi="宋体" w:eastAsia="黑体"/>
      <w:bCs/>
      <w:smallCaps/>
      <w:snapToGrid w:val="0"/>
      <w:sz w:val="44"/>
      <w:szCs w:val="24"/>
    </w:rPr>
  </w:style>
  <w:style w:type="paragraph" w:styleId="4">
    <w:name w:val="Plain Text"/>
    <w:basedOn w:val="1"/>
    <w:qFormat/>
    <w:uiPriority w:val="0"/>
    <w:rPr>
      <w:rFonts w:ascii="Courier New" w:hAnsi="Courier New"/>
    </w:rPr>
  </w:style>
  <w:style w:type="paragraph" w:styleId="8">
    <w:name w:val="Normal Indent"/>
    <w:basedOn w:val="1"/>
    <w:qFormat/>
    <w:uiPriority w:val="0"/>
    <w:pPr>
      <w:autoSpaceDE w:val="0"/>
      <w:autoSpaceDN w:val="0"/>
      <w:adjustRightInd w:val="0"/>
      <w:ind w:firstLine="420"/>
      <w:jc w:val="left"/>
    </w:pPr>
  </w:style>
  <w:style w:type="paragraph" w:styleId="9">
    <w:name w:val="annotation text"/>
    <w:basedOn w:val="1"/>
    <w:link w:val="38"/>
    <w:qFormat/>
    <w:uiPriority w:val="0"/>
    <w:pPr>
      <w:jc w:val="left"/>
    </w:pPr>
  </w:style>
  <w:style w:type="paragraph" w:styleId="10">
    <w:name w:val="Body Text"/>
    <w:basedOn w:val="1"/>
    <w:next w:val="11"/>
    <w:qFormat/>
    <w:uiPriority w:val="0"/>
    <w:pPr>
      <w:spacing w:after="120"/>
    </w:pPr>
  </w:style>
  <w:style w:type="paragraph" w:styleId="11">
    <w:name w:val="Body Text First Indent"/>
    <w:basedOn w:val="10"/>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styleId="12">
    <w:name w:val="Body Text Indent"/>
    <w:basedOn w:val="1"/>
    <w:next w:val="13"/>
    <w:qFormat/>
    <w:uiPriority w:val="0"/>
    <w:pPr>
      <w:ind w:firstLine="560" w:firstLineChars="200"/>
    </w:pPr>
    <w:rPr>
      <w:rFonts w:hAnsi="宋体"/>
      <w:bCs/>
      <w:sz w:val="28"/>
      <w:szCs w:val="32"/>
    </w:rPr>
  </w:style>
  <w:style w:type="paragraph" w:styleId="13">
    <w:name w:val="envelope return"/>
    <w:basedOn w:val="1"/>
    <w:qFormat/>
    <w:uiPriority w:val="0"/>
    <w:pPr>
      <w:snapToGrid w:val="0"/>
    </w:pPr>
    <w:rPr>
      <w:rFonts w:ascii="Arial" w:hAnsi="Arial"/>
    </w:rPr>
  </w:style>
  <w:style w:type="paragraph" w:styleId="14">
    <w:name w:val="Balloon Text"/>
    <w:basedOn w:val="1"/>
    <w:link w:val="37"/>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cs="Calibri"/>
      <w:b/>
      <w:bCs/>
      <w:caps/>
      <w:sz w:val="20"/>
    </w:rPr>
  </w:style>
  <w:style w:type="paragraph" w:styleId="18">
    <w:name w:val="toc 2"/>
    <w:basedOn w:val="1"/>
    <w:next w:val="1"/>
    <w:qFormat/>
    <w:uiPriority w:val="39"/>
    <w:pPr>
      <w:ind w:left="210"/>
      <w:jc w:val="left"/>
    </w:pPr>
    <w:rPr>
      <w:rFonts w:ascii="Calibri" w:hAnsi="Calibri" w:cs="Calibri"/>
      <w:smallCaps/>
      <w:sz w:val="20"/>
    </w:rPr>
  </w:style>
  <w:style w:type="paragraph" w:styleId="19">
    <w:name w:val="annotation subject"/>
    <w:basedOn w:val="9"/>
    <w:next w:val="9"/>
    <w:link w:val="39"/>
    <w:qFormat/>
    <w:uiPriority w:val="0"/>
    <w:rPr>
      <w:b/>
      <w:bCs/>
    </w:rPr>
  </w:style>
  <w:style w:type="paragraph" w:styleId="20">
    <w:name w:val="Body Text First Indent 2"/>
    <w:basedOn w:val="12"/>
    <w:next w:val="1"/>
    <w:qFormat/>
    <w:uiPriority w:val="0"/>
    <w:pPr>
      <w:ind w:left="420"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annotation reference"/>
    <w:basedOn w:val="23"/>
    <w:uiPriority w:val="0"/>
    <w:rPr>
      <w:sz w:val="21"/>
      <w:szCs w:val="21"/>
    </w:rPr>
  </w:style>
  <w:style w:type="paragraph" w:customStyle="1" w:styleId="26">
    <w:name w:val="正文（缩进）"/>
    <w:basedOn w:val="1"/>
    <w:qFormat/>
    <w:uiPriority w:val="0"/>
    <w:pPr>
      <w:widowControl/>
      <w:spacing w:before="156" w:after="156"/>
      <w:ind w:firstLine="480" w:firstLineChars="200"/>
      <w:jc w:val="left"/>
    </w:pPr>
    <w:rPr>
      <w:rFonts w:ascii="仿宋_GB2312" w:eastAsia="仿宋_GB2312"/>
      <w:szCs w:val="24"/>
    </w:rPr>
  </w:style>
  <w:style w:type="paragraph" w:customStyle="1" w:styleId="2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1"/>
    <w:basedOn w:val="1"/>
    <w:next w:val="7"/>
    <w:qFormat/>
    <w:uiPriority w:val="0"/>
    <w:pPr>
      <w:spacing w:line="360" w:lineRule="auto"/>
      <w:ind w:firstLine="420" w:firstLineChars="200"/>
    </w:pPr>
    <w:rPr>
      <w:rFonts w:hAnsi="宋体"/>
      <w:szCs w:val="21"/>
    </w:rPr>
  </w:style>
  <w:style w:type="paragraph" w:customStyle="1" w:styleId="30">
    <w:name w:val="首行缩进"/>
    <w:basedOn w:val="1"/>
    <w:qFormat/>
    <w:uiPriority w:val="0"/>
    <w:pPr>
      <w:spacing w:line="360" w:lineRule="auto"/>
      <w:ind w:left="210" w:leftChars="100" w:firstLine="420" w:firstLineChars="200"/>
    </w:pPr>
    <w:rPr>
      <w:rFonts w:hAnsi="宋体"/>
      <w:szCs w:val="24"/>
    </w:rPr>
  </w:style>
  <w:style w:type="paragraph" w:customStyle="1" w:styleId="31">
    <w:name w:val="D&amp;L"/>
    <w:basedOn w:val="16"/>
    <w:qFormat/>
    <w:uiPriority w:val="99"/>
    <w:pPr>
      <w:pBdr>
        <w:bottom w:val="thinThickSmallGap" w:color="auto" w:sz="18" w:space="1"/>
      </w:pBdr>
      <w:adjustRightInd w:val="0"/>
      <w:snapToGrid/>
      <w:spacing w:line="240" w:lineRule="atLeast"/>
      <w:textAlignment w:val="baseline"/>
    </w:pPr>
    <w:rPr>
      <w:sz w:val="24"/>
    </w:rPr>
  </w:style>
  <w:style w:type="character" w:customStyle="1" w:styleId="32">
    <w:name w:val="font21"/>
    <w:basedOn w:val="23"/>
    <w:qFormat/>
    <w:uiPriority w:val="0"/>
    <w:rPr>
      <w:rFonts w:hint="eastAsia" w:ascii="微软雅黑" w:hAnsi="微软雅黑" w:eastAsia="微软雅黑" w:cs="微软雅黑"/>
      <w:color w:val="000000"/>
      <w:sz w:val="18"/>
      <w:szCs w:val="18"/>
      <w:u w:val="none"/>
    </w:rPr>
  </w:style>
  <w:style w:type="character" w:customStyle="1" w:styleId="33">
    <w:name w:val="font41"/>
    <w:basedOn w:val="23"/>
    <w:qFormat/>
    <w:uiPriority w:val="0"/>
    <w:rPr>
      <w:rFonts w:hint="default" w:ascii="Calibri" w:hAnsi="Calibri" w:cs="Calibri"/>
      <w:b/>
      <w:bCs/>
      <w:color w:val="000000"/>
      <w:sz w:val="32"/>
      <w:szCs w:val="32"/>
      <w:u w:val="none"/>
    </w:rPr>
  </w:style>
  <w:style w:type="character" w:customStyle="1" w:styleId="34">
    <w:name w:val="font91"/>
    <w:basedOn w:val="23"/>
    <w:qFormat/>
    <w:uiPriority w:val="0"/>
    <w:rPr>
      <w:rFonts w:hint="eastAsia" w:ascii="微软雅黑" w:hAnsi="微软雅黑" w:eastAsia="微软雅黑" w:cs="微软雅黑"/>
      <w:b/>
      <w:bCs/>
      <w:color w:val="000000"/>
      <w:sz w:val="18"/>
      <w:szCs w:val="18"/>
      <w:u w:val="none"/>
    </w:rPr>
  </w:style>
  <w:style w:type="character" w:customStyle="1" w:styleId="35">
    <w:name w:val="fontstyle01"/>
    <w:qFormat/>
    <w:uiPriority w:val="0"/>
    <w:rPr>
      <w:rFonts w:hint="eastAsia" w:ascii="宋体" w:hAnsi="宋体" w:eastAsia="宋体"/>
      <w:color w:val="000000"/>
      <w:sz w:val="22"/>
      <w:szCs w:val="22"/>
    </w:rPr>
  </w:style>
  <w:style w:type="paragraph" w:styleId="36">
    <w:name w:val="List Paragraph"/>
    <w:basedOn w:val="1"/>
    <w:unhideWhenUsed/>
    <w:qFormat/>
    <w:uiPriority w:val="99"/>
    <w:pPr>
      <w:ind w:firstLine="420" w:firstLineChars="200"/>
    </w:pPr>
  </w:style>
  <w:style w:type="character" w:customStyle="1" w:styleId="37">
    <w:name w:val="批注框文本 Char"/>
    <w:basedOn w:val="23"/>
    <w:link w:val="14"/>
    <w:qFormat/>
    <w:uiPriority w:val="0"/>
    <w:rPr>
      <w:rFonts w:ascii="宋体"/>
      <w:sz w:val="18"/>
      <w:szCs w:val="18"/>
    </w:rPr>
  </w:style>
  <w:style w:type="character" w:customStyle="1" w:styleId="38">
    <w:name w:val="批注文字 Char"/>
    <w:basedOn w:val="23"/>
    <w:link w:val="9"/>
    <w:qFormat/>
    <w:uiPriority w:val="0"/>
    <w:rPr>
      <w:rFonts w:ascii="宋体"/>
      <w:sz w:val="24"/>
    </w:rPr>
  </w:style>
  <w:style w:type="character" w:customStyle="1" w:styleId="39">
    <w:name w:val="批注主题 Char"/>
    <w:basedOn w:val="38"/>
    <w:link w:val="19"/>
    <w:uiPriority w:val="0"/>
    <w:rPr>
      <w:rFonts w:ascii="宋体"/>
      <w:b/>
      <w:bCs/>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19130</Words>
  <Characters>20104</Characters>
  <Lines>168</Lines>
  <Paragraphs>47</Paragraphs>
  <TotalTime>0</TotalTime>
  <ScaleCrop>false</ScaleCrop>
  <LinksUpToDate>false</LinksUpToDate>
  <CharactersWithSpaces>21424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2023-06-15T06:37:00Z</dcterms:created>
  <dc:creator>Administrator</dc:creator>
  <cp:lastModifiedBy>Administrator</cp:lastModifiedBy>
  <dcterms:modified xsi:type="dcterms:W3CDTF">2023-07-21T02:02:03Z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8245C0976869429DB18404E5D285741A_13</vt:lpwstr>
  </property>
</Properties>
</file>