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货物</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四湾菜市消防设施设备采购项目</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w:t>
      </w:r>
      <w:r>
        <w:rPr>
          <w:rFonts w:hint="eastAsia" w:hAnsi="DotumChe" w:cs="宋体"/>
          <w:b/>
          <w:spacing w:val="20"/>
          <w:kern w:val="0"/>
          <w:sz w:val="32"/>
          <w:szCs w:val="32"/>
          <w:highlight w:val="none"/>
          <w:u w:val="none"/>
          <w:lang w:val="en-US" w:eastAsia="zh-CN"/>
        </w:rPr>
        <w:t xml:space="preserve">20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合肥城隍庙商业运营管理有限公司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八</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3"/>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3"/>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_Toc5225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_Toc5225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_Toc18938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_Toc18938 \h </w:instrText>
      </w:r>
      <w:r>
        <w:fldChar w:fldCharType="separate"/>
      </w:r>
      <w:r>
        <w:t>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_Toc18170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_Toc18170 \h </w:instrText>
      </w:r>
      <w:r>
        <w:fldChar w:fldCharType="separate"/>
      </w:r>
      <w:r>
        <w:t>10</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_Toc29461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_Toc29461 \h </w:instrText>
      </w:r>
      <w:r>
        <w:fldChar w:fldCharType="separate"/>
      </w:r>
      <w:r>
        <w:t>23</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_Toc20705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_Toc20705 \h </w:instrText>
      </w:r>
      <w:r>
        <w:fldChar w:fldCharType="separate"/>
      </w:r>
      <w:r>
        <w:t>25</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_Toc28378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_Toc28378 \h </w:instrText>
      </w:r>
      <w:r>
        <w:fldChar w:fldCharType="separate"/>
      </w:r>
      <w:r>
        <w:t>29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_Toc5575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_Toc5575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_Toc27045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_Toc27045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_Toc29323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_Toc29323 \h </w:instrText>
      </w:r>
      <w:r>
        <w:fldChar w:fldCharType="separate"/>
      </w:r>
      <w:r>
        <w:t>31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_Toc28421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w:t>
      </w:r>
      <w:r>
        <w:rPr>
          <w:rFonts w:hint="eastAsia" w:cs="Times New Roman"/>
          <w:bCs/>
          <w:highlight w:val="none"/>
          <w:lang w:val="en-US" w:eastAsia="zh-CN" w:bidi="ar-SA"/>
        </w:rPr>
        <w:t>开标一览表</w:t>
      </w:r>
      <w:r>
        <w:tab/>
      </w:r>
      <w:r>
        <w:fldChar w:fldCharType="begin"/>
      </w:r>
      <w:r>
        <w:instrText xml:space="preserve"> PAGEREF _Toc28421 \h </w:instrText>
      </w:r>
      <w:r>
        <w:fldChar w:fldCharType="separate"/>
      </w:r>
      <w:r>
        <w:t>32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_Toc1541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_Toc1541 \h </w:instrText>
      </w:r>
      <w:r>
        <w:fldChar w:fldCharType="separate"/>
      </w:r>
      <w:r>
        <w:t>34</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_Toc26095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_Toc26095 \h </w:instrText>
      </w:r>
      <w:r>
        <w:fldChar w:fldCharType="separate"/>
      </w:r>
      <w:r>
        <w:t>35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_Toc14562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_Toc14562 \h </w:instrText>
      </w:r>
      <w:r>
        <w:fldChar w:fldCharType="separate"/>
      </w:r>
      <w:r>
        <w:t>39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_Toc929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_Toc929 \h </w:instrText>
      </w:r>
      <w:r>
        <w:fldChar w:fldCharType="separate"/>
      </w:r>
      <w:r>
        <w:t>40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_Toc17809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_Toc17809 \h </w:instrText>
      </w:r>
      <w:r>
        <w:fldChar w:fldCharType="separate"/>
      </w:r>
      <w:r>
        <w:t>41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_Toc4714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_Toc4714 \h </w:instrText>
      </w:r>
      <w:r>
        <w:fldChar w:fldCharType="separate"/>
      </w:r>
      <w:r>
        <w:t>42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_Toc18513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_Toc18513 \h </w:instrText>
      </w:r>
      <w:r>
        <w:fldChar w:fldCharType="separate"/>
      </w:r>
      <w:r>
        <w:t>43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_Toc5113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_Toc5113 \h </w:instrText>
      </w:r>
      <w:r>
        <w:fldChar w:fldCharType="separate"/>
      </w:r>
      <w:r>
        <w:t>43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5225"/>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四湾菜市消防设施设备采购项目</w:t>
      </w:r>
      <w:r>
        <w:rPr>
          <w:rFonts w:hint="eastAsia" w:ascii="宋体" w:hAnsi="宋体" w:eastAsia="宋体" w:cs="Times New Roman"/>
          <w:kern w:val="2"/>
          <w:u w:val="none"/>
          <w:lang w:val="en-US" w:eastAsia="zh-CN"/>
        </w:rPr>
        <w:t>已具备竞争性谈判条件，招标人为合肥城隍庙商业运营管理有限公司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 xml:space="preserve">20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四湾菜市消防设施设备采购项目</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合肥城隍庙商业运营管理有限公司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四湾菜市消防设施设备采购项目位于拱辰街67号，项目内容为消防设施改造。根据庐阳区消防大队现场检查及队及逍遥津街道安委会现场检查要求，泵房、配电房需尽快增加气体灭火装置、监控及报警设备、消防标识，</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6万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货物</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2.本项目的特定资格要求：</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（1）营业执照经营范围包含建筑消防设施检测、维修、保养；</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 投标人拟配备的专业人员具有不少于1个一级注册消防工程师职业资格证书，提供证书人员须提供近三个月任意一个月社保证明材料；</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（3）具有消防设施专项工程设计乙级及以上资质；</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（4）具有消防设施工程专业承包二级及以上资质。</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3</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4</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22</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15:00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15:00 </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w:t>
      </w:r>
      <w:r>
        <w:rPr>
          <w:rFonts w:hint="eastAsia" w:cs="楷体"/>
          <w:bCs/>
          <w:snapToGrid w:val="0"/>
          <w:color w:val="000000"/>
          <w:szCs w:val="24"/>
        </w:rPr>
        <w:t>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hAnsi="宋体"/>
          <w:bCs/>
          <w:color w:val="000000"/>
          <w:sz w:val="24"/>
          <w:szCs w:val="24"/>
          <w:highlight w:val="none"/>
          <w:u w:val="none"/>
          <w:lang w:val="en-US" w:eastAsia="zh-CN"/>
        </w:rPr>
        <w:t xml:space="preserve">2023年8月25日15:00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sz w:val="24"/>
          <w:szCs w:val="24"/>
          <w:u w:val="none"/>
          <w:lang w:eastAsia="zh-CN"/>
        </w:rPr>
        <w:t>合肥城隍庙商业运营管理有限公司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18938"/>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6"/>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工期</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rPr>
              <w:t>工期45个日历天完成需求所有工作内容。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8"/>
              <w:ind w:left="0" w:leftChars="0" w:firstLine="0" w:firstLineChars="0"/>
              <w:rPr>
                <w:rFonts w:hint="default" w:eastAsia="宋体"/>
                <w:lang w:val="en-US" w:eastAsia="zh-CN"/>
              </w:rPr>
            </w:pPr>
            <w:r>
              <w:rPr>
                <w:rFonts w:hint="eastAsia"/>
                <w:szCs w:val="24"/>
                <w:highlight w:val="none"/>
                <w:lang w:val="en-US" w:eastAsia="zh-CN"/>
              </w:rPr>
              <w:t>项目现场负责人：</w:t>
            </w:r>
            <w:r>
              <w:rPr>
                <w:rFonts w:hint="eastAsia"/>
                <w:lang w:val="en-US" w:eastAsia="zh-CN"/>
              </w:rPr>
              <w:t>戴</w:t>
            </w:r>
            <w:r>
              <w:rPr>
                <w:rFonts w:hint="eastAsia"/>
                <w:szCs w:val="24"/>
                <w:highlight w:val="none"/>
                <w:lang w:val="en-US" w:eastAsia="zh-CN"/>
              </w:rPr>
              <w:t>工 联系方式：</w:t>
            </w:r>
            <w:r>
              <w:rPr>
                <w:rFonts w:hint="eastAsia"/>
                <w:lang w:val="en-US" w:eastAsia="zh-CN"/>
              </w:rPr>
              <w:t>13705512547</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答疑、补遗、补充通知（如有）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ind w:left="120" w:leftChars="50" w:right="120" w:rightChars="50"/>
              <w:jc w:val="center"/>
              <w:rPr>
                <w:rFonts w:hint="default" w:eastAsia="宋体"/>
                <w:snapToGrid w:val="0"/>
                <w:szCs w:val="24"/>
                <w:highlight w:val="none"/>
                <w:lang w:val="en-US" w:eastAsia="zh-CN"/>
              </w:rPr>
            </w:pPr>
            <w:r>
              <w:rPr>
                <w:rFonts w:hint="eastAsia"/>
                <w:snapToGrid w:val="0"/>
                <w:szCs w:val="24"/>
                <w:highlight w:val="none"/>
                <w:lang w:val="en-US" w:eastAsia="zh-CN"/>
              </w:rPr>
              <w:t>14</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24</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6万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6"/>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bCs/>
                <w:snapToGrid w:val="0"/>
                <w:szCs w:val="24"/>
                <w:highlight w:val="none"/>
                <w:lang w:val="en-US" w:eastAsia="zh-CN"/>
              </w:rPr>
              <w:t>32</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34</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35</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660067"/>
      <w:bookmarkStart w:id="6" w:name="_Toc184635071"/>
      <w:bookmarkStart w:id="7" w:name="_Toc460226725"/>
      <w:bookmarkStart w:id="8" w:name="_Toc460226994"/>
    </w:p>
    <w:bookmarkEnd w:id="5"/>
    <w:bookmarkEnd w:id="6"/>
    <w:bookmarkEnd w:id="7"/>
    <w:bookmarkEnd w:id="8"/>
    <w:p>
      <w:pPr>
        <w:pStyle w:val="5"/>
        <w:spacing w:line="500" w:lineRule="exact"/>
        <w:ind w:firstLine="0"/>
        <w:jc w:val="center"/>
        <w:outlineLvl w:val="0"/>
        <w:rPr>
          <w:rFonts w:hint="eastAsia" w:ascii="宋体" w:hAnsi="宋体" w:eastAsia="宋体"/>
          <w:sz w:val="24"/>
          <w:szCs w:val="24"/>
          <w:lang w:eastAsia="zh-CN"/>
        </w:rPr>
      </w:pPr>
      <w:bookmarkStart w:id="9" w:name="_Toc18170"/>
      <w:r>
        <w:rPr>
          <w:rFonts w:hint="eastAsia" w:ascii="宋体" w:hAnsi="宋体" w:eastAsia="宋体"/>
        </w:rPr>
        <w:t>投标人须知</w:t>
      </w:r>
      <w:r>
        <w:rPr>
          <w:rFonts w:hint="eastAsia" w:ascii="宋体" w:hAnsi="宋体" w:eastAsia="宋体"/>
          <w:lang w:eastAsia="zh-CN"/>
        </w:rPr>
        <w:t>正文</w:t>
      </w:r>
      <w:bookmarkEnd w:id="9"/>
    </w:p>
    <w:p>
      <w:pPr>
        <w:pStyle w:val="7"/>
        <w:spacing w:line="500" w:lineRule="exact"/>
        <w:jc w:val="both"/>
        <w:rPr>
          <w:rFonts w:hint="eastAsia" w:hAnsi="宋体"/>
          <w:sz w:val="28"/>
        </w:rPr>
      </w:pPr>
      <w:bookmarkStart w:id="10" w:name="_Hlt509650126"/>
      <w:bookmarkEnd w:id="10"/>
      <w:bookmarkStart w:id="11" w:name="_Hlt526418143"/>
      <w:bookmarkEnd w:id="11"/>
      <w:bookmarkStart w:id="12" w:name="_Hlt509649722"/>
      <w:bookmarkEnd w:id="12"/>
      <w:bookmarkStart w:id="13" w:name="_Hlt509650955"/>
      <w:bookmarkEnd w:id="13"/>
      <w:bookmarkStart w:id="14" w:name="_Hlt509649998"/>
      <w:bookmarkEnd w:id="14"/>
      <w:bookmarkStart w:id="15" w:name="_Hlt509650686"/>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7"/>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7"/>
        <w:spacing w:line="500" w:lineRule="exact"/>
        <w:jc w:val="both"/>
        <w:rPr>
          <w:rFonts w:hint="eastAsia" w:hAnsi="宋体"/>
          <w:sz w:val="28"/>
        </w:rPr>
      </w:pPr>
      <w:bookmarkStart w:id="23" w:name="_Hlt509650697"/>
      <w:bookmarkEnd w:id="23"/>
      <w:bookmarkStart w:id="24" w:name="_Hlt510342861"/>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3"/>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7"/>
        <w:spacing w:line="360" w:lineRule="auto"/>
        <w:ind w:firstLine="628"/>
        <w:jc w:val="both"/>
        <w:rPr>
          <w:rFonts w:hint="eastAsia"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7"/>
        <w:spacing w:line="360" w:lineRule="auto"/>
        <w:ind w:firstLine="628"/>
        <w:jc w:val="both"/>
        <w:rPr>
          <w:rFonts w:hint="eastAsia" w:hAnsi="宋体" w:eastAsia="黑体"/>
          <w:sz w:val="28"/>
          <w:lang w:eastAsia="zh-CN"/>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7"/>
        <w:spacing w:line="360" w:lineRule="auto"/>
        <w:ind w:firstLine="628"/>
        <w:jc w:val="both"/>
        <w:rPr>
          <w:rFonts w:hint="eastAsia" w:hAnsi="宋体"/>
          <w:sz w:val="28"/>
        </w:rPr>
      </w:pPr>
      <w:bookmarkStart w:id="36" w:name="_Toc477793061"/>
      <w:bookmarkStart w:id="37" w:name="_Toc50128754"/>
      <w:bookmarkStart w:id="38" w:name="_Toc522466828"/>
      <w:bookmarkStart w:id="39" w:name="_Toc460487454"/>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r>
        <w:rPr>
          <w:sz w:val="24"/>
          <w:highlight w:val="none"/>
        </w:rPr>
        <w:br w:type="page"/>
      </w:r>
      <w:bookmarkStart w:id="40" w:name="_Toc29461"/>
      <w:r>
        <w:rPr>
          <w:rFonts w:hint="eastAsia" w:ascii="宋体" w:hAnsi="宋体" w:eastAsia="宋体" w:cs="Times New Roman"/>
          <w:b/>
          <w:bCs/>
          <w:highlight w:val="none"/>
          <w:lang w:val="en-US" w:eastAsia="zh-CN"/>
        </w:rPr>
        <w:t>第三章 采购需求</w:t>
      </w:r>
      <w:bookmarkEnd w:id="40"/>
    </w:p>
    <w:p>
      <w:pPr>
        <w:pStyle w:val="2"/>
        <w:numPr>
          <w:ilvl w:val="0"/>
          <w:numId w:val="3"/>
        </w:numPr>
        <w:rPr>
          <w:rFonts w:hint="default"/>
          <w:sz w:val="28"/>
          <w:szCs w:val="36"/>
          <w:lang w:val="en-US" w:eastAsia="zh-CN"/>
        </w:rPr>
      </w:pPr>
      <w:bookmarkStart w:id="41" w:name="_Toc38879335"/>
      <w:bookmarkStart w:id="42" w:name="_Toc63412030"/>
      <w:r>
        <w:rPr>
          <w:rFonts w:hint="eastAsia" w:ascii="黑体" w:hAnsi="黑体" w:eastAsia="黑体" w:cs="黑体"/>
          <w:sz w:val="28"/>
          <w:szCs w:val="36"/>
          <w:lang w:val="en-US" w:eastAsia="zh-CN"/>
        </w:rPr>
        <w:t>项目概况：</w:t>
      </w:r>
      <w:r>
        <w:rPr>
          <w:rFonts w:hint="eastAsia"/>
          <w:sz w:val="28"/>
          <w:szCs w:val="36"/>
          <w:lang w:val="en-US" w:eastAsia="zh-CN"/>
        </w:rPr>
        <w:t>四湾菜市消防设施设备采购项目</w:t>
      </w:r>
      <w:r>
        <w:rPr>
          <w:rFonts w:hint="default"/>
          <w:sz w:val="28"/>
          <w:szCs w:val="36"/>
          <w:lang w:val="en-US" w:eastAsia="zh-CN"/>
        </w:rPr>
        <w:t>位于</w:t>
      </w:r>
      <w:r>
        <w:rPr>
          <w:rFonts w:hint="eastAsia"/>
          <w:sz w:val="28"/>
          <w:szCs w:val="36"/>
          <w:lang w:val="en-US" w:eastAsia="zh-CN"/>
        </w:rPr>
        <w:t>拱辰街67号</w:t>
      </w:r>
      <w:r>
        <w:rPr>
          <w:rFonts w:hint="default"/>
          <w:sz w:val="28"/>
          <w:szCs w:val="36"/>
          <w:lang w:val="en-US" w:eastAsia="zh-CN"/>
        </w:rPr>
        <w:t>，项目内容为消防设施改造。</w:t>
      </w:r>
      <w:r>
        <w:rPr>
          <w:rFonts w:hint="eastAsia" w:ascii="Times New Roman" w:hAnsi="Times New Roman" w:cs="Times New Roman"/>
          <w:sz w:val="28"/>
          <w:szCs w:val="36"/>
          <w:lang w:val="en-US" w:eastAsia="zh-CN"/>
        </w:rPr>
        <w:t>根据庐阳区消防大队及逍遥津街道安委会现场检查要求，泵房、配电房需尽快增加气体灭火装置、监控及报警设备</w:t>
      </w:r>
      <w:r>
        <w:rPr>
          <w:rFonts w:hint="eastAsia" w:cs="Times New Roman"/>
          <w:sz w:val="28"/>
          <w:szCs w:val="36"/>
          <w:lang w:val="en-US" w:eastAsia="zh-CN"/>
        </w:rPr>
        <w:t>、消防标识</w:t>
      </w:r>
      <w:r>
        <w:rPr>
          <w:rFonts w:hint="eastAsia" w:ascii="Times New Roman" w:hAnsi="Times New Roman" w:cs="Times New Roman"/>
          <w:sz w:val="28"/>
          <w:szCs w:val="36"/>
          <w:lang w:val="en-US" w:eastAsia="zh-CN"/>
        </w:rPr>
        <w:t>等。</w:t>
      </w:r>
    </w:p>
    <w:p>
      <w:pPr>
        <w:pStyle w:val="2"/>
        <w:numPr>
          <w:ilvl w:val="0"/>
          <w:numId w:val="3"/>
        </w:numPr>
        <w:rPr>
          <w:rFonts w:hint="default"/>
          <w:sz w:val="28"/>
          <w:szCs w:val="36"/>
          <w:lang w:val="en-US" w:eastAsia="zh-CN"/>
        </w:rPr>
      </w:pPr>
      <w:r>
        <w:rPr>
          <w:rFonts w:hint="eastAsia" w:ascii="黑体" w:hAnsi="黑体" w:eastAsia="黑体" w:cs="黑体"/>
          <w:sz w:val="28"/>
          <w:szCs w:val="36"/>
          <w:lang w:val="en-US" w:eastAsia="zh-CN"/>
        </w:rPr>
        <w:t>项目概算：6</w:t>
      </w:r>
      <w:r>
        <w:rPr>
          <w:rFonts w:hint="eastAsia"/>
          <w:sz w:val="28"/>
          <w:szCs w:val="36"/>
          <w:lang w:val="en-US" w:eastAsia="zh-CN"/>
        </w:rPr>
        <w:t>万元</w:t>
      </w:r>
    </w:p>
    <w:p>
      <w:pPr>
        <w:pStyle w:val="2"/>
        <w:numPr>
          <w:ilvl w:val="0"/>
          <w:numId w:val="3"/>
        </w:numPr>
        <w:ind w:left="0" w:leftChars="0" w:firstLine="0" w:firstLineChars="0"/>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详细采购清单：</w:t>
      </w:r>
    </w:p>
    <w:p>
      <w:pPr>
        <w:pStyle w:val="20"/>
        <w:numPr>
          <w:ilvl w:val="0"/>
          <w:numId w:val="0"/>
        </w:numPr>
        <w:ind w:leftChars="0" w:firstLine="560" w:firstLineChars="200"/>
        <w:rPr>
          <w:rFonts w:hint="default" w:ascii="宋体" w:hAnsi="Times New Roman" w:eastAsia="宋体" w:cs="Times New Roman"/>
          <w:sz w:val="28"/>
          <w:szCs w:val="36"/>
          <w:lang w:val="en-US" w:eastAsia="zh-CN" w:bidi="ar-SA"/>
        </w:rPr>
      </w:pPr>
      <w:r>
        <w:rPr>
          <w:rFonts w:hint="eastAsia" w:ascii="宋体" w:hAnsi="Times New Roman" w:eastAsia="宋体" w:cs="Times New Roman"/>
          <w:sz w:val="28"/>
          <w:szCs w:val="36"/>
          <w:lang w:val="en-US" w:eastAsia="zh-CN" w:bidi="ar-SA"/>
        </w:rPr>
        <w:t>投标单位按庐阳区消防大队及逍遥津街道安委会现场检查要求，需要完成下列清单物品采购，并完成安装，项目中玻璃窗改泄压口、泵房增加通风口、线路铺设等，需出具设计图纸，经招标人审核确认后完成后施工布设。</w:t>
      </w:r>
      <w:r>
        <w:rPr>
          <w:rFonts w:hint="eastAsia" w:cs="Times New Roman"/>
          <w:sz w:val="28"/>
          <w:szCs w:val="36"/>
          <w:lang w:val="en-US" w:eastAsia="zh-CN" w:bidi="ar-SA"/>
        </w:rPr>
        <w:t>须保证采购安装后满足消防大队及安委会要求，保证本次检查发现的同类问题完成整改。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568"/>
        <w:gridCol w:w="1700"/>
        <w:gridCol w:w="92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33"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568"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170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数量</w:t>
            </w:r>
          </w:p>
        </w:tc>
        <w:tc>
          <w:tcPr>
            <w:tcW w:w="925"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单位</w:t>
            </w:r>
          </w:p>
        </w:tc>
        <w:tc>
          <w:tcPr>
            <w:tcW w:w="2496"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568" w:type="dxa"/>
          </w:tcPr>
          <w:p>
            <w:pPr>
              <w:pStyle w:val="2"/>
              <w:jc w:val="left"/>
              <w:rPr>
                <w:rFonts w:hint="default"/>
                <w:sz w:val="24"/>
                <w:szCs w:val="24"/>
                <w:vertAlign w:val="baseline"/>
                <w:lang w:val="en-US" w:eastAsia="zh-CN"/>
              </w:rPr>
            </w:pPr>
            <w:r>
              <w:rPr>
                <w:rFonts w:hint="eastAsia"/>
                <w:sz w:val="24"/>
                <w:szCs w:val="24"/>
              </w:rPr>
              <w:t>柜式七氟丙烷灭火装置</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133kg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气体报警主机</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含现场加2处烟感探头等报警装置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线路铺设</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150</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玻璃窗改泄压口</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泵房增加通风口</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项目完工第三方检测</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7</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泵房配备二氧化碳灭火器</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8</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泵房、配电房增设监控</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9</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配电房绝缘垫</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50</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10</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图纸设计</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default"/>
                <w:sz w:val="24"/>
                <w:szCs w:val="24"/>
                <w:vertAlign w:val="baseline"/>
                <w:lang w:val="en-US" w:eastAsia="zh-CN"/>
              </w:rPr>
              <w:t>项目中</w:t>
            </w:r>
            <w:r>
              <w:rPr>
                <w:rFonts w:hint="eastAsia"/>
                <w:sz w:val="24"/>
                <w:szCs w:val="24"/>
                <w:vertAlign w:val="baseline"/>
                <w:lang w:val="en-US" w:eastAsia="zh-CN"/>
              </w:rPr>
              <w:t>两处</w:t>
            </w:r>
            <w:r>
              <w:rPr>
                <w:rFonts w:hint="default"/>
                <w:sz w:val="24"/>
                <w:szCs w:val="24"/>
                <w:vertAlign w:val="baseline"/>
                <w:lang w:val="en-US" w:eastAsia="zh-CN"/>
              </w:rPr>
              <w:t>玻璃窗</w:t>
            </w:r>
            <w:r>
              <w:rPr>
                <w:rFonts w:hint="eastAsia"/>
                <w:sz w:val="24"/>
                <w:szCs w:val="24"/>
                <w:vertAlign w:val="baseline"/>
                <w:lang w:val="en-US" w:eastAsia="zh-CN"/>
              </w:rPr>
              <w:t>（尺寸为2.2m*1.97m）</w:t>
            </w:r>
            <w:r>
              <w:rPr>
                <w:rFonts w:hint="default"/>
                <w:sz w:val="24"/>
                <w:szCs w:val="24"/>
                <w:vertAlign w:val="baseline"/>
                <w:lang w:val="en-US" w:eastAsia="zh-CN"/>
              </w:rPr>
              <w:t>改泄压口、泵房增加通风口、线路铺设等，需出具设计图纸，经审核完成后施工。建议投标人在投标前到项目上实地考察后报价。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11</w:t>
            </w:r>
          </w:p>
        </w:tc>
        <w:tc>
          <w:tcPr>
            <w:tcW w:w="2568" w:type="dxa"/>
          </w:tcPr>
          <w:p>
            <w:pPr>
              <w:pStyle w:val="2"/>
              <w:jc w:val="left"/>
              <w:rPr>
                <w:rFonts w:hint="default"/>
                <w:sz w:val="24"/>
                <w:szCs w:val="24"/>
                <w:vertAlign w:val="baseline"/>
                <w:lang w:val="en-US" w:eastAsia="zh-CN"/>
              </w:rPr>
            </w:pPr>
            <w:r>
              <w:rPr>
                <w:rFonts w:hint="eastAsia"/>
                <w:sz w:val="24"/>
                <w:szCs w:val="24"/>
                <w:vertAlign w:val="baseline"/>
                <w:lang w:val="en-US" w:eastAsia="zh-CN"/>
              </w:rPr>
              <w:t>消防标识标牌</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437005" cy="1847215"/>
                  <wp:effectExtent l="0" t="0" r="10795" b="635"/>
                  <wp:docPr id="1" name="图片 1" descr="0957fd252f61296f334a030fc798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57fd252f61296f334a030fc798cf3"/>
                          <pic:cNvPicPr>
                            <a:picLocks noChangeAspect="1"/>
                          </pic:cNvPicPr>
                        </pic:nvPicPr>
                        <pic:blipFill>
                          <a:blip r:embed="rId10"/>
                          <a:stretch>
                            <a:fillRect/>
                          </a:stretch>
                        </pic:blipFill>
                        <pic:spPr>
                          <a:xfrm>
                            <a:off x="0" y="0"/>
                            <a:ext cx="1437005" cy="18472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12</w:t>
            </w:r>
          </w:p>
        </w:tc>
        <w:tc>
          <w:tcPr>
            <w:tcW w:w="2568" w:type="dxa"/>
          </w:tcPr>
          <w:p>
            <w:pPr>
              <w:pStyle w:val="2"/>
              <w:jc w:val="left"/>
              <w:rPr>
                <w:rFonts w:hint="default"/>
                <w:sz w:val="24"/>
                <w:szCs w:val="24"/>
                <w:vertAlign w:val="baseline"/>
                <w:lang w:val="en-US" w:eastAsia="zh-CN"/>
              </w:rPr>
            </w:pPr>
            <w:r>
              <w:rPr>
                <w:rFonts w:hint="eastAsia"/>
                <w:sz w:val="24"/>
                <w:szCs w:val="24"/>
                <w:vertAlign w:val="baseline"/>
                <w:lang w:val="en-US" w:eastAsia="zh-CN"/>
              </w:rPr>
              <w:t>防火门校正</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维修</w:t>
            </w:r>
          </w:p>
        </w:tc>
      </w:tr>
    </w:tbl>
    <w:p>
      <w:pPr>
        <w:pStyle w:val="2"/>
        <w:rPr>
          <w:rFonts w:hint="default"/>
          <w:lang w:val="en-US" w:eastAsia="zh-CN"/>
        </w:rPr>
      </w:pPr>
      <w:bookmarkStart w:id="98" w:name="_GoBack"/>
      <w:bookmarkEnd w:id="98"/>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五、报价方式：</w:t>
      </w:r>
    </w:p>
    <w:p>
      <w:pPr>
        <w:pStyle w:val="2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本项目采取总价报价方式，</w:t>
      </w:r>
      <w:r>
        <w:rPr>
          <w:rFonts w:hint="eastAsia" w:ascii="宋体" w:hAnsi="宋体" w:eastAsia="宋体" w:cs="宋体"/>
          <w:color w:val="000000"/>
          <w:kern w:val="0"/>
          <w:sz w:val="28"/>
          <w:szCs w:val="28"/>
          <w:lang w:val="en-US" w:eastAsia="zh-CN" w:bidi="ar"/>
        </w:rPr>
        <w:t>投标控制总价为</w:t>
      </w: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万元。</w:t>
      </w:r>
      <w:r>
        <w:rPr>
          <w:rFonts w:hint="eastAsia" w:ascii="宋体" w:hAnsi="宋体" w:eastAsia="宋体" w:cs="宋体"/>
          <w:kern w:val="2"/>
          <w:sz w:val="28"/>
          <w:szCs w:val="28"/>
          <w:highlight w:val="none"/>
          <w:lang w:val="en-US" w:eastAsia="zh-CN" w:bidi="ar-SA"/>
        </w:rPr>
        <w:t>包括但不限于</w:t>
      </w:r>
      <w:r>
        <w:rPr>
          <w:rFonts w:hint="eastAsia" w:ascii="宋体" w:hAnsi="宋体" w:eastAsia="宋体" w:cs="宋体"/>
          <w:color w:val="000000"/>
          <w:kern w:val="0"/>
          <w:sz w:val="28"/>
          <w:szCs w:val="28"/>
          <w:lang w:val="en-US" w:eastAsia="zh-CN" w:bidi="ar"/>
        </w:rPr>
        <w:t>交通费、税金、运输费、安装费等为完成项目所发生的一切费用。投标人报价不得超过控制价，否则做无效标处理。一旦中标，中标单价不予调整。投标人投标报价不得超过本项目项目概算，</w:t>
      </w:r>
      <w:r>
        <w:rPr>
          <w:rFonts w:hint="eastAsia" w:ascii="宋体" w:hAnsi="宋体" w:eastAsia="宋体" w:cs="宋体"/>
          <w:b/>
          <w:bCs/>
          <w:color w:val="000000"/>
          <w:kern w:val="0"/>
          <w:sz w:val="28"/>
          <w:szCs w:val="28"/>
          <w:lang w:val="en-US" w:eastAsia="zh-CN" w:bidi="ar"/>
        </w:rPr>
        <w:t>否则视为无效标处理。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六、付款结算方式：</w:t>
      </w:r>
    </w:p>
    <w:p>
      <w:pPr>
        <w:pStyle w:val="25"/>
        <w:snapToGrid w:val="0"/>
        <w:spacing w:line="48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28"/>
          <w:szCs w:val="36"/>
          <w:lang w:val="en-US" w:eastAsia="zh-CN"/>
        </w:rPr>
        <w:t xml:space="preserve">   </w:t>
      </w:r>
      <w:r>
        <w:rPr>
          <w:rFonts w:hint="eastAsia" w:ascii="宋体" w:hAnsi="宋体" w:cs="宋体" w:eastAsiaTheme="minorEastAsia"/>
          <w:color w:val="000000"/>
          <w:kern w:val="0"/>
          <w:sz w:val="28"/>
          <w:szCs w:val="28"/>
          <w:lang w:val="en-US" w:eastAsia="zh-CN" w:bidi="ar"/>
        </w:rPr>
        <w:t>本项目采取总价结算。完成项目并经甲方验收合格后，支付</w:t>
      </w:r>
      <w:r>
        <w:rPr>
          <w:rFonts w:hint="eastAsia" w:hAnsi="宋体" w:cs="宋体" w:eastAsiaTheme="minorEastAsia"/>
          <w:color w:val="000000"/>
          <w:kern w:val="0"/>
          <w:sz w:val="28"/>
          <w:szCs w:val="28"/>
          <w:lang w:val="en-US" w:eastAsia="zh-CN" w:bidi="ar"/>
        </w:rPr>
        <w:t>合同金额的</w:t>
      </w:r>
      <w:r>
        <w:rPr>
          <w:rFonts w:hint="eastAsia" w:ascii="宋体" w:hAnsi="宋体" w:cs="宋体" w:eastAsiaTheme="minorEastAsia"/>
          <w:color w:val="000000"/>
          <w:kern w:val="0"/>
          <w:sz w:val="28"/>
          <w:szCs w:val="28"/>
          <w:lang w:val="en-US" w:eastAsia="zh-CN" w:bidi="ar"/>
        </w:rPr>
        <w:t>90%，剩余</w:t>
      </w:r>
      <w:r>
        <w:rPr>
          <w:rFonts w:hint="eastAsia" w:hAnsi="宋体" w:cs="宋体" w:eastAsiaTheme="minorEastAsia"/>
          <w:color w:val="000000"/>
          <w:kern w:val="0"/>
          <w:sz w:val="28"/>
          <w:szCs w:val="28"/>
          <w:lang w:val="en-US" w:eastAsia="zh-CN" w:bidi="ar"/>
        </w:rPr>
        <w:t>验收后</w:t>
      </w:r>
      <w:r>
        <w:rPr>
          <w:rFonts w:hint="eastAsia" w:ascii="宋体" w:hAnsi="宋体" w:cs="宋体" w:eastAsiaTheme="minorEastAsia"/>
          <w:color w:val="000000"/>
          <w:kern w:val="0"/>
          <w:sz w:val="28"/>
          <w:szCs w:val="28"/>
          <w:lang w:val="en-US" w:eastAsia="zh-CN" w:bidi="ar"/>
        </w:rPr>
        <w:t>等质保期（一年）满，余款一次性支付。</w:t>
      </w:r>
    </w:p>
    <w:p>
      <w:pPr>
        <w:pStyle w:val="4"/>
        <w:jc w:val="center"/>
        <w:rPr>
          <w:rFonts w:hint="eastAsia" w:hAnsi="宋体"/>
          <w:szCs w:val="22"/>
          <w:highlight w:val="none"/>
        </w:rPr>
      </w:pPr>
      <w:bookmarkStart w:id="43" w:name="_Toc20705"/>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四湾菜市消防设施设备采购项目</w:t>
      </w:r>
      <w:r>
        <w:rPr>
          <w:rFonts w:hint="eastAsia" w:ascii="宋体" w:hAnsi="Times New Roman" w:eastAsia="宋体" w:cs="Times New Roman"/>
          <w:b w:val="0"/>
          <w:bCs w:val="0"/>
          <w:kern w:val="0"/>
          <w:sz w:val="24"/>
          <w:szCs w:val="20"/>
          <w:lang w:val="en-US" w:eastAsia="zh-CN" w:bidi="ar-SA"/>
        </w:rPr>
        <w:t>（项目编号：</w:t>
      </w:r>
      <w:r>
        <w:rPr>
          <w:rFonts w:hint="eastAsia" w:cs="Times New Roman"/>
          <w:b w:val="0"/>
          <w:bCs w:val="0"/>
          <w:kern w:val="0"/>
          <w:sz w:val="24"/>
          <w:szCs w:val="20"/>
          <w:lang w:val="en-US" w:eastAsia="zh-CN" w:bidi="ar-SA"/>
        </w:rPr>
        <w:t xml:space="preserve"> </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9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6"/>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6"/>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投标人资格</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（1）营业执照经营范围包含建筑消防设施检测、维修、保养；</w:t>
            </w:r>
          </w:p>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 投标人拟配备的专业人员具有不少于1个一级注册消防工程师职业资格证书，提供证书人员须提供近三个月任意一个月社保证明材料；</w:t>
            </w:r>
          </w:p>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（3）具有消防设施专项工程设计乙级及以上资质；</w:t>
            </w:r>
          </w:p>
          <w:p>
            <w:pPr>
              <w:adjustRightInd w:val="0"/>
              <w:snapToGrid w:val="0"/>
              <w:spacing w:line="420" w:lineRule="exact"/>
              <w:ind w:right="-11"/>
              <w:jc w:val="center"/>
              <w:rPr>
                <w:rFonts w:hint="eastAsia" w:ascii="宋体" w:hAnsi="宋体" w:eastAsia="宋体"/>
                <w:color w:val="auto"/>
                <w:sz w:val="24"/>
                <w:szCs w:val="24"/>
                <w:highlight w:val="none"/>
                <w:lang w:eastAsia="zh-CN"/>
              </w:rPr>
            </w:pPr>
            <w:r>
              <w:rPr>
                <w:rFonts w:hint="eastAsia" w:ascii="宋体" w:hAnsi="宋体" w:eastAsia="宋体" w:cs="Times New Roman"/>
                <w:color w:val="auto"/>
                <w:sz w:val="24"/>
                <w:szCs w:val="24"/>
                <w:highlight w:val="none"/>
                <w:lang w:val="en-US" w:eastAsia="zh-CN"/>
              </w:rPr>
              <w:t>（4）具有消防设施工程专业承包二级及以上资质。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597"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6"/>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pStyle w:val="5"/>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8" w:name="_Toc28378"/>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p>
    <w:p>
      <w:pPr>
        <w:pStyle w:val="4"/>
        <w:numPr>
          <w:ilvl w:val="0"/>
          <w:numId w:val="0"/>
        </w:numPr>
        <w:jc w:val="center"/>
        <w:rPr>
          <w:rFonts w:hint="eastAsia" w:ascii="宋体" w:hAnsi="Times New Roman" w:eastAsia="宋体" w:cs="Times New Roman"/>
          <w:b/>
          <w:bCs/>
          <w:lang w:val="en-US" w:eastAsia="zh-CN"/>
        </w:rPr>
      </w:pPr>
      <w:bookmarkStart w:id="49" w:name="_Toc5575"/>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0" w:name="_Toc27045"/>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9323"/>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default" w:ascii="宋体" w:hAnsi="Times New Roman" w:eastAsia="宋体" w:cs="Times New Roman"/>
          <w:b/>
          <w:bCs/>
          <w:sz w:val="24"/>
          <w:highlight w:val="none"/>
          <w:lang w:val="en-US" w:eastAsia="zh-CN" w:bidi="ar-SA"/>
        </w:rPr>
      </w:pPr>
      <w:bookmarkStart w:id="54" w:name="_Toc28421"/>
      <w:r>
        <w:rPr>
          <w:rFonts w:hint="eastAsia" w:ascii="宋体" w:hAnsi="Times New Roman" w:eastAsia="宋体" w:cs="Times New Roman"/>
          <w:b/>
          <w:bCs/>
          <w:sz w:val="24"/>
          <w:highlight w:val="none"/>
          <w:lang w:val="en-US" w:eastAsia="zh-CN" w:bidi="ar-SA"/>
        </w:rPr>
        <w:t>一、</w:t>
      </w:r>
      <w:r>
        <w:rPr>
          <w:rFonts w:hint="eastAsia" w:cs="Times New Roman"/>
          <w:b/>
          <w:bCs/>
          <w:sz w:val="24"/>
          <w:highlight w:val="none"/>
          <w:lang w:val="en-US" w:eastAsia="zh-CN" w:bidi="ar-SA"/>
        </w:rPr>
        <w:t>开标一览表</w:t>
      </w:r>
      <w:bookmarkEnd w:id="54"/>
    </w:p>
    <w:tbl>
      <w:tblPr>
        <w:tblStyle w:val="1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none"/>
                <w:lang w:val="en-US" w:eastAsia="zh-CN"/>
              </w:rPr>
              <w:t>四湾菜市消防设施设备采购项目</w:t>
            </w:r>
            <w:r>
              <w:rPr>
                <w:rFonts w:hint="eastAsia" w:ascii="宋体" w:hAnsi="宋体" w:eastAsia="宋体"/>
                <w:b w:val="0"/>
                <w:bCs/>
                <w:color w:val="auto"/>
                <w:sz w:val="24"/>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pStyle w:val="20"/>
        <w:ind w:left="0" w:leftChars="0" w:firstLine="0" w:firstLineChars="0"/>
        <w:jc w:val="center"/>
        <w:rPr>
          <w:rFonts w:hint="eastAsia"/>
          <w:sz w:val="32"/>
          <w:szCs w:val="22"/>
          <w:lang w:val="en-US" w:eastAsia="zh-CN"/>
        </w:rPr>
      </w:pPr>
      <w:r>
        <w:rPr>
          <w:rFonts w:hint="eastAsia"/>
          <w:sz w:val="32"/>
          <w:szCs w:val="22"/>
          <w:lang w:val="en-US" w:eastAsia="zh-CN"/>
        </w:rPr>
        <w:t>分项报价单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30"/>
        <w:gridCol w:w="868"/>
        <w:gridCol w:w="707"/>
        <w:gridCol w:w="2482"/>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7"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13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868"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数量</w:t>
            </w:r>
          </w:p>
        </w:tc>
        <w:tc>
          <w:tcPr>
            <w:tcW w:w="707"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单位</w:t>
            </w:r>
          </w:p>
        </w:tc>
        <w:tc>
          <w:tcPr>
            <w:tcW w:w="2482"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c>
          <w:tcPr>
            <w:tcW w:w="1826"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130" w:type="dxa"/>
            <w:vAlign w:val="center"/>
          </w:tcPr>
          <w:p>
            <w:pPr>
              <w:pStyle w:val="2"/>
              <w:jc w:val="center"/>
              <w:rPr>
                <w:rFonts w:hint="default"/>
                <w:sz w:val="24"/>
                <w:szCs w:val="24"/>
                <w:vertAlign w:val="baseline"/>
                <w:lang w:val="en-US" w:eastAsia="zh-CN"/>
              </w:rPr>
            </w:pPr>
            <w:r>
              <w:rPr>
                <w:rFonts w:hint="eastAsia"/>
                <w:sz w:val="24"/>
                <w:szCs w:val="24"/>
              </w:rPr>
              <w:t>柜式七氟丙烷灭火装置</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133kg</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气体报警主机</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含现场加2处烟感探头等报警装置</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线路铺设</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150</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玻璃窗改泄压口</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泵房增加通风口</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项目完工第三方检测</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7</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泵房配备二氧化碳灭火器</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8</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泵房、配电房增设监控</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9</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配电房绝缘垫</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50</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10</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图纸设计</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项目中</w:t>
            </w:r>
            <w:r>
              <w:rPr>
                <w:rFonts w:hint="eastAsia"/>
                <w:sz w:val="24"/>
                <w:szCs w:val="24"/>
                <w:vertAlign w:val="baseline"/>
                <w:lang w:val="en-US" w:eastAsia="zh-CN"/>
              </w:rPr>
              <w:t>两处</w:t>
            </w:r>
            <w:r>
              <w:rPr>
                <w:rFonts w:hint="default"/>
                <w:sz w:val="24"/>
                <w:szCs w:val="24"/>
                <w:vertAlign w:val="baseline"/>
                <w:lang w:val="en-US" w:eastAsia="zh-CN"/>
              </w:rPr>
              <w:t>玻璃窗</w:t>
            </w:r>
            <w:r>
              <w:rPr>
                <w:rFonts w:hint="eastAsia"/>
                <w:sz w:val="24"/>
                <w:szCs w:val="24"/>
                <w:vertAlign w:val="baseline"/>
                <w:lang w:val="en-US" w:eastAsia="zh-CN"/>
              </w:rPr>
              <w:t>（尺寸为2.2m*1.97m）</w:t>
            </w:r>
            <w:r>
              <w:rPr>
                <w:rFonts w:hint="default"/>
                <w:sz w:val="24"/>
                <w:szCs w:val="24"/>
                <w:vertAlign w:val="baseline"/>
                <w:lang w:val="en-US" w:eastAsia="zh-CN"/>
              </w:rPr>
              <w:t>改泄压口、泵房增加通风口、线路铺设等，需出具设计图纸，经审核完成后施工。建议投标人在投标前到项目上实地考察后报价。</w:t>
            </w: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11</w:t>
            </w:r>
          </w:p>
        </w:tc>
        <w:tc>
          <w:tcPr>
            <w:tcW w:w="213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消防标识标牌</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437005" cy="1847215"/>
                  <wp:effectExtent l="0" t="0" r="10795" b="635"/>
                  <wp:docPr id="2" name="图片 2" descr="0957fd252f61296f334a030fc798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57fd252f61296f334a030fc798cf3"/>
                          <pic:cNvPicPr>
                            <a:picLocks noChangeAspect="1"/>
                          </pic:cNvPicPr>
                        </pic:nvPicPr>
                        <pic:blipFill>
                          <a:blip r:embed="rId10"/>
                          <a:stretch>
                            <a:fillRect/>
                          </a:stretch>
                        </pic:blipFill>
                        <pic:spPr>
                          <a:xfrm>
                            <a:off x="0" y="0"/>
                            <a:ext cx="1437005" cy="1847215"/>
                          </a:xfrm>
                          <a:prstGeom prst="rect">
                            <a:avLst/>
                          </a:prstGeom>
                        </pic:spPr>
                      </pic:pic>
                    </a:graphicData>
                  </a:graphic>
                </wp:inline>
              </w:drawing>
            </w: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12</w:t>
            </w:r>
          </w:p>
        </w:tc>
        <w:tc>
          <w:tcPr>
            <w:tcW w:w="213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防火门校正</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维修</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4" w:type="dxa"/>
            <w:gridSpan w:val="5"/>
            <w:vAlign w:val="center"/>
          </w:tcPr>
          <w:p>
            <w:pPr>
              <w:pStyle w:val="2"/>
              <w:jc w:val="center"/>
              <w:rPr>
                <w:rFonts w:hint="eastAsia"/>
                <w:b/>
                <w:bCs/>
                <w:sz w:val="24"/>
                <w:szCs w:val="24"/>
                <w:vertAlign w:val="baseline"/>
                <w:lang w:val="en-US" w:eastAsia="zh-CN"/>
              </w:rPr>
            </w:pPr>
            <w:r>
              <w:rPr>
                <w:rFonts w:hint="eastAsia"/>
                <w:b/>
                <w:bCs/>
                <w:sz w:val="24"/>
                <w:szCs w:val="24"/>
                <w:vertAlign w:val="baseline"/>
                <w:lang w:val="en-US" w:eastAsia="zh-CN"/>
              </w:rPr>
              <w:t>总计</w:t>
            </w:r>
          </w:p>
        </w:tc>
        <w:tc>
          <w:tcPr>
            <w:tcW w:w="1826"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 xml:space="preserve">    </w:t>
            </w:r>
          </w:p>
        </w:tc>
      </w:tr>
    </w:tbl>
    <w:p>
      <w:pPr>
        <w:pStyle w:val="15"/>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541"/>
      <w:r>
        <w:rPr>
          <w:rFonts w:hint="eastAsia" w:ascii="宋体" w:hAnsi="Times New Roman" w:eastAsia="宋体" w:cs="Times New Roman"/>
          <w:bCs w:val="0"/>
          <w:sz w:val="24"/>
          <w:highlight w:val="none"/>
          <w:lang w:val="en-US" w:eastAsia="zh-CN" w:bidi="ar-SA"/>
        </w:rPr>
        <w:t>二、投标人基本情况表</w:t>
      </w:r>
      <w:bookmarkEnd w:id="55"/>
    </w:p>
    <w:tbl>
      <w:tblPr>
        <w:tblStyle w:val="16"/>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56" w:name="_Toc26095"/>
      <w:bookmarkStart w:id="57" w:name="_Toc460227108"/>
      <w:bookmarkStart w:id="58" w:name="_Toc224103496"/>
      <w:bookmarkStart w:id="59" w:name="_Toc421917001"/>
      <w:bookmarkStart w:id="60" w:name="_Toc460660223"/>
      <w:bookmarkStart w:id="61" w:name="_Toc390411621"/>
      <w:bookmarkStart w:id="62" w:name="_Toc460227109"/>
      <w:bookmarkStart w:id="63" w:name="_Toc460660224"/>
      <w:bookmarkStart w:id="64" w:name="_Toc390411622"/>
      <w:bookmarkStart w:id="65" w:name="_Toc421917002"/>
      <w:bookmarkStart w:id="66" w:name="_Toc224103499"/>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hAnsi="宋体"/>
        </w:rPr>
        <w:t xml:space="preserve"> </w:t>
      </w:r>
      <w:bookmarkEnd w:id="57"/>
      <w:bookmarkEnd w:id="58"/>
      <w:bookmarkEnd w:id="59"/>
      <w:bookmarkEnd w:id="60"/>
      <w:bookmarkEnd w:id="61"/>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1. 我方已仔细研究</w:t>
      </w:r>
      <w:r>
        <w:rPr>
          <w:rFonts w:hint="eastAsia" w:hAnsi="宋体"/>
          <w:szCs w:val="22"/>
          <w:highlight w:val="none"/>
          <w:u w:val="single"/>
        </w:rPr>
        <w:t xml:space="preserve">  </w:t>
      </w:r>
      <w:r>
        <w:rPr>
          <w:rFonts w:hint="eastAsia" w:hAnsi="宋体"/>
          <w:szCs w:val="22"/>
          <w:highlight w:val="none"/>
          <w:u w:val="single"/>
          <w:lang w:val="en-US" w:eastAsia="zh-CN"/>
        </w:rPr>
        <w:t xml:space="preserve">  （项目名称）</w:t>
      </w:r>
      <w:r>
        <w:rPr>
          <w:rFonts w:hint="eastAsia" w:hAnsi="宋体"/>
          <w:szCs w:val="22"/>
          <w:highlight w:val="none"/>
          <w:u w:val="single"/>
        </w:rPr>
        <w:t xml:space="preserve">     </w:t>
      </w:r>
      <w:r>
        <w:rPr>
          <w:rFonts w:hint="eastAsia" w:hAnsi="宋体"/>
          <w:szCs w:val="22"/>
          <w:highlight w:val="none"/>
        </w:rPr>
        <w:t>招标文件的全部内容，在考察工程现场后，愿以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u w:val="single"/>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w:t>
      </w:r>
      <w:r>
        <w:rPr>
          <w:rFonts w:hint="eastAsia" w:hAnsi="宋体"/>
          <w:szCs w:val="22"/>
          <w:highlight w:val="none"/>
          <w:lang w:eastAsia="zh-CN"/>
        </w:rPr>
        <w:t>总价</w:t>
      </w:r>
      <w:r>
        <w:rPr>
          <w:rFonts w:hint="eastAsia" w:hAnsi="宋体"/>
          <w:szCs w:val="22"/>
          <w:highlight w:val="none"/>
        </w:rPr>
        <w:t>报价，</w:t>
      </w:r>
      <w:r>
        <w:rPr>
          <w:rFonts w:hint="eastAsia" w:hAnsi="宋体"/>
          <w:b/>
          <w:bCs/>
          <w:szCs w:val="22"/>
          <w:highlight w:val="none"/>
          <w:lang w:val="en-US" w:eastAsia="zh-CN"/>
        </w:rPr>
        <w:t>单价</w:t>
      </w:r>
      <w:r>
        <w:rPr>
          <w:rFonts w:hint="eastAsia"/>
          <w:b/>
          <w:bCs/>
          <w:u w:val="single"/>
        </w:rPr>
        <w:t xml:space="preserve">        </w:t>
      </w:r>
      <w:r>
        <w:rPr>
          <w:rFonts w:hint="eastAsia"/>
          <w:b/>
          <w:bCs/>
          <w:u w:val="single"/>
          <w:lang w:val="en-US" w:eastAsia="zh-CN"/>
        </w:rPr>
        <w:t xml:space="preserve">   </w:t>
      </w:r>
      <w:r>
        <w:rPr>
          <w:rFonts w:hint="eastAsia"/>
          <w:b/>
          <w:bCs/>
          <w:lang w:eastAsia="zh-CN"/>
        </w:rPr>
        <w:t>元</w:t>
      </w:r>
      <w:r>
        <w:rPr>
          <w:rFonts w:hint="eastAsia"/>
          <w:b/>
          <w:bCs/>
        </w:rPr>
        <w:t xml:space="preserve"> </w:t>
      </w:r>
      <w:r>
        <w:rPr>
          <w:rFonts w:hint="eastAsia"/>
          <w:b/>
          <w:bCs/>
          <w:lang w:val="en-US" w:eastAsia="zh-CN"/>
        </w:rPr>
        <w:t>/本，</w:t>
      </w:r>
      <w:r>
        <w:rPr>
          <w:rFonts w:hint="eastAsia" w:hAnsi="宋体"/>
          <w:szCs w:val="22"/>
          <w:highlight w:val="none"/>
        </w:rPr>
        <w:t>按合同约定实施和完成</w:t>
      </w:r>
      <w:r>
        <w:rPr>
          <w:rFonts w:hint="eastAsia" w:hAnsi="宋体"/>
          <w:szCs w:val="22"/>
          <w:highlight w:val="none"/>
          <w:lang w:val="en-US" w:eastAsia="zh-CN"/>
        </w:rPr>
        <w:t>采购供货</w:t>
      </w:r>
      <w:r>
        <w:rPr>
          <w:rFonts w:hint="eastAsia" w:hAnsi="宋体"/>
          <w:szCs w:val="22"/>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2. 我方承诺在招标文件规定的投标有效期内不撤销投标文件。</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bCs/>
          <w:szCs w:val="32"/>
          <w:highlight w:val="none"/>
          <w:lang w:val="en-US" w:eastAsia="zh-CN"/>
        </w:rPr>
        <w:t>3</w:t>
      </w:r>
      <w:r>
        <w:rPr>
          <w:rFonts w:hint="eastAsia" w:hAnsi="宋体"/>
          <w:bCs/>
          <w:szCs w:val="32"/>
          <w:highlight w:val="none"/>
        </w:rPr>
        <w:t>. 如我方中标，我方承诺：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（1）在收到中标通知书后，在中标通知书规定的期限内与你方签订合同；</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（2）在签订合同时不向你方提出附加条件；</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（3）按照招标文件要求提交履约保证金；</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（4）在合同约定的期限内完成合同规定的全部义务；</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w:t>
      </w:r>
      <w:r>
        <w:rPr>
          <w:rFonts w:hint="eastAsia" w:hAnsi="宋体"/>
          <w:bCs/>
          <w:szCs w:val="32"/>
          <w:highlight w:val="none"/>
          <w:lang w:eastAsia="zh-CN"/>
        </w:rPr>
        <w:t>项目经理/项目负责人/项目负责人</w:t>
      </w:r>
      <w:r>
        <w:rPr>
          <w:rFonts w:hint="eastAsia" w:hAnsi="宋体"/>
          <w:bCs/>
          <w:szCs w:val="32"/>
          <w:highlight w:val="none"/>
        </w:rPr>
        <w:t>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48" w:beforeLines="20" w:after="48" w:afterLines="20" w:line="400" w:lineRule="exact"/>
        <w:ind w:firstLine="420" w:firstLineChars="175"/>
        <w:rPr>
          <w:rFonts w:hint="eastAsia" w:hAnsi="宋体"/>
          <w:szCs w:val="22"/>
          <w:highlight w:val="none"/>
        </w:rPr>
      </w:pPr>
      <w:r>
        <w:rPr>
          <w:rFonts w:hint="eastAsia" w:hAnsi="宋体"/>
          <w:bCs/>
          <w:szCs w:val="32"/>
          <w:highlight w:val="none"/>
        </w:rPr>
        <w:t>（6）</w:t>
      </w:r>
      <w:r>
        <w:rPr>
          <w:rFonts w:hint="eastAsia" w:hAnsi="宋体"/>
          <w:szCs w:val="22"/>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4</w:t>
      </w:r>
      <w:r>
        <w:rPr>
          <w:rFonts w:hint="eastAsia" w:hAnsi="宋体"/>
          <w:bCs/>
          <w:szCs w:val="32"/>
          <w:highlight w:val="none"/>
        </w:rPr>
        <w:t>.</w:t>
      </w:r>
      <w:r>
        <w:rPr>
          <w:snapToGrid w:val="0"/>
          <w:szCs w:val="21"/>
          <w:highlight w:val="none"/>
        </w:rPr>
        <w:t xml:space="preserve"> </w:t>
      </w:r>
      <w:r>
        <w:rPr>
          <w:rFonts w:hAnsi="宋体"/>
          <w:bCs/>
          <w:szCs w:val="32"/>
          <w:highlight w:val="none"/>
        </w:rPr>
        <w:t>我方在此声明，所递交的投标文件及有关资料内容完整、真实和准确，</w:t>
      </w:r>
      <w:r>
        <w:rPr>
          <w:rFonts w:hint="eastAsia" w:hAnsi="宋体"/>
          <w:bCs/>
          <w:szCs w:val="32"/>
          <w:highlight w:val="none"/>
        </w:rPr>
        <w:t>符合资格审查条件（信誉最低要求），</w:t>
      </w:r>
      <w:r>
        <w:rPr>
          <w:rFonts w:hAnsi="宋体"/>
          <w:bCs/>
          <w:szCs w:val="32"/>
          <w:highlight w:val="none"/>
        </w:rPr>
        <w:t>且</w:t>
      </w:r>
      <w:r>
        <w:rPr>
          <w:rFonts w:hint="eastAsia" w:hAnsi="宋体"/>
          <w:bCs/>
          <w:szCs w:val="32"/>
          <w:highlight w:val="none"/>
          <w:lang w:eastAsia="zh-CN"/>
        </w:rPr>
        <w:t>我方资格满足谈判公告投标人资格条件</w:t>
      </w:r>
      <w:r>
        <w:rPr>
          <w:rFonts w:hAnsi="宋体"/>
          <w:bCs/>
          <w:szCs w:val="32"/>
          <w:highlight w:val="none"/>
        </w:rPr>
        <w:t>。</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5</w:t>
      </w:r>
      <w:r>
        <w:rPr>
          <w:rFonts w:hint="eastAsia" w:hAnsi="宋体"/>
          <w:bCs/>
          <w:szCs w:val="32"/>
          <w:highlight w:val="none"/>
        </w:rPr>
        <w:t>.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6</w:t>
      </w:r>
      <w:r>
        <w:rPr>
          <w:rFonts w:hint="eastAsia" w:hAnsi="宋体"/>
          <w:bCs/>
          <w:szCs w:val="32"/>
          <w:highlight w:val="none"/>
        </w:rPr>
        <w:t xml:space="preserve">. </w:t>
      </w:r>
      <w:r>
        <w:rPr>
          <w:rFonts w:hint="eastAsia" w:eastAsia="黑体"/>
          <w:snapToGrid w:val="0"/>
          <w:szCs w:val="21"/>
          <w:highlight w:val="none"/>
          <w:u w:val="single"/>
        </w:rPr>
        <w:t xml:space="preserve">                          </w:t>
      </w:r>
      <w:r>
        <w:rPr>
          <w:snapToGrid w:val="0"/>
          <w:szCs w:val="21"/>
          <w:highlight w:val="none"/>
        </w:rPr>
        <w:t>（其他补充说明）。</w:t>
      </w:r>
    </w:p>
    <w:p>
      <w:pPr>
        <w:adjustRightInd w:val="0"/>
        <w:snapToGrid w:val="0"/>
        <w:spacing w:before="48" w:beforeLines="20" w:after="48" w:afterLines="20" w:line="400" w:lineRule="exact"/>
        <w:ind w:firstLine="420" w:firstLineChars="175"/>
        <w:rPr>
          <w:rFonts w:hint="eastAsia" w:ascii="宋体" w:hAnsi="宋体" w:eastAsia="宋体" w:cs="Times New Roman"/>
          <w:bCs/>
          <w:szCs w:val="32"/>
          <w:highlight w:val="none"/>
        </w:rPr>
      </w:pPr>
      <w:r>
        <w:rPr>
          <w:rFonts w:hint="eastAsia" w:ascii="宋体" w:hAnsi="宋体" w:eastAsia="宋体" w:cs="Times New Roman"/>
          <w:bCs/>
          <w:szCs w:val="32"/>
          <w:highlight w:val="none"/>
          <w:lang w:val="en-US" w:eastAsia="zh-CN"/>
        </w:rPr>
        <w:t>7.</w:t>
      </w:r>
      <w:r>
        <w:rPr>
          <w:rFonts w:hint="eastAsia" w:ascii="宋体" w:hAnsi="宋体" w:eastAsia="宋体" w:cs="Times New Roman"/>
          <w:bCs/>
          <w:szCs w:val="32"/>
          <w:highlight w:val="none"/>
        </w:rPr>
        <w:t>我方承诺，如我方中标，我方将按照招标文件及招标人的要求配置项目组人员。</w:t>
      </w:r>
    </w:p>
    <w:p>
      <w:pPr>
        <w:adjustRightInd w:val="0"/>
        <w:snapToGrid w:val="0"/>
        <w:spacing w:before="48" w:beforeLines="20" w:after="48" w:afterLines="20" w:line="400" w:lineRule="exact"/>
        <w:ind w:firstLine="490" w:firstLineChars="175"/>
        <w:rPr>
          <w:rFonts w:hint="default" w:hAnsi="宋体" w:eastAsia="宋体"/>
          <w:bCs/>
          <w:sz w:val="28"/>
          <w:szCs w:val="32"/>
          <w:highlight w:val="none"/>
          <w:lang w:val="en-US" w:eastAsia="zh-CN"/>
        </w:rPr>
      </w:pPr>
    </w:p>
    <w:p>
      <w:pPr>
        <w:adjustRightInd w:val="0"/>
        <w:snapToGrid w:val="0"/>
        <w:spacing w:before="48" w:beforeLines="20" w:after="48" w:afterLines="20" w:line="400" w:lineRule="exact"/>
        <w:ind w:firstLine="420" w:firstLineChars="175"/>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spacing w:line="360" w:lineRule="auto"/>
        <w:ind w:firstLine="630"/>
      </w:pPr>
      <w:r>
        <w:rPr>
          <w:rFonts w:hint="eastAsia" w:ascii="宋体" w:hAnsi="Times New Roman" w:eastAsia="宋体" w:cs="Times New Roman"/>
          <w:bCs w:val="0"/>
          <w:sz w:val="24"/>
          <w:highlight w:val="none"/>
          <w:lang w:val="en-US" w:eastAsia="zh-CN" w:bidi="ar-S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7" w:name="_Toc535241084"/>
      <w:bookmarkStart w:id="68" w:name="_Toc535241227"/>
      <w:bookmarkStart w:id="69" w:name="_Toc535241130"/>
      <w:bookmarkStart w:id="70" w:name="_Toc224103497"/>
      <w:bookmarkStart w:id="71" w:name="_Toc224103498"/>
      <w:r>
        <w:rPr>
          <w:sz w:val="32"/>
          <w:szCs w:val="32"/>
        </w:rPr>
        <w:br w:type="page"/>
      </w:r>
      <w:r>
        <w:rPr>
          <w:rFonts w:hint="eastAsia" w:ascii="黑体" w:hAnsi="黑体" w:eastAsia="黑体"/>
          <w:bCs/>
        </w:rPr>
        <w:t>授权委托书</w:t>
      </w:r>
      <w:bookmarkEnd w:id="67"/>
      <w:bookmarkEnd w:id="68"/>
      <w:bookmarkEnd w:id="69"/>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8"/>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8"/>
          <w:rFonts w:hint="default"/>
          <w:b/>
          <w:bCs/>
          <w:color w:val="auto"/>
        </w:rPr>
        <w:t>法定代表人身份证明</w:t>
      </w: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rPr>
          <w:rStyle w:val="28"/>
          <w:rFonts w:hint="default"/>
          <w:b/>
          <w:bCs/>
          <w:color w:val="auto"/>
        </w:rPr>
      </w:pPr>
    </w:p>
    <w:p>
      <w:pPr>
        <w:pStyle w:val="15"/>
        <w:rPr>
          <w:rStyle w:val="28"/>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15"/>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15"/>
        <w:rPr>
          <w:rFonts w:hint="eastAsia" w:hAnsi="宋体"/>
          <w:b/>
          <w:bCs/>
          <w:szCs w:val="21"/>
        </w:rPr>
      </w:pPr>
    </w:p>
    <w:p>
      <w:pPr>
        <w:rPr>
          <w:rFonts w:hint="eastAsia" w:hAnsi="宋体"/>
          <w:b/>
          <w:bCs/>
          <w:szCs w:val="21"/>
        </w:rPr>
      </w:pPr>
    </w:p>
    <w:p>
      <w:pPr>
        <w:pStyle w:val="15"/>
        <w:rPr>
          <w:rFonts w:hint="eastAsia" w:hAnsi="宋体"/>
          <w:b/>
          <w:bCs/>
          <w:szCs w:val="21"/>
        </w:rPr>
      </w:pPr>
    </w:p>
    <w:p>
      <w:pPr>
        <w:pStyle w:val="15"/>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70"/>
      <w:bookmarkEnd w:id="71"/>
    </w:p>
    <w:p>
      <w:pPr>
        <w:tabs>
          <w:tab w:val="left" w:pos="5760"/>
        </w:tabs>
        <w:autoSpaceDE w:val="0"/>
        <w:autoSpaceDN w:val="0"/>
        <w:adjustRightInd w:val="0"/>
        <w:spacing w:line="300" w:lineRule="exact"/>
        <w:ind w:right="11"/>
        <w:rPr>
          <w:rFonts w:hAnsi="宋体"/>
          <w:szCs w:val="22"/>
          <w:highlight w:val="none"/>
        </w:rPr>
      </w:pPr>
    </w:p>
    <w:bookmarkEnd w:id="62"/>
    <w:bookmarkEnd w:id="63"/>
    <w:bookmarkEnd w:id="64"/>
    <w:bookmarkEnd w:id="65"/>
    <w:bookmarkEnd w:id="66"/>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2" w:name="_Toc14562"/>
      <w:bookmarkStart w:id="73" w:name="_Toc535241232"/>
      <w:bookmarkStart w:id="74" w:name="_Toc535241135"/>
      <w:bookmarkStart w:id="75" w:name="_Toc535241089"/>
      <w:bookmarkStart w:id="76" w:name="_Toc460660225"/>
      <w:bookmarkStart w:id="77" w:name="_Toc535241132"/>
      <w:bookmarkStart w:id="78" w:name="_Toc535241229"/>
      <w:bookmarkStart w:id="79" w:name="_Toc460227110"/>
      <w:bookmarkStart w:id="80" w:name="_Toc535241086"/>
      <w:r>
        <w:rPr>
          <w:rFonts w:hint="eastAsia" w:ascii="宋体" w:hAnsi="Times New Roman" w:eastAsia="宋体" w:cs="Times New Roman"/>
          <w:bCs w:val="0"/>
          <w:sz w:val="24"/>
          <w:highlight w:val="none"/>
          <w:lang w:val="en-US" w:eastAsia="zh-CN" w:bidi="ar-SA"/>
        </w:rPr>
        <w:t>五、投标人信用承诺</w:t>
      </w:r>
      <w:bookmarkEnd w:id="72"/>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929"/>
      <w:r>
        <w:rPr>
          <w:rFonts w:hint="eastAsia" w:ascii="宋体" w:hAnsi="Times New Roman" w:eastAsia="宋体" w:cs="Times New Roman"/>
          <w:bCs w:val="0"/>
          <w:sz w:val="24"/>
          <w:highlight w:val="none"/>
          <w:lang w:val="en-US" w:eastAsia="zh-CN" w:bidi="ar-SA"/>
        </w:rPr>
        <w:t>六、投标人业绩（如有）</w:t>
      </w:r>
      <w:bookmarkEnd w:id="81"/>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6"/>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17809"/>
      <w:r>
        <w:rPr>
          <w:rFonts w:hint="eastAsia" w:ascii="宋体" w:hAnsi="Times New Roman" w:eastAsia="宋体" w:cs="Times New Roman"/>
          <w:bCs w:val="0"/>
          <w:sz w:val="24"/>
          <w:highlight w:val="none"/>
          <w:lang w:val="en-US" w:eastAsia="zh-CN" w:bidi="ar-SA"/>
        </w:rPr>
        <w:t>七、奖项、荣誉（如有）</w:t>
      </w:r>
      <w:bookmarkEnd w:id="82"/>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4714"/>
      <w:r>
        <w:rPr>
          <w:rFonts w:hint="eastAsia" w:ascii="宋体" w:hAnsi="Times New Roman" w:eastAsia="宋体" w:cs="Times New Roman"/>
          <w:bCs w:val="0"/>
          <w:sz w:val="24"/>
          <w:highlight w:val="none"/>
          <w:lang w:val="en-US" w:eastAsia="zh-CN" w:bidi="ar-SA"/>
        </w:rPr>
        <w:t>八、项目管理机构</w:t>
      </w:r>
      <w:bookmarkEnd w:id="83"/>
    </w:p>
    <w:bookmarkEnd w:id="73"/>
    <w:bookmarkEnd w:id="74"/>
    <w:bookmarkEnd w:id="75"/>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6"/>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4" w:name="_Toc300835232"/>
      <w:bookmarkStart w:id="85" w:name="_Toc359594249"/>
      <w:bookmarkStart w:id="86" w:name="_Toc492300541"/>
      <w:bookmarkStart w:id="87" w:name="_Toc384308390"/>
      <w:bookmarkStart w:id="88" w:name="_Toc385943079"/>
      <w:bookmarkStart w:id="89" w:name="_Toc152042594"/>
      <w:bookmarkStart w:id="90" w:name="_Toc144974873"/>
      <w:bookmarkStart w:id="91" w:name="_Toc179632825"/>
      <w:bookmarkStart w:id="92" w:name="_Toc482188668"/>
      <w:bookmarkStart w:id="93" w:name="_Toc152045805"/>
      <w:bookmarkStart w:id="94" w:name="_Toc391394125"/>
      <w:bookmarkStart w:id="95" w:name="_Toc370676440"/>
      <w:r>
        <w:rPr>
          <w:rFonts w:hint="eastAsia" w:ascii="宋体" w:hAnsi="宋体"/>
          <w:b/>
          <w:bCs/>
          <w:color w:val="auto"/>
          <w:sz w:val="24"/>
          <w:szCs w:val="24"/>
          <w:highlight w:val="none"/>
        </w:rPr>
        <w:t>（二）主要人员简历表</w:t>
      </w:r>
      <w:bookmarkEnd w:id="84"/>
      <w:bookmarkEnd w:id="85"/>
      <w:bookmarkEnd w:id="86"/>
      <w:bookmarkEnd w:id="87"/>
      <w:bookmarkEnd w:id="88"/>
      <w:bookmarkEnd w:id="89"/>
      <w:bookmarkEnd w:id="90"/>
      <w:bookmarkEnd w:id="91"/>
      <w:bookmarkEnd w:id="92"/>
      <w:bookmarkEnd w:id="93"/>
      <w:bookmarkEnd w:id="94"/>
      <w:bookmarkEnd w:id="95"/>
    </w:p>
    <w:p>
      <w:pPr>
        <w:topLinePunct/>
        <w:spacing w:line="440" w:lineRule="exact"/>
        <w:jc w:val="center"/>
        <w:rPr>
          <w:color w:val="auto"/>
          <w:sz w:val="23"/>
          <w:highlight w:val="none"/>
        </w:rPr>
      </w:pPr>
      <w:r>
        <w:rPr>
          <w:rFonts w:hint="eastAsia"/>
          <w:color w:val="auto"/>
          <w:highlight w:val="none"/>
        </w:rPr>
        <w:t xml:space="preserve"> </w:t>
      </w:r>
    </w:p>
    <w:tbl>
      <w:tblPr>
        <w:tblStyle w:val="16"/>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p>
    <w:bookmarkEnd w:id="76"/>
    <w:bookmarkEnd w:id="77"/>
    <w:bookmarkEnd w:id="78"/>
    <w:bookmarkEnd w:id="79"/>
    <w:bookmarkEnd w:id="80"/>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6" w:name="_Toc18513"/>
      <w:r>
        <w:rPr>
          <w:rFonts w:hint="eastAsia" w:ascii="宋体" w:hAnsi="宋体" w:eastAsia="宋体" w:cs="宋体"/>
          <w:b/>
          <w:bCs/>
          <w:spacing w:val="-2"/>
          <w:sz w:val="24"/>
          <w:szCs w:val="24"/>
          <w:lang w:val="en-US" w:eastAsia="zh-CN"/>
        </w:rPr>
        <w:t>九、后期服务方案</w:t>
      </w:r>
      <w:bookmarkEnd w:id="96"/>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5113"/>
      <w:r>
        <w:rPr>
          <w:rFonts w:hint="eastAsia" w:ascii="宋体" w:hAnsi="宋体" w:eastAsia="宋体" w:cs="宋体"/>
          <w:b/>
          <w:bCs/>
          <w:spacing w:val="-2"/>
          <w:sz w:val="24"/>
          <w:szCs w:val="24"/>
          <w:lang w:val="en-US" w:eastAsia="zh-CN"/>
        </w:rPr>
        <w:t>十、其他资料</w:t>
      </w:r>
      <w:bookmarkEnd w:id="97"/>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hint="eastAsia" w:ascii="仿宋_GB2312" w:eastAsia="仿宋_GB2312"/>
        <w:sz w:val="21"/>
        <w:szCs w:val="21"/>
      </w:rPr>
    </w:pPr>
    <w:r>
      <w:rPr>
        <w:rFonts w:hint="eastAsia" w:ascii="仿宋_GB2312" w:eastAsia="仿宋_GB2312"/>
        <w:sz w:val="21"/>
        <w:szCs w:val="21"/>
      </w:rPr>
      <w:fldChar w:fldCharType="begin"/>
    </w:r>
    <w:r>
      <w:rPr>
        <w:rStyle w:val="19"/>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9"/>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hint="eastAsia" w:ascii="仿宋_GB2312" w:eastAsia="仿宋_GB2312"/>
      </w:rPr>
    </w:pPr>
    <w:r>
      <w:rPr>
        <w:rFonts w:hint="eastAsia" w:ascii="仿宋_GB2312" w:eastAsia="仿宋_GB2312"/>
      </w:rPr>
      <w:fldChar w:fldCharType="begin"/>
    </w:r>
    <w:r>
      <w:rPr>
        <w:rStyle w:val="19"/>
        <w:rFonts w:hint="eastAsia" w:ascii="仿宋_GB2312" w:eastAsia="仿宋_GB2312"/>
      </w:rPr>
      <w:instrText xml:space="preserve">PAGE  </w:instrText>
    </w:r>
    <w:r>
      <w:rPr>
        <w:rFonts w:hint="eastAsia" w:ascii="仿宋_GB2312" w:eastAsia="仿宋_GB2312"/>
      </w:rPr>
      <w:fldChar w:fldCharType="separate"/>
    </w:r>
    <w:r>
      <w:rPr>
        <w:rStyle w:val="19"/>
        <w:rFonts w:ascii="仿宋_GB2312" w:eastAsia="仿宋_GB2312"/>
      </w:rPr>
      <w:t>171</w:t>
    </w:r>
    <w:r>
      <w:rPr>
        <w:rFonts w:hint="eastAsia" w:ascii="仿宋_GB2312" w:eastAsia="仿宋_GB2312"/>
      </w:rPr>
      <w:fldChar w:fldCharType="end"/>
    </w:r>
  </w:p>
  <w:p>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422B4"/>
    <w:multiLevelType w:val="singleLevel"/>
    <w:tmpl w:val="9E9422B4"/>
    <w:lvl w:ilvl="0" w:tentative="0">
      <w:start w:val="1"/>
      <w:numFmt w:val="chineseCounting"/>
      <w:suff w:val="nothing"/>
      <w:lvlText w:val="%1、"/>
      <w:lvlJc w:val="left"/>
      <w:rPr>
        <w:rFonts w:hint="eastAsia" w:ascii="黑体" w:hAnsi="黑体" w:eastAsia="黑体" w:cs="黑体"/>
      </w:rPr>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7336DF68"/>
    <w:multiLevelType w:val="singleLevel"/>
    <w:tmpl w:val="7336DF6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54600FFA"/>
    <w:rsid w:val="20EB1561"/>
    <w:rsid w:val="495C2C05"/>
    <w:rsid w:val="4C887FDF"/>
    <w:rsid w:val="54600FFA"/>
    <w:rsid w:val="580E1F94"/>
    <w:rsid w:val="7F54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link w:val="30"/>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8">
    <w:name w:val="Normal Indent"/>
    <w:basedOn w:val="1"/>
    <w:unhideWhenUsed/>
    <w:qFormat/>
    <w:uiPriority w:val="0"/>
    <w:pPr>
      <w:ind w:firstLine="420" w:firstLineChars="200"/>
    </w:pPr>
  </w:style>
  <w:style w:type="paragraph" w:styleId="9">
    <w:name w:val="Body Text Indent"/>
    <w:basedOn w:val="1"/>
    <w:next w:val="10"/>
    <w:qFormat/>
    <w:uiPriority w:val="0"/>
    <w:pPr>
      <w:ind w:firstLine="560" w:firstLineChars="200"/>
    </w:pPr>
    <w:rPr>
      <w:rFonts w:ascii="宋体" w:hAnsi="宋体"/>
      <w:bCs/>
      <w:sz w:val="28"/>
      <w:szCs w:val="32"/>
    </w:rPr>
  </w:style>
  <w:style w:type="paragraph" w:styleId="10">
    <w:name w:val="envelope return"/>
    <w:basedOn w:val="1"/>
    <w:qFormat/>
    <w:uiPriority w:val="0"/>
    <w:pPr>
      <w:snapToGrid w:val="0"/>
    </w:pPr>
    <w:rPr>
      <w:rFonts w:ascii="Arial" w:hAnsi="Arial"/>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39"/>
    <w:pPr>
      <w:ind w:left="210"/>
      <w:jc w:val="left"/>
    </w:pPr>
    <w:rPr>
      <w:rFonts w:ascii="Calibri" w:hAnsi="Calibri" w:cs="Calibri"/>
      <w:smallCaps/>
      <w:sz w:val="20"/>
      <w:szCs w:val="20"/>
    </w:rPr>
  </w:style>
  <w:style w:type="paragraph" w:styleId="15">
    <w:name w:val="Body Text First Indent 2"/>
    <w:basedOn w:val="9"/>
    <w:next w:val="1"/>
    <w:qFormat/>
    <w:uiPriority w:val="0"/>
    <w:pPr>
      <w:ind w:left="420" w:firstLine="420"/>
    </w:p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qFormat/>
    <w:uiPriority w:val="0"/>
  </w:style>
  <w:style w:type="paragraph" w:customStyle="1" w:styleId="20">
    <w:name w:val="目录 71"/>
    <w:basedOn w:val="1"/>
    <w:next w:val="1"/>
    <w:qFormat/>
    <w:uiPriority w:val="0"/>
    <w:pPr>
      <w:ind w:left="2520"/>
    </w:pPr>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7"/>
    <w:qFormat/>
    <w:uiPriority w:val="0"/>
    <w:pPr>
      <w:spacing w:line="360" w:lineRule="auto"/>
      <w:ind w:firstLine="420" w:firstLineChars="200"/>
    </w:pPr>
    <w:rPr>
      <w:rFonts w:ascii="宋体" w:hAnsi="宋体"/>
      <w:szCs w:val="21"/>
    </w:rPr>
  </w:style>
  <w:style w:type="paragraph" w:styleId="25">
    <w:name w:val="List Paragraph"/>
    <w:basedOn w:val="1"/>
    <w:unhideWhenUsed/>
    <w:qFormat/>
    <w:uiPriority w:val="99"/>
    <w:pPr>
      <w:ind w:firstLine="420" w:firstLineChars="200"/>
    </w:pPr>
  </w:style>
  <w:style w:type="paragraph" w:customStyle="1" w:styleId="26">
    <w:name w:val="D&amp;L"/>
    <w:basedOn w:val="12"/>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7">
    <w:name w:val="首行缩进"/>
    <w:basedOn w:val="1"/>
    <w:qFormat/>
    <w:uiPriority w:val="0"/>
    <w:pPr>
      <w:spacing w:line="360" w:lineRule="auto"/>
      <w:ind w:left="210" w:leftChars="100" w:firstLine="420" w:firstLineChars="200"/>
    </w:pPr>
    <w:rPr>
      <w:rFonts w:ascii="宋体" w:hAnsi="宋体"/>
      <w:szCs w:val="24"/>
    </w:rPr>
  </w:style>
  <w:style w:type="character" w:customStyle="1" w:styleId="28">
    <w:name w:val="fontstyle01"/>
    <w:qFormat/>
    <w:uiPriority w:val="0"/>
    <w:rPr>
      <w:rFonts w:hint="eastAsia" w:ascii="宋体" w:hAnsi="宋体" w:eastAsia="宋体"/>
      <w:color w:val="000000"/>
      <w:sz w:val="22"/>
      <w:szCs w:val="22"/>
    </w:rPr>
  </w:style>
  <w:style w:type="paragraph" w:customStyle="1" w:styleId="29">
    <w:name w:val="Char Char Char Char Char Char Char1 Char"/>
    <w:basedOn w:val="1"/>
    <w:qFormat/>
    <w:uiPriority w:val="0"/>
    <w:rPr>
      <w:rFonts w:ascii="Tahoma" w:hAnsi="Tahoma"/>
      <w:sz w:val="24"/>
      <w:szCs w:val="20"/>
    </w:rPr>
  </w:style>
  <w:style w:type="character" w:customStyle="1" w:styleId="30">
    <w:name w:val="标题 2 Char"/>
    <w:link w:val="5"/>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17148</Words>
  <Characters>18044</Characters>
  <Lines>0</Lines>
  <Paragraphs>0</Paragraphs>
  <TotalTime>3</TotalTime>
  <ScaleCrop>false</ScaleCrop>
  <LinksUpToDate>false</LinksUpToDate>
  <CharactersWithSpaces>19476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2023-08-02T07:16:00Z</dcterms:created>
  <dc:creator>Administrator</dc:creator>
  <cp:lastModifiedBy>Administrator</cp:lastModifiedBy>
  <dcterms:modified xsi:type="dcterms:W3CDTF">2023-08-22T03:05:36Z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8AE41FBADAD34F779187B139DD66D008_11</vt:lpwstr>
  </property>
</Properties>
</file>