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int="eastAsia" w:ascii="黑体" w:hAnsi="黑体" w:eastAsia="宋体"/>
          <w:sz w:val="32"/>
          <w:szCs w:val="32"/>
          <w:lang w:eastAsia="zh-CN"/>
        </w:rPr>
      </w:pPr>
      <w:r>
        <w:rPr>
          <w:rFonts w:hint="eastAsia" w:hAnsi="DotumChe" w:cs="宋体"/>
          <w:b/>
          <w:spacing w:val="20"/>
          <w:sz w:val="32"/>
          <w:szCs w:val="32"/>
        </w:rPr>
        <w:t>项目名称：</w:t>
      </w:r>
      <w:r>
        <w:rPr>
          <w:rFonts w:hint="eastAsia" w:hAnsi="DotumChe" w:cs="宋体"/>
          <w:b/>
          <w:spacing w:val="20"/>
          <w:sz w:val="32"/>
          <w:szCs w:val="32"/>
          <w:lang w:eastAsia="zh-CN"/>
        </w:rPr>
        <w:t>迎两节两会淮河路步行街东西入口处花境施工及红星路、宿州路、环城东路苗木提升项目</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项目编号：2023GW002</w:t>
      </w:r>
      <w:r>
        <w:rPr>
          <w:rFonts w:hint="eastAsia" w:hAnsi="DotumChe" w:cs="宋体"/>
          <w:b/>
          <w:spacing w:val="20"/>
          <w:sz w:val="32"/>
          <w:szCs w:val="32"/>
          <w:lang w:val="en-US" w:eastAsia="zh-CN"/>
        </w:rPr>
        <w:t xml:space="preserve">5 </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招 标 人：</w:t>
      </w:r>
      <w:r>
        <w:rPr>
          <w:rFonts w:hint="eastAsia" w:hAnsi="DotumChe" w:cs="宋体"/>
          <w:b/>
          <w:spacing w:val="20"/>
          <w:sz w:val="32"/>
          <w:szCs w:val="32"/>
          <w:lang w:eastAsia="zh-CN"/>
        </w:rPr>
        <w:t>合肥庐阳文化旅游发展集团有限公司</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招标时间：二〇二三年</w:t>
      </w:r>
      <w:r>
        <w:rPr>
          <w:rFonts w:hint="eastAsia" w:hAnsi="DotumChe" w:cs="宋体"/>
          <w:b/>
          <w:spacing w:val="20"/>
          <w:sz w:val="32"/>
          <w:szCs w:val="32"/>
          <w:lang w:val="en-US" w:eastAsia="zh-CN"/>
        </w:rPr>
        <w:t>九</w:t>
      </w:r>
      <w:r>
        <w:rPr>
          <w:rFonts w:hint="eastAsia" w:hAnsi="DotumChe" w:cs="宋体"/>
          <w:b/>
          <w:spacing w:val="20"/>
          <w:sz w:val="32"/>
          <w:szCs w:val="32"/>
        </w:rPr>
        <w:t>月</w:t>
      </w:r>
    </w:p>
    <w:p>
      <w:pPr>
        <w:spacing w:after="468" w:afterLines="150" w:line="540" w:lineRule="exact"/>
        <w:jc w:val="center"/>
        <w:rPr>
          <w:rFonts w:hAnsi="宋体"/>
          <w:b/>
          <w:sz w:val="52"/>
          <w:szCs w:val="52"/>
        </w:rPr>
      </w:pPr>
    </w:p>
    <w:p>
      <w:pPr>
        <w:pStyle w:val="17"/>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4"/>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4"/>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4"/>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9</w:t>
      </w:r>
      <w:r>
        <w:fldChar w:fldCharType="end"/>
      </w:r>
      <w:r>
        <w:fldChar w:fldCharType="end"/>
      </w:r>
    </w:p>
    <w:p>
      <w:pPr>
        <w:pStyle w:val="14"/>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21</w:t>
      </w:r>
      <w:r>
        <w:fldChar w:fldCharType="end"/>
      </w:r>
      <w:r>
        <w:fldChar w:fldCharType="end"/>
      </w:r>
    </w:p>
    <w:p>
      <w:pPr>
        <w:pStyle w:val="14"/>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25</w:t>
      </w:r>
      <w:r>
        <w:fldChar w:fldCharType="end"/>
      </w:r>
      <w:r>
        <w:fldChar w:fldCharType="end"/>
      </w:r>
    </w:p>
    <w:p>
      <w:pPr>
        <w:pStyle w:val="14"/>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29</w:t>
      </w:r>
      <w:r>
        <w:fldChar w:fldCharType="end"/>
      </w:r>
      <w:r>
        <w:fldChar w:fldCharType="end"/>
      </w:r>
    </w:p>
    <w:p>
      <w:pPr>
        <w:pStyle w:val="14"/>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30</w:t>
      </w:r>
      <w:r>
        <w:fldChar w:fldCharType="end"/>
      </w:r>
      <w:r>
        <w:fldChar w:fldCharType="end"/>
      </w:r>
    </w:p>
    <w:p>
      <w:pPr>
        <w:pStyle w:val="15"/>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30</w:t>
      </w:r>
      <w:r>
        <w:fldChar w:fldCharType="end"/>
      </w:r>
      <w:r>
        <w:fldChar w:fldCharType="end"/>
      </w:r>
    </w:p>
    <w:p>
      <w:pPr>
        <w:pStyle w:val="15"/>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31</w:t>
      </w:r>
      <w:r>
        <w:fldChar w:fldCharType="end"/>
      </w:r>
      <w:r>
        <w:fldChar w:fldCharType="end"/>
      </w:r>
    </w:p>
    <w:p>
      <w:pPr>
        <w:pStyle w:val="15"/>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32</w:t>
      </w:r>
      <w:r>
        <w:fldChar w:fldCharType="end"/>
      </w:r>
      <w:r>
        <w:fldChar w:fldCharType="end"/>
      </w:r>
    </w:p>
    <w:p>
      <w:pPr>
        <w:pStyle w:val="15"/>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33</w:t>
      </w:r>
      <w:r>
        <w:fldChar w:fldCharType="end"/>
      </w:r>
      <w:r>
        <w:fldChar w:fldCharType="end"/>
      </w:r>
    </w:p>
    <w:p>
      <w:pPr>
        <w:pStyle w:val="15"/>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34</w:t>
      </w:r>
      <w:r>
        <w:fldChar w:fldCharType="end"/>
      </w:r>
      <w:r>
        <w:fldChar w:fldCharType="end"/>
      </w:r>
    </w:p>
    <w:p>
      <w:pPr>
        <w:pStyle w:val="15"/>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38</w:t>
      </w:r>
      <w:r>
        <w:fldChar w:fldCharType="end"/>
      </w:r>
      <w:r>
        <w:fldChar w:fldCharType="end"/>
      </w:r>
    </w:p>
    <w:p>
      <w:pPr>
        <w:pStyle w:val="15"/>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39</w:t>
      </w:r>
      <w:r>
        <w:fldChar w:fldCharType="end"/>
      </w:r>
      <w:r>
        <w:fldChar w:fldCharType="end"/>
      </w:r>
    </w:p>
    <w:p>
      <w:pPr>
        <w:pStyle w:val="15"/>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40</w:t>
      </w:r>
      <w:r>
        <w:fldChar w:fldCharType="end"/>
      </w:r>
      <w:r>
        <w:fldChar w:fldCharType="end"/>
      </w:r>
    </w:p>
    <w:p>
      <w:pPr>
        <w:pStyle w:val="15"/>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41</w:t>
      </w:r>
      <w:r>
        <w:fldChar w:fldCharType="end"/>
      </w:r>
      <w:r>
        <w:fldChar w:fldCharType="end"/>
      </w:r>
    </w:p>
    <w:p>
      <w:pPr>
        <w:pStyle w:val="15"/>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42</w:t>
      </w:r>
      <w:r>
        <w:fldChar w:fldCharType="end"/>
      </w:r>
      <w:r>
        <w:fldChar w:fldCharType="end"/>
      </w:r>
    </w:p>
    <w:p>
      <w:pPr>
        <w:pStyle w:val="15"/>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42</w:t>
      </w:r>
      <w:r>
        <w:fldChar w:fldCharType="end"/>
      </w:r>
      <w:r>
        <w:fldChar w:fldCharType="end"/>
      </w:r>
    </w:p>
    <w:p>
      <w:pPr>
        <w:spacing w:line="360" w:lineRule="auto"/>
        <w:ind w:firstLine="435"/>
        <w:jc w:val="center"/>
      </w:pPr>
      <w:r>
        <w:rPr>
          <w:rFonts w:eastAsia="黑体"/>
          <w:szCs w:val="24"/>
        </w:rPr>
        <w:fldChar w:fldCharType="end"/>
      </w:r>
    </w:p>
    <w:p>
      <w:pPr>
        <w:pStyle w:val="3"/>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9015"/>
      <w:r>
        <w:rPr>
          <w:rFonts w:hint="eastAsia"/>
        </w:rPr>
        <w:t>磋商邀请（磋商公告）</w:t>
      </w:r>
      <w:bookmarkEnd w:id="0"/>
      <w:bookmarkEnd w:id="1"/>
      <w:bookmarkEnd w:id="2"/>
    </w:p>
    <w:p>
      <w:pPr>
        <w:pStyle w:val="25"/>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eastAsia="zh-CN"/>
        </w:rPr>
        <w:t>迎两节两会淮河路步行街东西入口处花境施工及红星路、宿州路、环城东路苗木提升项目</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合肥庐阳文化旅游发展集团有限公司</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1.项目编号：2023GW0025</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24"/>
          <w:lang w:eastAsia="zh-CN"/>
        </w:rPr>
        <w:t>迎两节两会淮河路步行街东西入口处花境施工及红星路、宿州路、环城东路苗木提升项目</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hAnsi="宋体"/>
          <w:szCs w:val="24"/>
          <w:lang w:val="en-US" w:eastAsia="zh-CN"/>
        </w:rPr>
        <w:t>招标人指定地点</w:t>
      </w:r>
      <w:r>
        <w:rPr>
          <w:rFonts w:hint="eastAsia" w:hAnsi="宋体"/>
          <w:szCs w:val="24"/>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合肥庐阳文化旅游发展集团有限公司</w:t>
      </w:r>
    </w:p>
    <w:p>
      <w:pPr>
        <w:spacing w:line="360" w:lineRule="auto"/>
        <w:ind w:firstLine="240" w:firstLineChars="100"/>
        <w:rPr>
          <w:rFonts w:hAnsi="宋体"/>
          <w:szCs w:val="24"/>
        </w:rPr>
      </w:pPr>
      <w:r>
        <w:rPr>
          <w:rFonts w:hint="eastAsia" w:hAnsi="宋体"/>
          <w:szCs w:val="24"/>
        </w:rPr>
        <w:t xml:space="preserve">5.项目概况：为迎接74周年国庆节到来及园博园开园，根据区政府安排，为提升街区整体节日氛围，我单位拟在淮河路步行街东西入口处进行花境施工及对红星路、宿州路、环城东路进行苗木提升 </w:t>
      </w:r>
    </w:p>
    <w:p>
      <w:pPr>
        <w:autoSpaceDE w:val="0"/>
        <w:autoSpaceDN w:val="0"/>
        <w:adjustRightInd w:val="0"/>
        <w:spacing w:line="360" w:lineRule="auto"/>
        <w:ind w:firstLine="200"/>
        <w:jc w:val="left"/>
        <w:rPr>
          <w:rFonts w:hAnsi="宋体"/>
          <w:szCs w:val="24"/>
          <w:highlight w:val="none"/>
        </w:rPr>
      </w:pPr>
      <w:r>
        <w:rPr>
          <w:rFonts w:hint="eastAsia" w:hAnsi="宋体"/>
          <w:szCs w:val="24"/>
          <w:highlight w:val="none"/>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szCs w:val="24"/>
          <w:lang w:val="en-US" w:eastAsia="zh-CN"/>
        </w:rPr>
        <w:t>47</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w:t>
      </w:r>
      <w:r>
        <w:rPr>
          <w:rFonts w:hint="eastAsia" w:hAnsi="宋体"/>
          <w:szCs w:val="24"/>
          <w:lang w:val="en-US" w:eastAsia="zh-CN"/>
        </w:rPr>
        <w:t>工程</w:t>
      </w:r>
      <w:r>
        <w:rPr>
          <w:rFonts w:hint="eastAsia" w:hAnsi="宋体"/>
          <w:szCs w:val="24"/>
        </w:rPr>
        <w:t>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Ansi="宋体"/>
          <w:szCs w:val="24"/>
        </w:rPr>
      </w:pPr>
      <w:r>
        <w:rPr>
          <w:rFonts w:hint="eastAsia" w:hAnsi="宋体"/>
          <w:szCs w:val="24"/>
        </w:rPr>
        <w:t>2.具有独立承担民事责任的能力，不具有独立法人的分支机构投标另须提供相应授权文件；</w:t>
      </w:r>
    </w:p>
    <w:p>
      <w:pPr>
        <w:autoSpaceDE w:val="0"/>
        <w:autoSpaceDN w:val="0"/>
        <w:adjustRightInd w:val="0"/>
        <w:spacing w:line="360" w:lineRule="auto"/>
        <w:ind w:firstLine="200"/>
        <w:jc w:val="left"/>
        <w:rPr>
          <w:rFonts w:hAnsi="宋体"/>
          <w:szCs w:val="18"/>
        </w:rPr>
      </w:pPr>
      <w:r>
        <w:rPr>
          <w:rFonts w:hint="eastAsia" w:hAnsi="宋体"/>
          <w:szCs w:val="18"/>
        </w:rPr>
        <w:t>3.符合下列情形之一：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eastAsia" w:hAnsi="宋体" w:eastAsia="宋体"/>
          <w:bCs/>
          <w:szCs w:val="24"/>
          <w:highlight w:val="yellow"/>
          <w:lang w:eastAsia="zh-CN"/>
        </w:rPr>
      </w:pPr>
      <w:r>
        <w:rPr>
          <w:rFonts w:hint="eastAsia" w:hAnsi="宋体"/>
          <w:bCs/>
          <w:color w:val="000000"/>
          <w:szCs w:val="24"/>
        </w:rPr>
        <w:t>1.获取时间：</w:t>
      </w:r>
      <w:r>
        <w:rPr>
          <w:rFonts w:hint="eastAsia" w:hAnsi="宋体"/>
          <w:bCs/>
          <w:szCs w:val="24"/>
        </w:rPr>
        <w:t>2023年</w:t>
      </w:r>
      <w:r>
        <w:rPr>
          <w:rFonts w:hint="eastAsia" w:hAnsi="宋体"/>
          <w:bCs/>
          <w:szCs w:val="24"/>
          <w:lang w:val="en-US" w:eastAsia="zh-CN"/>
        </w:rPr>
        <w:t>9</w:t>
      </w:r>
      <w:r>
        <w:rPr>
          <w:rFonts w:hint="eastAsia" w:hAnsi="宋体"/>
          <w:bCs/>
          <w:szCs w:val="24"/>
        </w:rPr>
        <w:t>月</w:t>
      </w:r>
      <w:r>
        <w:rPr>
          <w:rFonts w:hint="eastAsia" w:hAnsi="宋体"/>
          <w:bCs/>
          <w:szCs w:val="24"/>
          <w:lang w:val="en-US" w:eastAsia="zh-CN"/>
        </w:rPr>
        <w:t>20</w:t>
      </w:r>
      <w:r>
        <w:rPr>
          <w:rFonts w:hint="eastAsia" w:hAnsi="宋体"/>
          <w:bCs/>
          <w:szCs w:val="24"/>
        </w:rPr>
        <w:t>日</w:t>
      </w:r>
      <w:r>
        <w:rPr>
          <w:rFonts w:hint="eastAsia" w:hAnsi="宋体"/>
          <w:bCs/>
          <w:szCs w:val="24"/>
          <w:lang w:val="en-US" w:eastAsia="zh-CN"/>
        </w:rPr>
        <w:t>8</w:t>
      </w:r>
      <w:r>
        <w:rPr>
          <w:rFonts w:hint="eastAsia" w:hAnsi="宋体"/>
          <w:bCs/>
          <w:szCs w:val="24"/>
        </w:rPr>
        <w:t>:</w:t>
      </w:r>
      <w:r>
        <w:rPr>
          <w:rFonts w:hint="eastAsia" w:hAnsi="宋体"/>
          <w:bCs/>
          <w:szCs w:val="24"/>
          <w:lang w:val="en-US" w:eastAsia="zh-CN"/>
        </w:rPr>
        <w:t>30</w:t>
      </w:r>
      <w:r>
        <w:rPr>
          <w:rFonts w:hint="eastAsia" w:hAnsi="宋体"/>
          <w:bCs/>
          <w:szCs w:val="24"/>
        </w:rPr>
        <w:t>至2023年</w:t>
      </w:r>
      <w:r>
        <w:rPr>
          <w:rFonts w:hint="eastAsia" w:hAnsi="宋体"/>
          <w:bCs/>
          <w:szCs w:val="24"/>
          <w:lang w:val="en-US" w:eastAsia="zh-CN"/>
        </w:rPr>
        <w:t>9</w:t>
      </w:r>
      <w:r>
        <w:rPr>
          <w:rFonts w:hint="eastAsia" w:hAnsi="宋体"/>
          <w:bCs/>
          <w:szCs w:val="24"/>
        </w:rPr>
        <w:t>月</w:t>
      </w:r>
      <w:r>
        <w:rPr>
          <w:rFonts w:hint="eastAsia" w:hAnsi="宋体"/>
          <w:bCs/>
          <w:szCs w:val="24"/>
          <w:lang w:val="en-US" w:eastAsia="zh-CN"/>
        </w:rPr>
        <w:t>25</w:t>
      </w:r>
      <w:r>
        <w:rPr>
          <w:rFonts w:hint="eastAsia" w:hAnsi="宋体"/>
          <w:bCs/>
          <w:szCs w:val="24"/>
        </w:rPr>
        <w:t>日</w:t>
      </w:r>
      <w:r>
        <w:rPr>
          <w:rFonts w:hint="eastAsia" w:hAnsi="宋体"/>
          <w:bCs/>
          <w:szCs w:val="24"/>
          <w:lang w:val="en-US" w:eastAsia="zh-CN"/>
        </w:rPr>
        <w:t>8</w:t>
      </w:r>
      <w:r>
        <w:rPr>
          <w:rFonts w:hint="eastAsia" w:hAnsi="宋体"/>
          <w:bCs/>
          <w:szCs w:val="24"/>
        </w:rPr>
        <w:t>:</w:t>
      </w:r>
      <w:r>
        <w:rPr>
          <w:rFonts w:hint="eastAsia" w:hAnsi="宋体"/>
          <w:bCs/>
          <w:szCs w:val="24"/>
          <w:lang w:val="en-US" w:eastAsia="zh-CN"/>
        </w:rPr>
        <w:t xml:space="preserve">30 </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bookmarkStart w:id="93" w:name="_GoBack"/>
      <w:bookmarkEnd w:id="93"/>
    </w:p>
    <w:p>
      <w:pPr>
        <w:autoSpaceDE w:val="0"/>
        <w:autoSpaceDN w:val="0"/>
        <w:adjustRightInd w:val="0"/>
        <w:spacing w:line="360" w:lineRule="auto"/>
        <w:ind w:firstLine="200"/>
        <w:jc w:val="left"/>
        <w:rPr>
          <w:rFonts w:hAnsi="宋体"/>
          <w:bCs/>
        </w:rPr>
      </w:pPr>
      <w:r>
        <w:rPr>
          <w:rFonts w:hint="eastAsia" w:hAnsi="宋体"/>
          <w:bCs/>
          <w:szCs w:val="24"/>
        </w:rPr>
        <w:t>2023年</w:t>
      </w:r>
      <w:r>
        <w:rPr>
          <w:rFonts w:hint="eastAsia" w:hAnsi="宋体"/>
          <w:bCs/>
          <w:szCs w:val="24"/>
          <w:lang w:val="en-US" w:eastAsia="zh-CN"/>
        </w:rPr>
        <w:t>9</w:t>
      </w:r>
      <w:r>
        <w:rPr>
          <w:rFonts w:hint="eastAsia" w:hAnsi="宋体"/>
          <w:bCs/>
          <w:szCs w:val="24"/>
        </w:rPr>
        <w:t>月</w:t>
      </w:r>
      <w:r>
        <w:rPr>
          <w:rFonts w:hint="eastAsia" w:hAnsi="宋体"/>
          <w:bCs/>
          <w:szCs w:val="24"/>
          <w:lang w:val="en-US" w:eastAsia="zh-CN"/>
        </w:rPr>
        <w:t>25</w:t>
      </w:r>
      <w:r>
        <w:rPr>
          <w:rFonts w:hint="eastAsia" w:hAnsi="宋体"/>
          <w:bCs/>
          <w:szCs w:val="24"/>
        </w:rPr>
        <w:t>日</w:t>
      </w:r>
      <w:r>
        <w:rPr>
          <w:rFonts w:hint="eastAsia" w:hAnsi="宋体"/>
          <w:bCs/>
          <w:szCs w:val="24"/>
          <w:lang w:val="en-US" w:eastAsia="zh-CN"/>
        </w:rPr>
        <w:t>8</w:t>
      </w:r>
      <w:r>
        <w:rPr>
          <w:rFonts w:hint="eastAsia" w:hAnsi="宋体"/>
          <w:bCs/>
          <w:szCs w:val="24"/>
        </w:rPr>
        <w:t>:</w:t>
      </w:r>
      <w:r>
        <w:rPr>
          <w:rFonts w:hint="eastAsia" w:hAnsi="宋体"/>
          <w:bCs/>
          <w:szCs w:val="24"/>
          <w:lang w:val="en-US" w:eastAsia="zh-CN"/>
        </w:rPr>
        <w:t xml:space="preserve">30 </w:t>
      </w:r>
      <w:r>
        <w:rPr>
          <w:rFonts w:hint="eastAsia" w:hAnsi="宋体"/>
          <w:bCs/>
        </w:rPr>
        <w:t xml:space="preserve">  </w:t>
      </w:r>
    </w:p>
    <w:p>
      <w:pPr>
        <w:autoSpaceDE w:val="0"/>
        <w:autoSpaceDN w:val="0"/>
        <w:adjustRightInd w:val="0"/>
        <w:spacing w:line="360" w:lineRule="auto"/>
        <w:ind w:firstLine="200"/>
        <w:jc w:val="left"/>
        <w:rPr>
          <w:rFonts w:hAnsi="宋体"/>
          <w:b/>
          <w:bCs/>
          <w:szCs w:val="18"/>
        </w:rPr>
      </w:pPr>
      <w:r>
        <w:rPr>
          <w:rFonts w:hint="eastAsia" w:hAnsi="宋体"/>
          <w:b/>
          <w:bCs/>
          <w:szCs w:val="18"/>
        </w:rPr>
        <w:t>六、响应文件递交注意事项：</w:t>
      </w:r>
    </w:p>
    <w:p>
      <w:pPr>
        <w:pStyle w:val="18"/>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18"/>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18"/>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18"/>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18"/>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szCs w:val="24"/>
          <w:lang w:eastAsia="zh-CN"/>
        </w:rPr>
        <w:t>合肥庐阳文化旅游发展集团有限公司</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3"/>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jc w:val="center"/>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szCs w:val="24"/>
              </w:rPr>
            </w:pPr>
            <w:r>
              <w:rPr>
                <w:rFonts w:hint="eastAsia"/>
                <w:szCs w:val="24"/>
              </w:rPr>
              <w:t>8</w:t>
            </w:r>
          </w:p>
        </w:tc>
        <w:tc>
          <w:tcPr>
            <w:tcW w:w="2471" w:type="dxa"/>
            <w:vAlign w:val="center"/>
          </w:tcPr>
          <w:p>
            <w:pPr>
              <w:snapToGrid w:val="0"/>
              <w:rPr>
                <w:rFonts w:hint="eastAsia" w:eastAsia="宋体"/>
                <w:szCs w:val="24"/>
                <w:lang w:eastAsia="zh-CN"/>
              </w:rPr>
            </w:pPr>
            <w:r>
              <w:rPr>
                <w:rFonts w:hint="eastAsia"/>
                <w:szCs w:val="24"/>
                <w:lang w:val="en-US" w:eastAsia="zh-CN"/>
              </w:rPr>
              <w:t>工期</w:t>
            </w:r>
          </w:p>
        </w:tc>
        <w:tc>
          <w:tcPr>
            <w:tcW w:w="6051" w:type="dxa"/>
            <w:vAlign w:val="center"/>
          </w:tcPr>
          <w:p>
            <w:pPr>
              <w:spacing w:line="360" w:lineRule="auto"/>
              <w:rPr>
                <w:rFonts w:hint="default" w:eastAsia="宋体"/>
                <w:lang w:val="en-US" w:eastAsia="zh-CN"/>
              </w:rPr>
            </w:pPr>
            <w:r>
              <w:rPr>
                <w:rFonts w:hint="default" w:eastAsia="宋体"/>
                <w:lang w:val="en-US" w:eastAsia="zh-CN"/>
              </w:rPr>
              <w:t>4个日历天，开工时间以开工令为准。养护期：淮河路东西入口花境养护期至11月30日，环城东路、宿州路花箱及红星路绿植养护期半年，养护期内如有苗木本身质量问题、养护不到位等问题，投标人应自行补充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szCs w:val="24"/>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szCs w:val="24"/>
              </w:rPr>
            </w:pPr>
            <w:r>
              <w:rPr>
                <w:rFonts w:hint="eastAsia"/>
                <w:szCs w:val="24"/>
              </w:rPr>
              <w:sym w:font="Wingdings 2" w:char="0052"/>
            </w:r>
            <w:r>
              <w:rPr>
                <w:rFonts w:hint="eastAsia"/>
                <w:szCs w:val="24"/>
              </w:rPr>
              <w:t>不组织，投标人自行踏勘</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napToGrid w:val="0"/>
                <w:szCs w:val="24"/>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szCs w:val="24"/>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rPr>
              <w:t>2023年</w:t>
            </w:r>
            <w:r>
              <w:rPr>
                <w:rFonts w:hint="eastAsia"/>
                <w:lang w:val="en-US" w:eastAsia="zh-CN"/>
              </w:rPr>
              <w:t>9</w:t>
            </w:r>
            <w:r>
              <w:rPr>
                <w:rFonts w:hint="eastAsia"/>
              </w:rPr>
              <w:t>月</w:t>
            </w:r>
            <w:r>
              <w:rPr>
                <w:rFonts w:hint="eastAsia"/>
                <w:lang w:val="en-US" w:eastAsia="zh-CN"/>
              </w:rPr>
              <w:t>22</w:t>
            </w:r>
            <w:r>
              <w:rPr>
                <w:rFonts w:hint="eastAsia"/>
              </w:rPr>
              <w:t>日17时30分前</w:t>
            </w:r>
            <w:r>
              <w:rPr>
                <w:rFonts w:hint="eastAsia"/>
                <w:bCs/>
                <w:snapToGrid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szCs w:val="24"/>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szCs w:val="24"/>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szCs w:val="24"/>
              </w:rPr>
              <w:sym w:font="Wingdings 2" w:char="0052"/>
            </w:r>
            <w:r>
              <w:rPr>
                <w:rFonts w:hint="eastAsia"/>
                <w:bCs/>
                <w:snapToGrid w:val="0"/>
                <w:szCs w:val="24"/>
              </w:rPr>
              <w:t>有，总价最高投标限</w:t>
            </w:r>
            <w:r>
              <w:rPr>
                <w:rFonts w:hint="eastAsia"/>
                <w:bCs/>
                <w:snapToGrid w:val="0"/>
                <w:color w:val="auto"/>
                <w:szCs w:val="24"/>
              </w:rPr>
              <w:t>价</w:t>
            </w:r>
            <w:r>
              <w:rPr>
                <w:rFonts w:hint="eastAsia"/>
                <w:bCs/>
                <w:snapToGrid w:val="0"/>
                <w:color w:val="FF0000"/>
                <w:szCs w:val="24"/>
                <w:lang w:val="en-US" w:eastAsia="zh-CN"/>
              </w:rPr>
              <w:t>47</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szCs w:val="24"/>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18</w:t>
            </w:r>
          </w:p>
        </w:tc>
        <w:tc>
          <w:tcPr>
            <w:tcW w:w="2471" w:type="dxa"/>
            <w:vAlign w:val="center"/>
          </w:tcPr>
          <w:p>
            <w:pPr>
              <w:snapToGrid w:val="0"/>
              <w:rPr>
                <w:szCs w:val="24"/>
              </w:rPr>
            </w:pPr>
            <w:r>
              <w:rPr>
                <w:rFonts w:hint="eastAsia"/>
                <w:szCs w:val="24"/>
              </w:rPr>
              <w:t>履约保证金</w:t>
            </w:r>
          </w:p>
        </w:tc>
        <w:tc>
          <w:tcPr>
            <w:tcW w:w="6051" w:type="dxa"/>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position w:val="2"/>
                      <w:sz w:val="13"/>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b/>
                <w:bCs/>
                <w:u w:val="single"/>
              </w:rPr>
            </w:pPr>
            <w:r>
              <w:rPr>
                <w:rFonts w:hint="eastAsia"/>
                <w:b/>
                <w:bCs/>
              </w:rPr>
              <w:t>金额：</w:t>
            </w:r>
            <w:r>
              <w:rPr>
                <w:rFonts w:hint="eastAsia"/>
                <w:b/>
                <w:bCs/>
                <w:u w:val="single"/>
              </w:rPr>
              <w:t xml:space="preserve">中标金额的  0  ％ </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5"/>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5"/>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hAnsi="宋体"/>
                <w:bCs/>
                <w:szCs w:val="18"/>
              </w:rPr>
              <w:t>安徽省合肥市庐阳区红星路省人民政府机关幼儿园北门对面原省政府北楼一楼134办公室招标部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eastAsia="楷体"/>
                <w:bCs/>
                <w:snapToGrid w:val="0"/>
                <w:szCs w:val="24"/>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szCs w:val="24"/>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37" w:type="dxa"/>
            <w:vAlign w:val="center"/>
          </w:tcPr>
          <w:p>
            <w:pPr>
              <w:snapToGrid w:val="0"/>
              <w:jc w:val="center"/>
              <w:rPr>
                <w:szCs w:val="24"/>
              </w:rPr>
            </w:pPr>
            <w:r>
              <w:rPr>
                <w:rFonts w:hint="eastAsia"/>
                <w:szCs w:val="24"/>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Pr>
        <w:jc w:val="center"/>
        <w:rPr>
          <w:rFonts w:ascii="黑体" w:eastAsia="黑体"/>
          <w:sz w:val="28"/>
          <w:szCs w:val="28"/>
        </w:rPr>
      </w:pPr>
    </w:p>
    <w:p>
      <w:pPr>
        <w:pStyle w:val="26"/>
        <w:adjustRightInd w:val="0"/>
        <w:snapToGrid w:val="0"/>
        <w:spacing w:line="400" w:lineRule="exact"/>
        <w:jc w:val="left"/>
        <w:rPr>
          <w:rFonts w:ascii="Times New Roman" w:hAnsi="Times New Roman"/>
          <w:bCs/>
          <w:snapToGrid w:val="0"/>
          <w:kern w:val="0"/>
          <w:szCs w:val="21"/>
        </w:rPr>
      </w:pPr>
      <w:bookmarkStart w:id="5" w:name="_Toc460660067"/>
      <w:bookmarkStart w:id="6" w:name="_Toc460226725"/>
      <w:bookmarkStart w:id="7" w:name="_Toc460226994"/>
      <w:bookmarkStart w:id="8" w:name="_Toc184635071"/>
    </w:p>
    <w:bookmarkEnd w:id="5"/>
    <w:bookmarkEnd w:id="6"/>
    <w:bookmarkEnd w:id="7"/>
    <w:bookmarkEnd w:id="8"/>
    <w:p>
      <w:pPr>
        <w:pStyle w:val="3"/>
        <w:spacing w:line="500" w:lineRule="exact"/>
        <w:rPr>
          <w:rFonts w:eastAsia="宋体"/>
          <w:sz w:val="24"/>
          <w:szCs w:val="24"/>
        </w:rPr>
      </w:pPr>
      <w:bookmarkStart w:id="9" w:name="_Toc4981"/>
      <w:r>
        <w:rPr>
          <w:rFonts w:hint="eastAsia" w:eastAsia="宋体"/>
        </w:rPr>
        <w:t>投标人须知正文</w:t>
      </w:r>
      <w:bookmarkEnd w:id="9"/>
    </w:p>
    <w:p>
      <w:pPr>
        <w:pStyle w:val="5"/>
        <w:spacing w:line="500" w:lineRule="exact"/>
        <w:jc w:val="both"/>
        <w:rPr>
          <w:rFonts w:hAnsi="宋体"/>
          <w:sz w:val="28"/>
        </w:rPr>
      </w:pPr>
      <w:bookmarkStart w:id="10" w:name="_Hlt509650955"/>
      <w:bookmarkEnd w:id="10"/>
      <w:bookmarkStart w:id="11" w:name="_Hlt509649722"/>
      <w:bookmarkEnd w:id="11"/>
      <w:bookmarkStart w:id="12" w:name="_Hlt509650686"/>
      <w:bookmarkEnd w:id="12"/>
      <w:bookmarkStart w:id="13" w:name="_Hlt509650126"/>
      <w:bookmarkEnd w:id="13"/>
      <w:bookmarkStart w:id="14" w:name="_Hlt526418143"/>
      <w:bookmarkEnd w:id="14"/>
      <w:bookmarkStart w:id="15" w:name="_Hlt509649998"/>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5"/>
        <w:spacing w:line="500" w:lineRule="exact"/>
        <w:jc w:val="both"/>
        <w:rPr>
          <w:rFonts w:hAnsi="宋体"/>
          <w:sz w:val="28"/>
        </w:rPr>
      </w:pPr>
      <w:bookmarkStart w:id="17" w:name="_Toc50128750"/>
      <w:r>
        <w:rPr>
          <w:rFonts w:hint="eastAsia" w:hAnsi="宋体"/>
          <w:sz w:val="28"/>
        </w:rPr>
        <w:t>二．磋商文件</w:t>
      </w:r>
      <w:bookmarkEnd w:id="17"/>
      <w:bookmarkStart w:id="18" w:name="_Hlt509650361"/>
      <w:bookmarkEnd w:id="18"/>
      <w:bookmarkStart w:id="19" w:name="_Hlt509649930"/>
      <w:bookmarkEnd w:id="19"/>
      <w:bookmarkStart w:id="20" w:name="_Hlt50964979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5"/>
        <w:spacing w:line="500" w:lineRule="exact"/>
        <w:jc w:val="both"/>
        <w:rPr>
          <w:rFonts w:hAnsi="宋体"/>
          <w:sz w:val="28"/>
        </w:rPr>
      </w:pPr>
      <w:bookmarkStart w:id="23" w:name="_Hlt509650697"/>
      <w:bookmarkEnd w:id="23"/>
      <w:bookmarkStart w:id="24" w:name="_Hlt510342861"/>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7"/>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5"/>
        <w:ind w:firstLine="628"/>
        <w:jc w:val="both"/>
        <w:rPr>
          <w:rFonts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5"/>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5"/>
        <w:ind w:firstLine="628"/>
        <w:jc w:val="both"/>
        <w:rPr>
          <w:rFonts w:hAnsi="宋体"/>
          <w:sz w:val="28"/>
        </w:rPr>
      </w:pPr>
      <w:bookmarkStart w:id="36" w:name="_Toc460487454"/>
      <w:bookmarkStart w:id="37" w:name="_Toc477793061"/>
      <w:bookmarkStart w:id="38" w:name="_Toc501287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8"/>
        <w:snapToGrid w:val="0"/>
        <w:ind w:left="775" w:leftChars="228" w:hanging="228" w:hangingChars="95"/>
      </w:pPr>
      <w:r>
        <w:rPr>
          <w:rFonts w:hint="eastAsia"/>
        </w:rPr>
        <w:t>28</w:t>
      </w:r>
      <w:r>
        <w:t>.1</w:t>
      </w:r>
      <w:r>
        <w:rPr>
          <w:rFonts w:hint="eastAsia"/>
        </w:rPr>
        <w:t>招标人将以中标通知书形式通知中标人，其投标已被接受。</w:t>
      </w:r>
    </w:p>
    <w:p>
      <w:pPr>
        <w:pStyle w:val="28"/>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3"/>
        <w:jc w:val="center"/>
        <w:rPr>
          <w:rFonts w:ascii="黑体" w:hAnsi="黑体"/>
          <w:b w:val="0"/>
        </w:rPr>
      </w:pPr>
      <w:bookmarkStart w:id="40" w:name="_Toc11229"/>
      <w:r>
        <w:rPr>
          <w:rFonts w:hint="eastAsia" w:ascii="黑体" w:hAnsi="黑体"/>
          <w:b w:val="0"/>
        </w:rPr>
        <w:t>第三章 招标需求</w:t>
      </w:r>
      <w:bookmarkEnd w:id="40"/>
    </w:p>
    <w:p>
      <w:pPr>
        <w:numPr>
          <w:ilvl w:val="0"/>
          <w:numId w:val="3"/>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项目概况</w:t>
      </w:r>
    </w:p>
    <w:p>
      <w:pPr>
        <w:numPr>
          <w:ilvl w:val="0"/>
          <w:numId w:val="4"/>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项目名称：</w:t>
      </w:r>
      <w:r>
        <w:rPr>
          <w:rFonts w:hint="eastAsia" w:ascii="仿宋_GB2312" w:hAnsi="仿宋_GB2312" w:eastAsia="仿宋_GB2312" w:cs="仿宋_GB2312"/>
          <w:sz w:val="32"/>
          <w:szCs w:val="32"/>
          <w:lang w:eastAsia="zh-CN"/>
        </w:rPr>
        <w:t>迎两节两会淮河路步行街东西入口处花境施工及红星路、宿州路、环城东路苗木提升项目</w:t>
      </w:r>
    </w:p>
    <w:p>
      <w:pPr>
        <w:spacing w:line="52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rPr>
        <w:t>项目概况：</w:t>
      </w:r>
      <w:r>
        <w:rPr>
          <w:rFonts w:hint="eastAsia" w:ascii="仿宋_GB2312" w:hAnsi="仿宋_GB2312" w:eastAsia="仿宋_GB2312" w:cs="仿宋_GB2312"/>
          <w:sz w:val="32"/>
          <w:szCs w:val="32"/>
          <w:highlight w:val="none"/>
          <w:lang w:val="en-US" w:eastAsia="zh-CN"/>
        </w:rPr>
        <w:t>为迎接74周年国庆节到来及园博园开园，根据区政府安排，为提升街区整体节日氛围，我单位拟在淮河路步行街东西入口处进行花境施工及对红星路、宿州路、环城东路进行苗木提升。</w:t>
      </w:r>
    </w:p>
    <w:p>
      <w:pPr>
        <w:spacing w:line="4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sz w:val="32"/>
          <w:szCs w:val="32"/>
        </w:rPr>
        <w:t>采购内容：</w:t>
      </w:r>
      <w:r>
        <w:rPr>
          <w:rFonts w:hint="eastAsia" w:ascii="仿宋_GB2312" w:hAnsi="仿宋_GB2312" w:eastAsia="仿宋_GB2312" w:cs="仿宋_GB2312"/>
          <w:bCs/>
          <w:sz w:val="32"/>
          <w:szCs w:val="32"/>
          <w:lang w:val="en-US" w:eastAsia="zh-CN"/>
        </w:rPr>
        <w:t>按</w:t>
      </w:r>
      <w:r>
        <w:rPr>
          <w:rFonts w:hint="eastAsia" w:ascii="仿宋_GB2312" w:hAnsi="仿宋_GB2312" w:eastAsia="仿宋_GB2312" w:cs="仿宋_GB2312"/>
          <w:bCs/>
          <w:sz w:val="32"/>
          <w:szCs w:val="32"/>
        </w:rPr>
        <w:t>招标人提供</w:t>
      </w:r>
      <w:r>
        <w:rPr>
          <w:rFonts w:hint="eastAsia" w:ascii="仿宋_GB2312" w:hAnsi="仿宋_GB2312" w:eastAsia="仿宋_GB2312" w:cs="仿宋_GB2312"/>
          <w:sz w:val="32"/>
          <w:szCs w:val="32"/>
          <w:lang w:val="en-US" w:eastAsia="zh-CN"/>
        </w:rPr>
        <w:t>方案及清单</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施工</w:t>
      </w:r>
      <w:r>
        <w:rPr>
          <w:rFonts w:hint="eastAsia" w:ascii="仿宋_GB2312" w:hAnsi="仿宋_GB2312" w:eastAsia="仿宋_GB2312" w:cs="仿宋_GB2312"/>
          <w:sz w:val="32"/>
          <w:szCs w:val="32"/>
        </w:rPr>
        <w:t>等。</w:t>
      </w:r>
      <w:r>
        <w:rPr>
          <w:rFonts w:hint="eastAsia" w:ascii="仿宋_GB2312" w:hAnsi="仿宋_GB2312" w:eastAsia="仿宋_GB2312" w:cs="仿宋_GB2312"/>
          <w:bCs/>
          <w:sz w:val="32"/>
          <w:szCs w:val="32"/>
        </w:rPr>
        <w:t>具体</w:t>
      </w:r>
      <w:r>
        <w:rPr>
          <w:rFonts w:hint="eastAsia" w:ascii="仿宋_GB2312" w:hAnsi="仿宋_GB2312" w:eastAsia="仿宋_GB2312" w:cs="仿宋_GB2312"/>
          <w:bCs/>
          <w:sz w:val="32"/>
          <w:szCs w:val="32"/>
          <w:lang w:val="en-US" w:eastAsia="zh-CN"/>
        </w:rPr>
        <w:t>施工</w:t>
      </w:r>
      <w:r>
        <w:rPr>
          <w:rFonts w:hint="eastAsia" w:ascii="仿宋_GB2312" w:hAnsi="仿宋_GB2312" w:eastAsia="仿宋_GB2312" w:cs="仿宋_GB2312"/>
          <w:bCs/>
          <w:sz w:val="32"/>
          <w:szCs w:val="32"/>
        </w:rPr>
        <w:t>内容以最终确认</w:t>
      </w:r>
      <w:r>
        <w:rPr>
          <w:rFonts w:hint="eastAsia" w:ascii="仿宋_GB2312" w:hAnsi="仿宋_GB2312" w:eastAsia="仿宋_GB2312" w:cs="仿宋_GB2312"/>
          <w:bCs/>
          <w:sz w:val="32"/>
          <w:szCs w:val="32"/>
          <w:lang w:val="en-US" w:eastAsia="zh-CN"/>
        </w:rPr>
        <w:t>方案清单</w:t>
      </w:r>
      <w:r>
        <w:rPr>
          <w:rFonts w:hint="eastAsia" w:ascii="仿宋_GB2312" w:hAnsi="仿宋_GB2312" w:eastAsia="仿宋_GB2312" w:cs="仿宋_GB2312"/>
          <w:bCs/>
          <w:sz w:val="32"/>
          <w:szCs w:val="32"/>
        </w:rPr>
        <w:t>为准。</w:t>
      </w:r>
    </w:p>
    <w:p>
      <w:pPr>
        <w:spacing w:line="460" w:lineRule="exact"/>
        <w:ind w:firstLine="643" w:firstLineChars="200"/>
        <w:rPr>
          <w:rFonts w:hint="eastAsia" w:ascii="仿宋_GB2312" w:hAnsi="仿宋_GB2312" w:eastAsia="仿宋_GB2312" w:cs="仿宋_GB2312"/>
          <w:bCs/>
          <w:sz w:val="32"/>
          <w:szCs w:val="32"/>
        </w:rPr>
      </w:pPr>
      <w:r>
        <w:rPr>
          <w:rFonts w:hint="eastAsia" w:ascii="仿宋_GB2312" w:hAnsi="仿宋_GB2312" w:eastAsia="仿宋_GB2312" w:cs="仿宋_GB2312"/>
          <w:b/>
          <w:bCs/>
          <w:kern w:val="2"/>
          <w:sz w:val="32"/>
          <w:szCs w:val="32"/>
          <w:lang w:val="en-US" w:eastAsia="zh-CN" w:bidi="ar-SA"/>
        </w:rPr>
        <w:t>项目清单：</w:t>
      </w:r>
      <w:r>
        <w:rPr>
          <w:rFonts w:hint="eastAsia" w:ascii="仿宋_GB2312" w:hAnsi="仿宋_GB2312" w:eastAsia="仿宋_GB2312" w:cs="仿宋_GB2312"/>
          <w:sz w:val="32"/>
          <w:szCs w:val="32"/>
        </w:rPr>
        <w:t>包含</w:t>
      </w:r>
      <w:r>
        <w:rPr>
          <w:rFonts w:hint="eastAsia" w:ascii="仿宋_GB2312" w:hAnsi="仿宋_GB2312" w:eastAsia="仿宋_GB2312" w:cs="仿宋_GB2312"/>
          <w:sz w:val="32"/>
          <w:szCs w:val="32"/>
          <w:lang w:val="en-US" w:eastAsia="zh-CN"/>
        </w:rPr>
        <w:t>苗木</w:t>
      </w:r>
      <w:r>
        <w:rPr>
          <w:rFonts w:hint="eastAsia" w:ascii="仿宋_GB2312" w:hAnsi="仿宋_GB2312" w:eastAsia="仿宋_GB2312" w:cs="仿宋_GB2312"/>
          <w:sz w:val="32"/>
          <w:szCs w:val="32"/>
        </w:rPr>
        <w:t>采购、施工、验收、移交及</w:t>
      </w:r>
      <w:r>
        <w:rPr>
          <w:rFonts w:hint="eastAsia" w:ascii="仿宋_GB2312" w:hAnsi="仿宋_GB2312" w:eastAsia="仿宋_GB2312" w:cs="仿宋_GB2312"/>
          <w:sz w:val="32"/>
          <w:szCs w:val="32"/>
          <w:lang w:val="en-US" w:eastAsia="zh-CN"/>
        </w:rPr>
        <w:t>养护</w:t>
      </w:r>
      <w:r>
        <w:rPr>
          <w:rFonts w:hint="eastAsia" w:ascii="仿宋_GB2312" w:hAnsi="仿宋_GB2312" w:eastAsia="仿宋_GB2312" w:cs="仿宋_GB2312"/>
          <w:sz w:val="32"/>
          <w:szCs w:val="32"/>
        </w:rPr>
        <w:t>服务</w:t>
      </w:r>
    </w:p>
    <w:tbl>
      <w:tblPr>
        <w:tblStyle w:val="19"/>
        <w:tblW w:w="89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4"/>
        <w:gridCol w:w="1620"/>
        <w:gridCol w:w="1950"/>
        <w:gridCol w:w="3240"/>
        <w:gridCol w:w="631"/>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序号</w:t>
            </w:r>
          </w:p>
        </w:tc>
        <w:tc>
          <w:tcPr>
            <w:tcW w:w="16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服务内容</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品种</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规格型号（P冠幅，H高度）</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单位</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60" w:lineRule="exact"/>
              <w:jc w:val="center"/>
              <w:rPr>
                <w:rFonts w:hint="eastAsia" w:ascii="仿宋_GB2312" w:hAnsi="仿宋_GB2312" w:eastAsia="仿宋_GB2312" w:cs="仿宋_GB2312"/>
                <w:b/>
                <w:bCs w:val="0"/>
                <w:sz w:val="24"/>
                <w:szCs w:val="24"/>
              </w:rPr>
            </w:pPr>
            <w:r>
              <w:rPr>
                <w:rFonts w:hint="eastAsia" w:ascii="仿宋_GB2312" w:hAnsi="仿宋_GB2312" w:eastAsia="仿宋_GB2312" w:cs="仿宋_GB2312"/>
                <w:b/>
                <w:bCs w:val="0"/>
                <w:sz w:val="24"/>
                <w:szCs w:val="24"/>
                <w:lang w:val="en-US" w:eastAsia="zh-CN"/>
              </w:rPr>
              <w:t>工程量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园博会主题造型绿雕</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钢结构造型+五色草草饰面</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组合长度6.5米，高度3.2米，厚度0.6米</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国庆主题造型绿雕</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钢结构造型+五色草草饰面</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组合长度6米，高度3米，厚度1米</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花境植物</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散尾葵</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H1.6-1.8m,P0.6-0.8m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品种三角梅</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H1.2-1.4m,P0.6-0.8m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品种三角梅</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H0.6-0.8m,P0.6m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铁树</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H1-1.2m,P1-1.2m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大叶马泽兰球</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H1.2-1.4m,P1.2-1.4m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天鹅绒紫薇球</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H1.2-1.4m,P0.6-0.8m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日本矮蒲苇</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H1.6-1.8m,P0.6-0.8m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亮金女贞球</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H0.4-0.6m,P0.6m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菲油果</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H0.6-0.8m,P0.6m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龙船花</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H0.3-0.5m,P0.4m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品种球菊</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H0.3-0.5m,P0.4m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变叶木</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H0.6-0.8m,P0.6m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鲜花花卉</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一串红</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120#H0.2m,P0.1m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大花海棠</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180#H0.3m,P0.25m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孔雀草</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120#H0.2m,P0.1m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4500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矮牵牛</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120#H0.2m,P0.1m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宋体" w:hAnsi="宋体" w:eastAsia="宋体" w:cs="宋体"/>
                <w:i w:val="0"/>
                <w:iCs w:val="0"/>
                <w:color w:val="000000"/>
                <w:sz w:val="22"/>
                <w:szCs w:val="22"/>
                <w:u w:val="none"/>
                <w:lang w:val="en-US"/>
              </w:rPr>
            </w:pPr>
            <w:r>
              <w:rPr>
                <w:rFonts w:hint="eastAsia" w:ascii="宋体" w:hAnsi="宋体" w:cs="宋体"/>
                <w:i w:val="0"/>
                <w:iCs w:val="0"/>
                <w:color w:val="000000"/>
                <w:kern w:val="0"/>
                <w:sz w:val="22"/>
                <w:szCs w:val="22"/>
                <w:u w:val="none"/>
                <w:lang w:val="en-US" w:eastAsia="zh-CN" w:bidi="ar"/>
              </w:rPr>
              <w:t>2800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景观小品</w:t>
            </w:r>
          </w:p>
        </w:tc>
        <w:tc>
          <w:tcPr>
            <w:tcW w:w="19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花园小品</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玻璃钢小动物制品H0.3m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玻璃钢小动物制品H0.6m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玻璃钢小动物制品H1m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字牌</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主题</w:t>
            </w:r>
          </w:p>
        </w:tc>
        <w:tc>
          <w:tcPr>
            <w:tcW w:w="3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镀锌板小品填充泥炭土，饰面种植五色草，字规格0.6m*0.6m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园博会吉祥物“小喜”</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压克力板0.6m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园博会会徽</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压克力板直径1m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辅材</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木栅栏</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高度15-20cm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花箱更换</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心叶常春藤</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藤长50-60cm </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红星路补植</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龟甲冬青棒棒糖</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5加仑H1.6-1.8m,P0.4-0.6m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亮金女贞球棒棒糖</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5加仑H0.8-1.2m,P0.4-0.6m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翠芦莉</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2加仑H0.6-0.8m,P0.3m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菲油果</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5加仑H0.6-0.8m,P0.6m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金心麦冬</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1加仑H0.3m,P0.3m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日本矮蒲苇</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H1.6-1.8m,P0.6-0.8m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风车茉莉</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5加仑H1.5-1.8m,P0.6m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71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i w:val="0"/>
                <w:iCs w:val="0"/>
                <w:color w:val="000000"/>
                <w:sz w:val="22"/>
                <w:szCs w:val="22"/>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黄金络石</w:t>
            </w:r>
          </w:p>
        </w:tc>
        <w:tc>
          <w:tcPr>
            <w:tcW w:w="32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180#H0.3m,P0.25m</w:t>
            </w:r>
          </w:p>
        </w:tc>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7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r>
    </w:tbl>
    <w:p>
      <w:pPr>
        <w:spacing w:line="520" w:lineRule="exact"/>
      </w:pPr>
      <w:r>
        <w:rPr>
          <w:rFonts w:hint="eastAsia" w:ascii="仿宋_GB2312" w:hAnsi="仿宋_GB2312" w:eastAsia="仿宋_GB2312" w:cs="仿宋_GB2312"/>
          <w:sz w:val="32"/>
          <w:szCs w:val="32"/>
          <w:highlight w:val="none"/>
          <w:lang w:val="en-US" w:eastAsia="zh-CN"/>
        </w:rPr>
        <w:t>注：报价在中标后不予调整，投标时参考上述数量进行报价。现场实际与招标清单可能存在偏差，如施工时总量调整不超过±15%的，且需达到设计方案内实际效果，总价不进行调整。</w:t>
      </w:r>
    </w:p>
    <w:p>
      <w:pPr>
        <w:numPr>
          <w:ilvl w:val="0"/>
          <w:numId w:val="0"/>
        </w:numP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ar-SA"/>
        </w:rPr>
        <w:t>二、</w:t>
      </w:r>
      <w:r>
        <w:rPr>
          <w:rFonts w:hint="eastAsia" w:ascii="仿宋_GB2312" w:hAnsi="仿宋_GB2312" w:eastAsia="仿宋_GB2312" w:cs="仿宋_GB2312"/>
          <w:b/>
          <w:bCs/>
          <w:sz w:val="32"/>
          <w:szCs w:val="32"/>
        </w:rPr>
        <w:t>报价要求</w:t>
      </w:r>
    </w:p>
    <w:p>
      <w:pPr>
        <w:snapToGrid w:val="0"/>
        <w:spacing w:line="4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（1）本项目总概算</w:t>
      </w:r>
      <w:r>
        <w:rPr>
          <w:rFonts w:hint="eastAsia" w:ascii="仿宋_GB2312" w:hAnsi="仿宋_GB2312" w:eastAsia="仿宋_GB2312" w:cs="仿宋_GB2312"/>
          <w:color w:val="FF0000"/>
          <w:sz w:val="32"/>
          <w:szCs w:val="32"/>
          <w:lang w:val="en-US" w:eastAsia="zh-CN"/>
        </w:rPr>
        <w:t>47</w:t>
      </w:r>
      <w:r>
        <w:rPr>
          <w:rFonts w:hint="eastAsia" w:ascii="仿宋_GB2312" w:hAnsi="仿宋_GB2312" w:eastAsia="仿宋_GB2312" w:cs="仿宋_GB2312"/>
          <w:sz w:val="32"/>
          <w:szCs w:val="32"/>
        </w:rPr>
        <w:t>万元。</w:t>
      </w:r>
    </w:p>
    <w:p>
      <w:pPr>
        <w:pStyle w:val="33"/>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）本项目采取总价报价。根据招标人提供</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及最高投标限价，投标人自行前往现场踏勘。投标人根据现场情况，结合最高投标限价，进行投标报价，报价时须提供清单组价依据，</w:t>
      </w:r>
      <w:r>
        <w:rPr>
          <w:rFonts w:hint="eastAsia" w:ascii="仿宋_GB2312" w:hAnsi="仿宋_GB2312" w:eastAsia="仿宋_GB2312" w:cs="仿宋_GB2312"/>
          <w:b/>
          <w:bCs/>
          <w:sz w:val="32"/>
          <w:szCs w:val="32"/>
        </w:rPr>
        <w:t>投标人报价不得超过最高投标限价，否则投标无效。</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投标人的报价应包含苗木采购、施工、验收、移交及养护服务等，还应含有所投工程全部工程内容的所有评审费用、配合、现场服务及交付后约定期限内免费后续服务等为完成工程任务所需的一切应有费用。投标人报价时，结合自身综合实力及本项目的特点和技术要求等，综合考虑，合理报价，并谨慎报价。</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）本项目为固定总价合同，清单数量可能存在一定偏差，投标单位自行探勘现场，中标后需完成分部分项所列工作内容，数量不予调整请各投标单位综合考虑风险。</w:t>
      </w:r>
    </w:p>
    <w:p>
      <w:pPr>
        <w:numPr>
          <w:ilvl w:val="0"/>
          <w:numId w:val="0"/>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ar-SA"/>
        </w:rPr>
        <w:t>三、</w:t>
      </w:r>
      <w:r>
        <w:rPr>
          <w:rFonts w:hint="eastAsia" w:ascii="仿宋_GB2312" w:hAnsi="仿宋_GB2312" w:eastAsia="仿宋_GB2312" w:cs="仿宋_GB2312"/>
          <w:b/>
          <w:bCs/>
          <w:sz w:val="32"/>
          <w:szCs w:val="32"/>
        </w:rPr>
        <w:t>付款方式：</w:t>
      </w:r>
    </w:p>
    <w:p>
      <w:pPr>
        <w:pStyle w:val="17"/>
        <w:ind w:firstLine="540"/>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按月支付实际完成工程造价的60%用于农民工工资发放和材料采购等，工程竣工审计后付至审计价的70%。提交经审查合格的1年养护方案后，再预付审计价的20%用于养护费用（根据月度考核情况按月拨付），余款在养护期满移交给管理单位后一次性付清（无息）。</w:t>
      </w:r>
    </w:p>
    <w:p>
      <w:pPr>
        <w:numPr>
          <w:ilvl w:val="0"/>
          <w:numId w:val="0"/>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相关要求</w:t>
      </w:r>
    </w:p>
    <w:p>
      <w:pPr>
        <w:pStyle w:val="33"/>
        <w:snapToGrid w:val="0"/>
        <w:spacing w:line="4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（1）工期要求：</w:t>
      </w:r>
      <w:r>
        <w:rPr>
          <w:rFonts w:hint="eastAsia" w:ascii="仿宋_GB2312" w:hAnsi="仿宋_GB2312" w:eastAsia="仿宋_GB2312" w:cs="仿宋_GB2312"/>
          <w:color w:val="auto"/>
          <w:sz w:val="32"/>
          <w:szCs w:val="32"/>
          <w:highlight w:val="none"/>
          <w:lang w:val="en-US" w:eastAsia="zh-CN"/>
        </w:rPr>
        <w:t>4个</w:t>
      </w:r>
      <w:r>
        <w:rPr>
          <w:rFonts w:hint="eastAsia" w:ascii="仿宋_GB2312" w:hAnsi="仿宋_GB2312" w:eastAsia="仿宋_GB2312" w:cs="仿宋_GB2312"/>
          <w:sz w:val="32"/>
          <w:szCs w:val="32"/>
          <w:lang w:val="en-US" w:eastAsia="zh-CN"/>
        </w:rPr>
        <w:t>日历天，开工时间以开工令为准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养护期：淮河路东西入口花境养护期至11月30日，环城东路、宿州路花箱及红星路绿植养护期半年，养护期内如有苗木本身质量问题、养护不到位等问题，投标人应自行补充完整，采购人不再另行支付费用。请投标人自行考虑风险。</w:t>
      </w:r>
    </w:p>
    <w:p>
      <w:pPr>
        <w:pStyle w:val="33"/>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（2）施工质量要求：合格；</w:t>
      </w:r>
    </w:p>
    <w:p>
      <w:pPr>
        <w:pStyle w:val="33"/>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）中标单位负责项目建设过程中的所有报批报建工作（如涉及），费用在投标报价中综合考虑，招标人不再另行支付。</w:t>
      </w:r>
    </w:p>
    <w:p>
      <w:pPr>
        <w:pStyle w:val="33"/>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）采购人不负责提供中标人的办公场所。办公场所的租赁及水电等所需费用由中标人承担。</w:t>
      </w:r>
    </w:p>
    <w:p>
      <w:pPr>
        <w:numPr>
          <w:ilvl w:val="0"/>
          <w:numId w:val="0"/>
        </w:num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ar-SA"/>
        </w:rPr>
        <w:t>五、</w:t>
      </w:r>
      <w:r>
        <w:rPr>
          <w:rFonts w:hint="eastAsia" w:ascii="仿宋_GB2312" w:hAnsi="仿宋_GB2312" w:eastAsia="仿宋_GB2312" w:cs="仿宋_GB2312"/>
          <w:b/>
          <w:bCs/>
          <w:sz w:val="32"/>
          <w:szCs w:val="32"/>
        </w:rPr>
        <w:t>考核管理</w:t>
      </w:r>
    </w:p>
    <w:p>
      <w:pPr>
        <w:pStyle w:val="33"/>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中标人发生下列情形之一的，采购人有权终止合同：</w:t>
      </w:r>
    </w:p>
    <w:p>
      <w:pPr>
        <w:pStyle w:val="33"/>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（1）未按投标文件承诺派驻项目管理人员的；</w:t>
      </w:r>
    </w:p>
    <w:p>
      <w:pPr>
        <w:pStyle w:val="33"/>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（2）项目发生安全事故的；</w:t>
      </w:r>
    </w:p>
    <w:p>
      <w:pPr>
        <w:pStyle w:val="33"/>
        <w:snapToGrid w:val="0"/>
        <w:spacing w:line="4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（3）恶意破坏采购人公物骗取施工任务的；</w:t>
      </w:r>
    </w:p>
    <w:p>
      <w:pPr>
        <w:pStyle w:val="33"/>
        <w:snapToGrid w:val="0"/>
        <w:spacing w:line="480" w:lineRule="exact"/>
        <w:ind w:firstLine="640"/>
        <w:rPr>
          <w:rFonts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（4）恶意拖欠农民工工资，造成不良</w:t>
      </w:r>
    </w:p>
    <w:p>
      <w:pPr>
        <w:keepNext w:val="0"/>
        <w:keepLines w:val="0"/>
        <w:widowControl/>
        <w:suppressLineNumbers w:val="0"/>
        <w:jc w:val="cente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评审方法和标准</w:t>
      </w:r>
    </w:p>
    <w:p>
      <w:pPr>
        <w:pStyle w:val="17"/>
        <w:ind w:firstLine="540"/>
        <w:rPr>
          <w:rFonts w:hint="eastAsia" w:ascii="仿宋_GB2312" w:hAnsi="仿宋_GB2312" w:eastAsia="仿宋_GB2312" w:cs="仿宋_GB2312"/>
          <w:sz w:val="32"/>
          <w:szCs w:val="32"/>
          <w:lang w:val="en-US" w:eastAsia="zh-CN" w:bidi="ar-SA"/>
        </w:rPr>
      </w:pPr>
    </w:p>
    <w:p>
      <w:pPr>
        <w:pStyle w:val="3"/>
        <w:rPr>
          <w:b w:val="0"/>
          <w:szCs w:val="22"/>
        </w:rPr>
      </w:pPr>
      <w:bookmarkStart w:id="41" w:name="_Toc38879335"/>
      <w:bookmarkStart w:id="42" w:name="_Toc63412030"/>
      <w:bookmarkStart w:id="43" w:name="_Toc22621"/>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5"/>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2414"/>
        <w:gridCol w:w="2182"/>
        <w:gridCol w:w="773"/>
        <w:gridCol w:w="2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vAlign w:val="center"/>
          </w:tcPr>
          <w:p>
            <w:pPr>
              <w:pStyle w:val="29"/>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1"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29"/>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0"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5" w:type="dxa"/>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0"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r>
              <w:rPr>
                <w:rFonts w:hint="eastAsia" w:hAnsi="宋体"/>
                <w:szCs w:val="24"/>
              </w:rPr>
              <w:t>详见第</w:t>
            </w:r>
            <w:r>
              <w:rPr>
                <w:rFonts w:hint="eastAsia" w:hAnsi="宋体"/>
                <w:szCs w:val="24"/>
                <w:lang w:val="en-US" w:eastAsia="zh-CN"/>
              </w:rPr>
              <w:t>七</w:t>
            </w:r>
            <w:r>
              <w:rPr>
                <w:rFonts w:hint="eastAsia" w:hAnsi="宋体"/>
                <w:szCs w:val="24"/>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0" w:type="pct"/>
            <w:vAlign w:val="center"/>
          </w:tcPr>
          <w:p>
            <w:pPr>
              <w:adjustRightInd w:val="0"/>
              <w:snapToGrid w:val="0"/>
              <w:spacing w:line="360" w:lineRule="auto"/>
              <w:ind w:right="-10"/>
              <w:jc w:val="center"/>
              <w:rPr>
                <w:rFonts w:hAnsi="宋体"/>
                <w:szCs w:val="24"/>
              </w:rPr>
            </w:pPr>
            <w:r>
              <w:rPr>
                <w:rFonts w:hint="eastAsia" w:hAnsi="宋体"/>
                <w:szCs w:val="24"/>
              </w:rPr>
              <w:t>详见第</w:t>
            </w:r>
            <w:r>
              <w:rPr>
                <w:rFonts w:hint="eastAsia" w:hAnsi="宋体"/>
                <w:szCs w:val="24"/>
                <w:lang w:val="en-US" w:eastAsia="zh-CN"/>
              </w:rPr>
              <w:t>七</w:t>
            </w:r>
            <w:r>
              <w:rPr>
                <w:rFonts w:hint="eastAsia" w:hAnsi="宋体"/>
                <w:szCs w:val="24"/>
              </w:rPr>
              <w:t>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r>
              <w:rPr>
                <w:rFonts w:hint="eastAsia" w:hAnsi="宋体"/>
                <w:szCs w:val="24"/>
              </w:rPr>
              <w:t>第</w:t>
            </w:r>
            <w:r>
              <w:rPr>
                <w:rFonts w:hint="eastAsia" w:hAnsi="宋体"/>
                <w:szCs w:val="24"/>
                <w:lang w:val="en-US" w:eastAsia="zh-CN"/>
              </w:rPr>
              <w:t>七</w:t>
            </w:r>
            <w:r>
              <w:rPr>
                <w:rFonts w:hint="eastAsia" w:hAnsi="宋体"/>
                <w:szCs w:val="24"/>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0"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29"/>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5" w:type="dxa"/>
            <w:vAlign w:val="center"/>
          </w:tcPr>
          <w:p>
            <w:pPr>
              <w:adjustRightInd w:val="0"/>
              <w:snapToGrid w:val="0"/>
              <w:spacing w:line="360" w:lineRule="auto"/>
              <w:ind w:right="-10"/>
              <w:jc w:val="center"/>
              <w:rPr>
                <w:rFonts w:hAnsi="宋体"/>
                <w:szCs w:val="24"/>
              </w:rPr>
            </w:pPr>
            <w:r>
              <w:rPr>
                <w:rFonts w:hint="eastAsia" w:hAnsi="宋体"/>
                <w:szCs w:val="24"/>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0"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70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30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0"/>
        <w:tblW w:w="88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6"/>
        <w:gridCol w:w="5650"/>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57" w:hRule="atLeast"/>
        </w:trPr>
        <w:tc>
          <w:tcPr>
            <w:tcW w:w="1606" w:type="dxa"/>
            <w:vAlign w:val="center"/>
          </w:tcPr>
          <w:p>
            <w:pPr>
              <w:pStyle w:val="30"/>
              <w:ind w:left="0" w:lef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评分内容</w:t>
            </w:r>
          </w:p>
        </w:tc>
        <w:tc>
          <w:tcPr>
            <w:tcW w:w="5650" w:type="dxa"/>
            <w:vAlign w:val="center"/>
          </w:tcPr>
          <w:p>
            <w:pPr>
              <w:pStyle w:val="30"/>
              <w:ind w:left="0" w:lef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评分标准</w:t>
            </w:r>
          </w:p>
        </w:tc>
        <w:tc>
          <w:tcPr>
            <w:tcW w:w="1563" w:type="dxa"/>
            <w:vAlign w:val="center"/>
          </w:tcPr>
          <w:p>
            <w:pPr>
              <w:pStyle w:val="30"/>
              <w:ind w:left="0" w:leftChars="0" w:firstLine="0" w:firstLineChars="0"/>
              <w:jc w:val="center"/>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1606"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供应商业绩</w:t>
            </w:r>
          </w:p>
          <w:p>
            <w:pPr>
              <w:pStyle w:val="30"/>
              <w:jc w:val="both"/>
              <w:rPr>
                <w:rFonts w:hint="eastAsia" w:ascii="宋体" w:hAnsi="宋体" w:eastAsia="宋体" w:cs="宋体"/>
                <w:kern w:val="2"/>
                <w:sz w:val="24"/>
                <w:szCs w:val="24"/>
                <w:lang w:val="en-US" w:eastAsia="zh-CN" w:bidi="ar-SA"/>
              </w:rPr>
            </w:pPr>
          </w:p>
        </w:tc>
        <w:tc>
          <w:tcPr>
            <w:tcW w:w="5650"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2019 年 1 月 1 日以来（以合同签订时间为准），供应商承担过花境(或花展或摆花)业绩，且上述单</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个业绩合同中同时包含摆花和绿雕，每提供一个业绩得 7分，满分28 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w:t>
            </w:r>
            <w:r>
              <w:rPr>
                <w:rFonts w:hint="eastAsia" w:ascii="宋体" w:hAnsi="宋体" w:eastAsia="宋体" w:cs="宋体"/>
                <w:kern w:val="2"/>
                <w:sz w:val="24"/>
                <w:szCs w:val="24"/>
                <w:lang w:val="en-US" w:eastAsia="zh-CN" w:bidi="ar-SA"/>
              </w:rPr>
              <w:t>以响应文件中提供的合同和完成证明材料（如加盖合同甲方公章的验收报告或证明等）为评审依据，如上述材料无法体现评审要素的，须另附合同甲方出具的有效证明材料（加盖合同甲方公章）。</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0-28分</w:t>
            </w:r>
          </w:p>
          <w:p>
            <w:pPr>
              <w:pStyle w:val="30"/>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6" w:hRule="atLeast"/>
        </w:trPr>
        <w:tc>
          <w:tcPr>
            <w:tcW w:w="1606" w:type="dxa"/>
            <w:vAlign w:val="center"/>
          </w:tcPr>
          <w:p>
            <w:pPr>
              <w:pStyle w:val="30"/>
              <w:ind w:left="0" w:leftChars="0" w:firstLine="0" w:firstLineChars="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拟派人员</w:t>
            </w:r>
          </w:p>
        </w:tc>
        <w:tc>
          <w:tcPr>
            <w:tcW w:w="5650" w:type="dxa"/>
            <w:vAlign w:val="center"/>
          </w:tcPr>
          <w:p>
            <w:pPr>
              <w:keepNext w:val="0"/>
              <w:keepLines w:val="0"/>
              <w:widowControl/>
              <w:suppressLineNumbers w:val="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1、供应商拟派项目负责人（1 人）：</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具有花卉园艺师三级（或以上）证书或园林相关专业中级（或以上）职称证书的，得 6分，最高6分。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w:t>
            </w:r>
            <w:r>
              <w:rPr>
                <w:rFonts w:hint="eastAsia" w:ascii="宋体" w:hAnsi="宋体" w:eastAsia="宋体" w:cs="宋体"/>
                <w:kern w:val="2"/>
                <w:sz w:val="24"/>
                <w:szCs w:val="24"/>
                <w:lang w:val="en-US" w:eastAsia="zh-CN" w:bidi="ar-SA"/>
              </w:rPr>
              <w:t>以响应文件中提供的有效证书和供应商为其缴纳的社保证明（社保缴纳时间为磋商截止时间所在月份或磋商截止时间所在月份往前追溯 3 个月内的任一个月，如磋商截止时间为 2020 年 10月 25 日，则提供 2020 年 7、8、9、10 月中任一个月的社保缴纳证明即可）为评审依据。如职称证书中不能反映其专业的，另须提供能够反映其专业的学位证书或毕业证书</w:t>
            </w:r>
          </w:p>
          <w:p>
            <w:pPr>
              <w:keepNext w:val="0"/>
              <w:keepLines w:val="0"/>
              <w:widowControl/>
              <w:suppressLineNumbers w:val="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2、拟派其他人员（项目负责人除外）：</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具有花卉园艺师初级（或以上）证书或园林相关专业初级（或以上）职称证书的，每提供 1 人得 3分，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最高 9分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w:t>
            </w:r>
            <w:r>
              <w:rPr>
                <w:rFonts w:hint="eastAsia" w:ascii="宋体" w:hAnsi="宋体" w:eastAsia="宋体" w:cs="宋体"/>
                <w:kern w:val="2"/>
                <w:sz w:val="24"/>
                <w:szCs w:val="24"/>
                <w:lang w:val="en-US" w:eastAsia="zh-CN" w:bidi="ar-SA"/>
              </w:rPr>
              <w:t>以响应文件中提供的有效证书和供应商为其缴纳的社保证明（社保缴纳时间为磋商截止时间所在月份或磋商截止时间所在月份往前追溯 3 个月内的任一个月，如磋商截止时间为 2020 年 10 月 25日，则提供 2020 年 7、8、9、10月中任一个月的社保缴纳证明即可）为评审依据。如职称证书中不能反映其专业的，另须提供能够反映其专业的学位证书或毕业证书。同一人员具有多个证书的，不累计计分，仅计分一次。</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0-15分</w:t>
            </w:r>
          </w:p>
          <w:p>
            <w:pPr>
              <w:pStyle w:val="30"/>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6"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相关认证</w:t>
            </w:r>
          </w:p>
        </w:tc>
        <w:tc>
          <w:tcPr>
            <w:tcW w:w="5650"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供应商具有经中国国家认证认可监督管理委员会批准的认证机构颁发的：</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（1）有效的质量管理体系认证证书的，得 3分；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（2）有效的环境管理体系认证证书的，得 3 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（3）有效的职业健康安全管理体系认证证书的，得3 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b/>
                <w:bCs/>
                <w:kern w:val="2"/>
                <w:sz w:val="24"/>
                <w:szCs w:val="24"/>
                <w:lang w:val="en-US" w:eastAsia="zh-CN" w:bidi="ar-SA"/>
              </w:rPr>
              <w:t>注：</w:t>
            </w:r>
            <w:r>
              <w:rPr>
                <w:rFonts w:hint="eastAsia" w:ascii="宋体" w:hAnsi="宋体" w:eastAsia="宋体" w:cs="宋体"/>
                <w:kern w:val="2"/>
                <w:sz w:val="24"/>
                <w:szCs w:val="24"/>
                <w:lang w:val="en-US" w:eastAsia="zh-CN" w:bidi="ar-SA"/>
              </w:rPr>
              <w:t>以响应文件中提供的有效证书及全国认证认可信息公共服务平台官网证书信息查询截图为评审依据。</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0-9分</w:t>
            </w:r>
          </w:p>
          <w:p>
            <w:pPr>
              <w:pStyle w:val="30"/>
              <w:jc w:val="both"/>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1606"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项目实施方案</w:t>
            </w:r>
          </w:p>
        </w:tc>
        <w:tc>
          <w:tcPr>
            <w:tcW w:w="5650"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根据质量保证措施、展期服务方案、服务人员的配置等情况进行综合评分：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方案全面深入,详尽准确,科学合理的，得18分；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方案较为贴切，符合实际，具有实用性的，得 12 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方案部分符合要求的，得6分。</w:t>
            </w:r>
          </w:p>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未提供不得分。</w:t>
            </w:r>
          </w:p>
        </w:tc>
        <w:tc>
          <w:tcPr>
            <w:tcW w:w="1563" w:type="dxa"/>
            <w:vAlign w:val="center"/>
          </w:tcPr>
          <w:p>
            <w:pPr>
              <w:keepNext w:val="0"/>
              <w:keepLines w:val="0"/>
              <w:widowControl/>
              <w:suppressLineNumbers w:val="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0-18分</w:t>
            </w:r>
          </w:p>
          <w:p>
            <w:pPr>
              <w:pStyle w:val="30"/>
              <w:jc w:val="both"/>
              <w:rPr>
                <w:rFonts w:hint="eastAsia" w:ascii="宋体" w:hAnsi="宋体" w:eastAsia="宋体" w:cs="宋体"/>
                <w:kern w:val="2"/>
                <w:sz w:val="24"/>
                <w:szCs w:val="24"/>
                <w:lang w:val="en-US" w:eastAsia="zh-CN" w:bidi="ar-SA"/>
              </w:rPr>
            </w:pPr>
          </w:p>
        </w:tc>
      </w:tr>
    </w:tbl>
    <w:p>
      <w:pPr>
        <w:pStyle w:val="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30</w:t>
            </w:r>
            <w:r>
              <w:rPr>
                <w:rFonts w:hint="eastAsia" w:hAnsi="宋体" w:cs="宋体"/>
                <w:u w:val="single"/>
              </w:rPr>
              <w:t xml:space="preserve">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30</w:t>
            </w:r>
            <w:r>
              <w:rPr>
                <w:rFonts w:hint="eastAsia" w:hAnsi="宋体" w:cs="宋体"/>
                <w:u w:val="single"/>
              </w:rPr>
              <w:t xml:space="preserve">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30</w:t>
            </w:r>
            <w:r>
              <w:rPr>
                <w:rFonts w:hint="eastAsia" w:hAnsi="宋体" w:cs="宋体"/>
                <w:szCs w:val="24"/>
              </w:rPr>
              <w:t>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6"/>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6"/>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3"/>
        <w:jc w:val="center"/>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30"/>
        <w:ind w:left="240" w:firstLine="482"/>
        <w:rPr>
          <w:b/>
          <w:color w:val="000000"/>
        </w:rPr>
      </w:pPr>
    </w:p>
    <w:p>
      <w:pPr>
        <w:pStyle w:val="30"/>
        <w:ind w:left="240" w:firstLine="482"/>
        <w:rPr>
          <w:b/>
          <w:color w:val="000000"/>
        </w:rPr>
      </w:pPr>
    </w:p>
    <w:p>
      <w:pPr>
        <w:pStyle w:val="3"/>
        <w:rPr>
          <w:rFonts w:hint="eastAsia" w:hAnsi="Times New Roman" w:eastAsia="宋体"/>
          <w:bCs/>
        </w:rPr>
      </w:pPr>
    </w:p>
    <w:p>
      <w:pPr>
        <w:pStyle w:val="3"/>
        <w:rPr>
          <w:rFonts w:hint="eastAsia" w:hAnsi="Times New Roman" w:eastAsia="宋体"/>
          <w:bCs/>
        </w:rPr>
      </w:pPr>
    </w:p>
    <w:p>
      <w:pPr>
        <w:pStyle w:val="3"/>
        <w:numPr>
          <w:ilvl w:val="0"/>
          <w:numId w:val="0"/>
        </w:numPr>
        <w:jc w:val="center"/>
        <w:rPr>
          <w:rFonts w:hint="eastAsia" w:ascii="宋体" w:hAnsi="Times New Roman" w:eastAsia="宋体" w:cs="Times New Roman"/>
          <w:b/>
          <w:bCs/>
          <w:lang w:val="en-US" w:eastAsia="zh-CN"/>
        </w:rPr>
      </w:pPr>
      <w:bookmarkStart w:id="48" w:name="_Toc7683"/>
      <w:r>
        <w:rPr>
          <w:rFonts w:hint="eastAsia" w:ascii="宋体" w:hAnsi="Times New Roman" w:eastAsia="宋体" w:cs="Times New Roman"/>
          <w:b/>
          <w:bCs/>
          <w:lang w:val="en-US" w:eastAsia="zh-CN"/>
        </w:rPr>
        <w:t>第六章技术标准和要求</w:t>
      </w:r>
      <w:bookmarkEnd w:id="48"/>
    </w:p>
    <w:p>
      <w:pPr>
        <w:rPr>
          <w:rFonts w:hint="eastAsia" w:hAnsi="宋体"/>
          <w:b/>
          <w:color w:val="000000"/>
          <w:szCs w:val="24"/>
          <w:highlight w:val="none"/>
        </w:rPr>
      </w:pPr>
      <w:r>
        <w:rPr>
          <w:rFonts w:hint="eastAsia" w:hAnsi="宋体"/>
          <w:b/>
          <w:color w:val="000000"/>
          <w:szCs w:val="24"/>
          <w:highlight w:val="none"/>
        </w:rPr>
        <w:t>1. 本招标工程项目施工、验收须达到设计文件的要求和国家及有关部委、安徽省、项目所在市现行的工程建设标准、规范、规定的要求（文件标准之间相互冲突的，以标准较高者为准）。</w:t>
      </w:r>
    </w:p>
    <w:p>
      <w:pPr>
        <w:pStyle w:val="3"/>
        <w:jc w:val="center"/>
        <w:rPr>
          <w:rFonts w:hAnsi="Times New Roman" w:eastAsia="宋体"/>
          <w:bCs/>
        </w:rPr>
      </w:pPr>
      <w:r>
        <w:rPr>
          <w:rFonts w:hint="eastAsia" w:ascii="宋体" w:hAnsi="宋体" w:eastAsia="宋体" w:cs="Times New Roman"/>
          <w:b/>
          <w:bCs w:val="0"/>
          <w:color w:val="000000"/>
          <w:kern w:val="0"/>
          <w:sz w:val="24"/>
          <w:szCs w:val="24"/>
          <w:highlight w:val="none"/>
          <w:lang w:val="en-US" w:eastAsia="zh-CN" w:bidi="ar-SA"/>
        </w:rPr>
        <w:t>2. 其他技术标准和要求：详见招标项目施工图纸及相关补疑（如有）。</w:t>
      </w:r>
      <w:r>
        <w:rPr>
          <w:rFonts w:hint="eastAsia" w:hAnsi="Times New Roman" w:eastAsia="宋体"/>
          <w:bCs/>
        </w:rPr>
        <w:br w:type="page"/>
      </w:r>
      <w:bookmarkStart w:id="49" w:name="_Toc11159"/>
      <w:r>
        <w:rPr>
          <w:rFonts w:hint="eastAsia" w:hAnsi="Times New Roman" w:eastAsia="宋体"/>
          <w:bCs/>
        </w:rPr>
        <w:t>第</w:t>
      </w:r>
      <w:r>
        <w:rPr>
          <w:rFonts w:hint="eastAsia"/>
          <w:bCs/>
          <w:lang w:val="en-US" w:eastAsia="zh-CN"/>
        </w:rPr>
        <w:t>七</w:t>
      </w:r>
      <w:r>
        <w:rPr>
          <w:rFonts w:hint="eastAsia" w:hAnsi="Times New Roman" w:eastAsia="宋体"/>
          <w:bCs/>
        </w:rPr>
        <w:t>章 响应文件格式</w:t>
      </w:r>
      <w:bookmarkEnd w:id="49"/>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4"/>
        <w:jc w:val="center"/>
        <w:rPr>
          <w:rFonts w:ascii="黑体" w:hAnsi="黑体" w:eastAsia="黑体"/>
          <w:b w:val="0"/>
          <w:sz w:val="44"/>
          <w:szCs w:val="44"/>
        </w:rPr>
      </w:pPr>
      <w:bookmarkStart w:id="50" w:name="_Toc29256"/>
      <w:bookmarkStart w:id="51" w:name="_Toc26391"/>
      <w:r>
        <w:rPr>
          <w:rFonts w:hint="eastAsia" w:ascii="黑体" w:hAnsi="黑体" w:eastAsia="黑体"/>
          <w:b w:val="0"/>
          <w:sz w:val="44"/>
          <w:szCs w:val="44"/>
        </w:rPr>
        <w:t>响应文件</w:t>
      </w:r>
      <w:bookmarkEnd w:id="50"/>
    </w:p>
    <w:bookmarkEnd w:id="51"/>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4"/>
        <w:spacing w:before="120" w:after="120" w:line="400" w:lineRule="exact"/>
        <w:jc w:val="center"/>
        <w:rPr>
          <w:rFonts w:ascii="黑体" w:eastAsia="黑体"/>
          <w:sz w:val="28"/>
          <w:szCs w:val="28"/>
        </w:rPr>
      </w:pPr>
      <w:r>
        <w:rPr>
          <w:rFonts w:ascii="黑体" w:eastAsia="黑体"/>
          <w:sz w:val="28"/>
          <w:szCs w:val="28"/>
        </w:rPr>
        <w:br w:type="page"/>
      </w:r>
      <w:bookmarkStart w:id="52" w:name="_Toc28394"/>
      <w:r>
        <w:rPr>
          <w:rFonts w:hint="eastAsia" w:ascii="黑体" w:eastAsia="黑体"/>
          <w:sz w:val="28"/>
          <w:szCs w:val="28"/>
        </w:rPr>
        <w:t>目  录</w:t>
      </w:r>
      <w:bookmarkEnd w:id="52"/>
    </w:p>
    <w:p/>
    <w:p/>
    <w:p>
      <w:pPr>
        <w:spacing w:line="600" w:lineRule="exact"/>
        <w:rPr>
          <w:rFonts w:hAnsi="宋体"/>
          <w:szCs w:val="21"/>
        </w:rPr>
      </w:pPr>
      <w:bookmarkStart w:id="53"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18"/>
        <w:ind w:firstLine="480"/>
        <w:rPr>
          <w:rFonts w:hAnsi="Times New Roman"/>
          <w:bCs w:val="0"/>
          <w:sz w:val="24"/>
        </w:rPr>
      </w:pPr>
    </w:p>
    <w:p/>
    <w:p>
      <w:pPr>
        <w:jc w:val="center"/>
        <w:outlineLvl w:val="1"/>
      </w:pPr>
      <w:bookmarkStart w:id="54" w:name="_Toc22933"/>
      <w:r>
        <w:rPr>
          <w:rFonts w:hint="eastAsia"/>
        </w:rPr>
        <w:t>一、开标一览表</w:t>
      </w:r>
      <w:bookmarkEnd w:id="54"/>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spacing w:line="360" w:lineRule="auto"/>
              <w:ind w:right="-670"/>
            </w:pPr>
            <w:r>
              <w:rPr>
                <w:rFonts w:hint="eastAsia"/>
              </w:rPr>
              <w:t>大写：</w:t>
            </w:r>
            <w:r>
              <w:rPr>
                <w:rFonts w:hint="eastAsia"/>
                <w:u w:val="single"/>
              </w:rPr>
              <w:t xml:space="preserve">           </w:t>
            </w:r>
            <w:r>
              <w:rPr>
                <w:rFonts w:hint="eastAsia"/>
              </w:rPr>
              <w:t>圆</w:t>
            </w:r>
          </w:p>
          <w:p>
            <w:pPr>
              <w:spacing w:line="360" w:lineRule="auto"/>
              <w:ind w:right="-670"/>
            </w:pPr>
            <w:r>
              <w:rPr>
                <w:rFonts w:hint="eastAsia"/>
              </w:rPr>
              <w:t>小写：</w:t>
            </w:r>
            <w:r>
              <w:rPr>
                <w:rFonts w:hint="eastAsia"/>
                <w:u w:val="single"/>
              </w:rPr>
              <w:t xml:space="preserve">           </w:t>
            </w:r>
            <w:r>
              <w:rPr>
                <w:rFonts w:hint="eastAsia"/>
              </w:rPr>
              <w:t xml:space="preserve">元 </w:t>
            </w:r>
          </w:p>
          <w:p>
            <w:pPr>
              <w:pStyle w:val="4"/>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Ansi="宋体"/>
          <w:bCs/>
        </w:rPr>
      </w:pPr>
      <w:r>
        <w:rPr>
          <w:rFonts w:hint="eastAsia" w:hAnsi="宋体"/>
          <w:bCs/>
        </w:rPr>
        <w:t>日期：</w:t>
      </w: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5" w:name="_Toc16336"/>
      <w:r>
        <w:rPr>
          <w:rFonts w:hint="eastAsia"/>
        </w:rPr>
        <w:t>二、投标人基本情况表</w:t>
      </w:r>
      <w:bookmarkEnd w:id="55"/>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3"/>
    <w:p>
      <w:pPr>
        <w:pStyle w:val="5"/>
        <w:jc w:val="center"/>
        <w:rPr>
          <w:rFonts w:ascii="宋体" w:hAnsi="Times New Roman" w:eastAsia="宋体"/>
          <w:bCs w:val="0"/>
        </w:rPr>
      </w:pPr>
      <w:bookmarkStart w:id="56" w:name="_Toc665"/>
      <w:bookmarkStart w:id="57" w:name="_Toc224103496"/>
      <w:bookmarkStart w:id="58" w:name="_Toc460660223"/>
      <w:bookmarkStart w:id="59" w:name="_Toc390411621"/>
      <w:bookmarkStart w:id="60" w:name="_Toc421917001"/>
      <w:bookmarkStart w:id="61" w:name="_Toc460227108"/>
      <w:r>
        <w:rPr>
          <w:rFonts w:hint="eastAsia" w:ascii="宋体" w:hAnsi="Times New Roman" w:eastAsia="宋体"/>
          <w:bCs w:val="0"/>
        </w:rPr>
        <w:t>三、投标函</w:t>
      </w:r>
      <w:bookmarkEnd w:id="56"/>
    </w:p>
    <w:p>
      <w:pPr>
        <w:spacing w:line="360" w:lineRule="auto"/>
        <w:ind w:firstLine="480" w:firstLineChars="200"/>
        <w:rPr>
          <w:rFonts w:hAnsi="宋体"/>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”的招标邀请书或磋商公告，我方提交规定形式的响应文件。据此函，我方兹宣布同意如下：</w:t>
      </w:r>
    </w:p>
    <w:p>
      <w:pPr>
        <w:numPr>
          <w:ilvl w:val="0"/>
          <w:numId w:val="0"/>
        </w:numPr>
        <w:tabs>
          <w:tab w:val="left" w:pos="7560"/>
        </w:tabs>
        <w:adjustRightInd w:val="0"/>
        <w:snapToGrid w:val="0"/>
        <w:spacing w:before="48" w:beforeLines="20" w:after="48" w:afterLines="20" w:line="400" w:lineRule="exact"/>
        <w:ind w:firstLine="480" w:firstLineChars="200"/>
        <w:jc w:val="left"/>
        <w:rPr>
          <w:rFonts w:hAnsi="宋体"/>
        </w:rPr>
      </w:pPr>
      <w:r>
        <w:rPr>
          <w:rFonts w:hint="eastAsia" w:ascii="宋体" w:hAnsi="宋体" w:eastAsia="宋体" w:cs="Times New Roman"/>
          <w:sz w:val="24"/>
          <w:szCs w:val="22"/>
          <w:lang w:val="en-US" w:eastAsia="zh-CN" w:bidi="ar-SA"/>
        </w:rPr>
        <w:t>1.</w:t>
      </w:r>
      <w:r>
        <w:rPr>
          <w:rFonts w:hint="eastAsia" w:hAnsi="宋体"/>
          <w:szCs w:val="22"/>
          <w:highlight w:val="none"/>
        </w:rPr>
        <w:t>我方已仔细研究</w:t>
      </w:r>
      <w:r>
        <w:rPr>
          <w:rFonts w:hint="eastAsia" w:hAnsi="宋体"/>
          <w:szCs w:val="22"/>
          <w:highlight w:val="none"/>
          <w:u w:val="single"/>
        </w:rPr>
        <w:t xml:space="preserve">       </w:t>
      </w:r>
      <w:r>
        <w:rPr>
          <w:rFonts w:hint="eastAsia" w:hAnsi="宋体"/>
          <w:szCs w:val="22"/>
          <w:highlight w:val="none"/>
        </w:rPr>
        <w:t>（招标项目名称）</w:t>
      </w:r>
      <w:r>
        <w:rPr>
          <w:rFonts w:hint="eastAsia" w:hAnsi="宋体"/>
          <w:szCs w:val="22"/>
          <w:highlight w:val="none"/>
          <w:lang w:eastAsia="zh-CN"/>
        </w:rPr>
        <w:t>磋商文件</w:t>
      </w:r>
      <w:r>
        <w:rPr>
          <w:rFonts w:hint="eastAsia" w:hAnsi="宋体"/>
          <w:szCs w:val="22"/>
          <w:highlight w:val="none"/>
        </w:rPr>
        <w:t>的全部内容，在考察工程现场后，愿以</w:t>
      </w:r>
      <w:r>
        <w:rPr>
          <w:rFonts w:hint="eastAsia" w:hAnsi="宋体"/>
          <w:b/>
          <w:szCs w:val="22"/>
          <w:highlight w:val="none"/>
        </w:rPr>
        <w:t>人民币（大写）</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u w:val="single"/>
        </w:rPr>
        <w:t xml:space="preserve"> </w:t>
      </w:r>
      <w:r>
        <w:rPr>
          <w:rFonts w:hint="eastAsia" w:hAnsi="宋体"/>
          <w:b/>
          <w:szCs w:val="22"/>
          <w:highlight w:val="none"/>
        </w:rPr>
        <w:t>（¥</w:t>
      </w:r>
      <w:r>
        <w:rPr>
          <w:rFonts w:hint="eastAsia" w:hAnsi="宋体"/>
          <w:b/>
          <w:szCs w:val="22"/>
          <w:highlight w:val="none"/>
          <w:u w:val="single"/>
        </w:rPr>
        <w:t xml:space="preserve">        </w:t>
      </w:r>
      <w:r>
        <w:rPr>
          <w:rFonts w:hint="eastAsia" w:hAnsi="宋体"/>
          <w:b/>
          <w:szCs w:val="22"/>
          <w:highlight w:val="none"/>
          <w:u w:val="single"/>
          <w:lang w:val="en-US" w:eastAsia="zh-CN"/>
        </w:rPr>
        <w:t xml:space="preserve"> </w:t>
      </w:r>
      <w:r>
        <w:rPr>
          <w:rFonts w:hint="eastAsia" w:hAnsi="宋体"/>
          <w:b/>
          <w:szCs w:val="22"/>
          <w:highlight w:val="none"/>
        </w:rPr>
        <w:t>）</w:t>
      </w:r>
      <w:r>
        <w:rPr>
          <w:rFonts w:hint="eastAsia" w:hAnsi="宋体"/>
          <w:szCs w:val="22"/>
          <w:highlight w:val="none"/>
          <w:u w:val="single"/>
        </w:rPr>
        <w:t>的</w:t>
      </w:r>
      <w:r>
        <w:rPr>
          <w:rFonts w:hint="eastAsia" w:hAnsi="宋体"/>
          <w:szCs w:val="22"/>
          <w:highlight w:val="none"/>
        </w:rPr>
        <w:t>投标报价，按合同约定实施和完成承包</w:t>
      </w:r>
      <w:r>
        <w:rPr>
          <w:rFonts w:hint="eastAsia" w:hAnsi="宋体"/>
          <w:szCs w:val="22"/>
          <w:highlight w:val="none"/>
          <w:lang w:eastAsia="zh-CN"/>
        </w:rPr>
        <w:t>项目施工</w:t>
      </w:r>
      <w:r>
        <w:rPr>
          <w:rFonts w:hint="eastAsia" w:hAnsi="宋体"/>
          <w:szCs w:val="22"/>
          <w:highlight w:val="none"/>
        </w:rPr>
        <w:t>，修补工程中的任何缺陷。 我方承诺在</w:t>
      </w:r>
      <w:r>
        <w:rPr>
          <w:rFonts w:hint="eastAsia" w:hAnsi="宋体"/>
          <w:szCs w:val="22"/>
          <w:highlight w:val="none"/>
          <w:lang w:eastAsia="zh-CN"/>
        </w:rPr>
        <w:t>磋商文件</w:t>
      </w:r>
      <w:r>
        <w:rPr>
          <w:rFonts w:hint="eastAsia" w:hAnsi="宋体"/>
          <w:szCs w:val="22"/>
          <w:highlight w:val="none"/>
        </w:rPr>
        <w:t>规定的投标有效期内不撤销投标文件。 工程质量：</w:t>
      </w:r>
      <w:r>
        <w:rPr>
          <w:rFonts w:hint="eastAsia" w:hAnsi="宋体"/>
          <w:szCs w:val="22"/>
          <w:highlight w:val="none"/>
          <w:u w:val="single"/>
        </w:rPr>
        <w:t xml:space="preserve">        </w:t>
      </w:r>
      <w:r>
        <w:rPr>
          <w:rFonts w:hint="eastAsia" w:hAnsi="宋体"/>
          <w:szCs w:val="22"/>
          <w:highlight w:val="none"/>
        </w:rPr>
        <w:t>；工期：</w:t>
      </w:r>
      <w:r>
        <w:rPr>
          <w:rFonts w:hint="eastAsia" w:hAnsi="宋体"/>
          <w:szCs w:val="22"/>
          <w:highlight w:val="none"/>
          <w:u w:val="single"/>
        </w:rPr>
        <w:t xml:space="preserve">        </w:t>
      </w:r>
      <w:r>
        <w:rPr>
          <w:rFonts w:hint="eastAsia" w:hAnsi="宋体"/>
          <w:szCs w:val="22"/>
          <w:highlight w:val="none"/>
        </w:rPr>
        <w:t>日历天。</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7"/>
      <w:bookmarkEnd w:id="58"/>
      <w:bookmarkEnd w:id="59"/>
      <w:bookmarkEnd w:id="60"/>
      <w:bookmarkEnd w:id="61"/>
      <w:bookmarkStart w:id="62" w:name="_Toc460660225"/>
      <w:bookmarkStart w:id="63"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附：法定代表人身份证复印件</w:t>
      </w:r>
    </w:p>
    <w:p>
      <w:pPr>
        <w:spacing w:line="500" w:lineRule="exact"/>
        <w:rPr>
          <w:rFonts w:hAnsi="宋体"/>
          <w:szCs w:val="21"/>
        </w:rPr>
      </w:pPr>
      <w:r>
        <w:rPr>
          <w:rFonts w:hAnsi="宋体"/>
          <w:szCs w:val="28"/>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60288;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4" w:name="_Toc535241084"/>
      <w:bookmarkStart w:id="65" w:name="_Toc535241130"/>
      <w:bookmarkStart w:id="66" w:name="_Toc535241227"/>
      <w:bookmarkStart w:id="67" w:name="_Toc224103498"/>
      <w:bookmarkStart w:id="68" w:name="_Toc224103497"/>
      <w:r>
        <w:rPr>
          <w:sz w:val="32"/>
          <w:szCs w:val="32"/>
        </w:rPr>
        <w:br w:type="page"/>
      </w:r>
      <w:r>
        <w:rPr>
          <w:rFonts w:hint="eastAsia" w:ascii="黑体" w:hAnsi="黑体" w:eastAsia="黑体"/>
          <w:bCs/>
        </w:rPr>
        <w:t>授权委托书</w:t>
      </w:r>
      <w:bookmarkEnd w:id="64"/>
      <w:bookmarkEnd w:id="65"/>
      <w:bookmarkEnd w:id="66"/>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自签署之日起至投标有效期结束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1"/>
          <w:rFonts w:hint="default"/>
          <w:b/>
          <w:bCs/>
          <w:color w:val="auto"/>
        </w:rPr>
      </w:pPr>
      <w:r>
        <w:rPr>
          <w:rFonts w:hAnsi="宋体"/>
          <w:szCs w:val="28"/>
        </w:rPr>
        <mc:AlternateContent>
          <mc:Choice Requires="wps">
            <w:drawing>
              <wp:anchor distT="0" distB="0" distL="114300" distR="114300" simplePos="0" relativeHeight="251664384"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4384;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hAnsi="宋体"/>
          <w:szCs w:val="28"/>
        </w:rPr>
        <mc:AlternateContent>
          <mc:Choice Requires="wps">
            <w:drawing>
              <wp:anchor distT="0" distB="0" distL="114300" distR="114300" simplePos="0" relativeHeight="251663360"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3360;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1"/>
          <w:rFonts w:hint="default"/>
          <w:b/>
          <w:bCs/>
          <w:color w:val="auto"/>
        </w:rPr>
        <w:t>法定代表人身份证明</w:t>
      </w:r>
    </w:p>
    <w:p>
      <w:pPr>
        <w:pStyle w:val="18"/>
        <w:ind w:firstLine="442"/>
        <w:rPr>
          <w:rStyle w:val="31"/>
          <w:rFonts w:hint="default"/>
          <w:b/>
          <w:color w:val="auto"/>
        </w:rPr>
      </w:pPr>
    </w:p>
    <w:p>
      <w:pPr>
        <w:pStyle w:val="18"/>
        <w:ind w:firstLine="442"/>
        <w:rPr>
          <w:rStyle w:val="31"/>
          <w:rFonts w:hint="default"/>
          <w:b/>
          <w:color w:val="auto"/>
        </w:rPr>
      </w:pPr>
    </w:p>
    <w:p>
      <w:pPr>
        <w:pStyle w:val="18"/>
        <w:ind w:firstLine="442"/>
        <w:rPr>
          <w:rStyle w:val="31"/>
          <w:rFonts w:hint="default"/>
          <w:b/>
          <w:color w:val="auto"/>
        </w:rPr>
      </w:pPr>
    </w:p>
    <w:p>
      <w:pPr>
        <w:pStyle w:val="18"/>
        <w:ind w:firstLine="442"/>
        <w:rPr>
          <w:rStyle w:val="31"/>
          <w:rFonts w:hint="default"/>
          <w:b/>
          <w:color w:val="auto"/>
        </w:rPr>
      </w:pPr>
    </w:p>
    <w:p>
      <w:pPr>
        <w:pStyle w:val="18"/>
        <w:ind w:firstLine="442"/>
        <w:rPr>
          <w:rStyle w:val="31"/>
          <w:rFonts w:hint="default"/>
          <w:b/>
          <w:color w:val="auto"/>
        </w:rPr>
      </w:pPr>
    </w:p>
    <w:p>
      <w:pPr>
        <w:rPr>
          <w:rStyle w:val="31"/>
          <w:rFonts w:hint="default"/>
          <w:b/>
          <w:bCs/>
          <w:color w:val="auto"/>
        </w:rPr>
      </w:pPr>
    </w:p>
    <w:p>
      <w:pPr>
        <w:pStyle w:val="18"/>
        <w:ind w:firstLine="442"/>
        <w:rPr>
          <w:rStyle w:val="31"/>
          <w:rFonts w:hint="default"/>
          <w:b/>
          <w:color w:val="auto"/>
        </w:rPr>
      </w:pPr>
    </w:p>
    <w:p/>
    <w:p>
      <w:pPr>
        <w:snapToGrid w:val="0"/>
        <w:spacing w:line="360" w:lineRule="auto"/>
        <w:ind w:firstLine="482" w:firstLineChars="200"/>
        <w:rPr>
          <w:rFonts w:hAnsi="宋体"/>
          <w:b/>
          <w:bCs/>
          <w:szCs w:val="21"/>
        </w:rPr>
      </w:pPr>
      <w:r>
        <w:rPr>
          <w:rFonts w:hint="eastAsia" w:hAnsi="宋体"/>
          <w:b/>
          <w:bCs/>
          <w:szCs w:val="21"/>
        </w:rPr>
        <w:t xml:space="preserve">    代理人身份证扫描件</w:t>
      </w:r>
    </w:p>
    <w:p>
      <w:pPr>
        <w:pStyle w:val="18"/>
        <w:ind w:firstLine="480"/>
        <w:rPr>
          <w:b/>
          <w:szCs w:val="21"/>
        </w:rPr>
      </w:pPr>
      <w:r>
        <w:rPr>
          <w:sz w:val="24"/>
          <w:szCs w:val="28"/>
        </w:rPr>
        <mc:AlternateContent>
          <mc:Choice Requires="wps">
            <w:drawing>
              <wp:anchor distT="0" distB="0" distL="114300" distR="114300" simplePos="0" relativeHeight="251662336"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2336;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sz w:val="24"/>
          <w:szCs w:val="28"/>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1312;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Ansi="宋体"/>
          <w:b/>
          <w:bCs/>
          <w:szCs w:val="21"/>
        </w:rPr>
      </w:pPr>
    </w:p>
    <w:p>
      <w:pPr>
        <w:pStyle w:val="18"/>
        <w:ind w:firstLine="562"/>
        <w:rPr>
          <w:b/>
          <w:szCs w:val="21"/>
        </w:rPr>
      </w:pPr>
    </w:p>
    <w:p>
      <w:pPr>
        <w:rPr>
          <w:rFonts w:hAnsi="宋体"/>
          <w:b/>
          <w:bCs/>
          <w:szCs w:val="21"/>
        </w:rPr>
      </w:pPr>
    </w:p>
    <w:p>
      <w:pPr>
        <w:pStyle w:val="18"/>
        <w:ind w:firstLine="562"/>
        <w:rPr>
          <w:b/>
          <w:szCs w:val="21"/>
        </w:rPr>
      </w:pPr>
    </w:p>
    <w:p>
      <w:pPr>
        <w:pStyle w:val="18"/>
        <w:ind w:firstLine="562"/>
        <w:rPr>
          <w:b/>
          <w:szCs w:val="21"/>
        </w:rPr>
      </w:pPr>
    </w:p>
    <w:p>
      <w:pPr>
        <w:spacing w:line="500" w:lineRule="exact"/>
        <w:rPr>
          <w:rFonts w:hAnsi="宋体"/>
          <w:szCs w:val="21"/>
        </w:rPr>
      </w:pPr>
    </w:p>
    <w:p>
      <w:pPr>
        <w:spacing w:line="480" w:lineRule="auto"/>
        <w:jc w:val="right"/>
        <w:rPr>
          <w:rFonts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spacing w:line="480" w:lineRule="auto"/>
        <w:jc w:val="right"/>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spacing w:line="480" w:lineRule="auto"/>
        <w:jc w:val="center"/>
        <w:rPr>
          <w:rFonts w:hAnsi="宋体"/>
          <w:szCs w:val="21"/>
        </w:rPr>
      </w:pPr>
      <w:r>
        <w:rPr>
          <w:rFonts w:hint="eastAsia" w:hAnsi="宋体"/>
          <w:szCs w:val="21"/>
        </w:rPr>
        <w:t>代理人身份证号码：</w:t>
      </w:r>
      <w:r>
        <w:rPr>
          <w:rFonts w:hint="eastAsia" w:hAnsi="宋体"/>
          <w:szCs w:val="21"/>
          <w:u w:val="single"/>
        </w:rPr>
        <w:t xml:space="preserve">                       </w:t>
      </w:r>
    </w:p>
    <w:p>
      <w:pPr>
        <w:spacing w:line="480" w:lineRule="auto"/>
        <w:jc w:val="center"/>
        <w:rPr>
          <w:rFonts w:hAnsi="宋体"/>
          <w:szCs w:val="21"/>
        </w:rPr>
      </w:pPr>
      <w:r>
        <w:rPr>
          <w:rFonts w:hint="eastAsia" w:hAnsi="宋体"/>
          <w:szCs w:val="21"/>
        </w:rPr>
        <w:t>代理人手机号码：</w:t>
      </w:r>
      <w:r>
        <w:rPr>
          <w:rFonts w:hint="eastAsia" w:hAnsi="宋体"/>
          <w:szCs w:val="21"/>
          <w:u w:val="single"/>
        </w:rPr>
        <w:t xml:space="preserve">                       </w:t>
      </w:r>
    </w:p>
    <w:p>
      <w:pPr>
        <w:spacing w:line="480" w:lineRule="auto"/>
        <w:jc w:val="right"/>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7"/>
      <w:bookmarkEnd w:id="68"/>
    </w:p>
    <w:p>
      <w:pPr>
        <w:rPr>
          <w:rFonts w:eastAsia="黑体"/>
        </w:rPr>
      </w:pPr>
    </w:p>
    <w:p>
      <w:pPr>
        <w:spacing w:before="240" w:beforeLines="100" w:line="510" w:lineRule="exact"/>
        <w:jc w:val="center"/>
        <w:outlineLvl w:val="1"/>
      </w:pPr>
      <w:bookmarkStart w:id="69" w:name="_Toc24894"/>
      <w:bookmarkStart w:id="70" w:name="_Toc535241232"/>
      <w:bookmarkStart w:id="71" w:name="_Toc535241089"/>
      <w:bookmarkStart w:id="72" w:name="_Toc535241135"/>
      <w:bookmarkStart w:id="73" w:name="_Toc535241086"/>
      <w:bookmarkStart w:id="74" w:name="_Toc535241132"/>
      <w:bookmarkStart w:id="75" w:name="_Toc535241229"/>
      <w:r>
        <w:rPr>
          <w:rFonts w:hint="eastAsia"/>
        </w:rPr>
        <w:t>五、投标人信用承诺</w:t>
      </w:r>
      <w:bookmarkEnd w:id="69"/>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31234"/>
      <w:r>
        <w:rPr>
          <w:rFonts w:hint="eastAsia"/>
        </w:rPr>
        <w:t>六、投标人业绩</w:t>
      </w:r>
      <w:bookmarkEnd w:id="76"/>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7" w:name="_Toc21642"/>
      <w:r>
        <w:rPr>
          <w:rFonts w:hint="eastAsia"/>
        </w:rPr>
        <w:t>七、奖项、荣誉（如有）</w:t>
      </w:r>
      <w:bookmarkEnd w:id="77"/>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8" w:name="_Toc19879"/>
      <w:r>
        <w:rPr>
          <w:rFonts w:hint="eastAsia"/>
        </w:rPr>
        <w:t>八、项目管理机构</w:t>
      </w:r>
      <w:bookmarkEnd w:id="78"/>
    </w:p>
    <w:bookmarkEnd w:id="70"/>
    <w:bookmarkEnd w:id="71"/>
    <w:bookmarkEnd w:id="72"/>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9" w:name="_Toc152045805"/>
      <w:bookmarkStart w:id="80" w:name="_Toc300835232"/>
      <w:bookmarkStart w:id="81" w:name="_Toc370676440"/>
      <w:bookmarkStart w:id="82" w:name="_Toc152042594"/>
      <w:bookmarkStart w:id="83" w:name="_Toc359594249"/>
      <w:bookmarkStart w:id="84" w:name="_Toc482188668"/>
      <w:bookmarkStart w:id="85" w:name="_Toc144974873"/>
      <w:bookmarkStart w:id="86" w:name="_Toc385943079"/>
      <w:bookmarkStart w:id="87" w:name="_Toc179632825"/>
      <w:bookmarkStart w:id="88" w:name="_Toc384308390"/>
      <w:bookmarkStart w:id="89" w:name="_Toc492300541"/>
      <w:bookmarkStart w:id="90" w:name="_Toc391394125"/>
      <w:r>
        <w:rPr>
          <w:rFonts w:hint="eastAsia" w:hAnsi="宋体"/>
          <w:b/>
          <w:bCs/>
          <w:szCs w:val="24"/>
        </w:rPr>
        <w:t>（二）主要人员简历表</w:t>
      </w:r>
      <w:bookmarkEnd w:id="79"/>
      <w:bookmarkEnd w:id="80"/>
      <w:bookmarkEnd w:id="81"/>
      <w:bookmarkEnd w:id="82"/>
      <w:bookmarkEnd w:id="83"/>
      <w:bookmarkEnd w:id="84"/>
      <w:bookmarkEnd w:id="85"/>
      <w:bookmarkEnd w:id="86"/>
      <w:bookmarkEnd w:id="87"/>
      <w:bookmarkEnd w:id="88"/>
      <w:bookmarkEnd w:id="89"/>
      <w:bookmarkEnd w:id="90"/>
    </w:p>
    <w:p>
      <w:pPr>
        <w:topLinePunct/>
        <w:spacing w:line="440" w:lineRule="exact"/>
        <w:jc w:val="center"/>
        <w:rPr>
          <w:sz w:val="23"/>
        </w:rPr>
      </w:pPr>
      <w:r>
        <w:rPr>
          <w:rFonts w:hint="eastAsia"/>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2"/>
    <w:bookmarkEnd w:id="63"/>
    <w:bookmarkEnd w:id="73"/>
    <w:bookmarkEnd w:id="74"/>
    <w:bookmarkEnd w:id="75"/>
    <w:p>
      <w:pPr>
        <w:jc w:val="center"/>
        <w:rPr>
          <w:rFonts w:hAnsi="宋体" w:cs="宋体"/>
          <w:b/>
          <w:bCs/>
          <w:spacing w:val="-2"/>
          <w:szCs w:val="24"/>
        </w:rPr>
      </w:pPr>
    </w:p>
    <w:p>
      <w:pPr>
        <w:jc w:val="center"/>
        <w:outlineLvl w:val="1"/>
        <w:rPr>
          <w:rFonts w:hAnsi="宋体" w:cs="宋体"/>
          <w:b/>
          <w:bCs/>
          <w:spacing w:val="-2"/>
          <w:szCs w:val="24"/>
        </w:rPr>
      </w:pPr>
      <w:bookmarkStart w:id="91" w:name="_Toc8868"/>
      <w:r>
        <w:rPr>
          <w:rFonts w:hint="eastAsia" w:hAnsi="宋体" w:cs="宋体"/>
          <w:b/>
          <w:bCs/>
          <w:spacing w:val="-2"/>
          <w:szCs w:val="24"/>
        </w:rPr>
        <w:t>九、后期服务方案</w:t>
      </w:r>
      <w:bookmarkEnd w:id="91"/>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2" w:name="_Toc4961"/>
      <w:r>
        <w:rPr>
          <w:rFonts w:hint="eastAsia" w:hAnsi="宋体" w:cs="宋体"/>
          <w:b/>
          <w:bCs/>
          <w:spacing w:val="-2"/>
          <w:szCs w:val="24"/>
        </w:rPr>
        <w:t>十、其他资料</w:t>
      </w:r>
      <w:bookmarkEnd w:id="92"/>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DotumChe">
    <w:altName w:val="Malgun Gothic"/>
    <w:panose1 w:val="00000000000000000000"/>
    <w:charset w:val="81"/>
    <w:family w:val="swiss"/>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4</w:t>
    </w:r>
    <w:r>
      <w:rPr>
        <w:rFonts w:hint="eastAsia" w:ascii="仿宋_GB2312" w:eastAsia="仿宋_GB2312"/>
        <w:sz w:val="21"/>
        <w:szCs w:val="21"/>
      </w:rPr>
      <w:fldChar w:fldCharType="end"/>
    </w:r>
  </w:p>
  <w:p>
    <w:pPr>
      <w:pStyle w:val="12"/>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2"/>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23</w:t>
    </w:r>
    <w:r>
      <w:rPr>
        <w:rFonts w:hint="eastAsia" w:ascii="仿宋_GB2312" w:eastAsia="仿宋_GB231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F772A39E"/>
    <w:multiLevelType w:val="singleLevel"/>
    <w:tmpl w:val="F772A39E"/>
    <w:lvl w:ilvl="0" w:tentative="0">
      <w:start w:val="1"/>
      <w:numFmt w:val="decimal"/>
      <w:suff w:val="nothing"/>
      <w:lvlText w:val="%1、"/>
      <w:lvlJc w:val="left"/>
    </w:lvl>
  </w:abstractNum>
  <w:abstractNum w:abstractNumId="3">
    <w:nsid w:val="14AF497A"/>
    <w:multiLevelType w:val="singleLevel"/>
    <w:tmpl w:val="14AF497A"/>
    <w:lvl w:ilvl="0" w:tentative="0">
      <w:start w:val="1"/>
      <w:numFmt w:val="chineseCounting"/>
      <w:suff w:val="space"/>
      <w:lvlText w:val="第%1章"/>
      <w:lvlJc w:val="left"/>
      <w:rPr>
        <w:rFonts w:hint="eastAsia"/>
      </w:rPr>
    </w:lvl>
  </w:abstractNum>
  <w:abstractNum w:abstractNumId="4">
    <w:nsid w:val="4A000A61"/>
    <w:multiLevelType w:val="singleLevel"/>
    <w:tmpl w:val="4A000A61"/>
    <w:lvl w:ilvl="0" w:tentative="0">
      <w:start w:val="1"/>
      <w:numFmt w:val="chineseCounting"/>
      <w:suff w:val="nothing"/>
      <w:lvlText w:val="%1、"/>
      <w:lvlJc w:val="left"/>
      <w:rPr>
        <w:rFonts w:hint="eastAsia"/>
      </w:rPr>
    </w:lvl>
  </w:abstractNum>
  <w:abstractNum w:abstractNumId="5">
    <w:nsid w:val="7A55F52D"/>
    <w:multiLevelType w:val="singleLevel"/>
    <w:tmpl w:val="7A55F52D"/>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B260665"/>
    <w:rsid w:val="00264089"/>
    <w:rsid w:val="0036030A"/>
    <w:rsid w:val="004F4FBA"/>
    <w:rsid w:val="00C360F0"/>
    <w:rsid w:val="01523E89"/>
    <w:rsid w:val="01CD2013"/>
    <w:rsid w:val="044B7594"/>
    <w:rsid w:val="04C3537C"/>
    <w:rsid w:val="04C904B8"/>
    <w:rsid w:val="05CE1B7D"/>
    <w:rsid w:val="08C35398"/>
    <w:rsid w:val="0ACA0AE6"/>
    <w:rsid w:val="0BB2614A"/>
    <w:rsid w:val="0C394176"/>
    <w:rsid w:val="0CBF0B1F"/>
    <w:rsid w:val="0D842AE7"/>
    <w:rsid w:val="15267261"/>
    <w:rsid w:val="1CB91630"/>
    <w:rsid w:val="2007060B"/>
    <w:rsid w:val="235A2EF8"/>
    <w:rsid w:val="23EC0748"/>
    <w:rsid w:val="25C40AFC"/>
    <w:rsid w:val="28812CD5"/>
    <w:rsid w:val="2C210A14"/>
    <w:rsid w:val="2D724155"/>
    <w:rsid w:val="2D9278AF"/>
    <w:rsid w:val="2EC517F7"/>
    <w:rsid w:val="30F83965"/>
    <w:rsid w:val="32302F7C"/>
    <w:rsid w:val="365B5E28"/>
    <w:rsid w:val="370B6CF4"/>
    <w:rsid w:val="39365415"/>
    <w:rsid w:val="3A080B60"/>
    <w:rsid w:val="3D22191F"/>
    <w:rsid w:val="3E646581"/>
    <w:rsid w:val="407D7ED9"/>
    <w:rsid w:val="419158DF"/>
    <w:rsid w:val="42A93F4E"/>
    <w:rsid w:val="46965745"/>
    <w:rsid w:val="46E2237E"/>
    <w:rsid w:val="47DC362C"/>
    <w:rsid w:val="499F6680"/>
    <w:rsid w:val="4B260665"/>
    <w:rsid w:val="4B993377"/>
    <w:rsid w:val="583A23D4"/>
    <w:rsid w:val="5A1D3D5C"/>
    <w:rsid w:val="5FFE018B"/>
    <w:rsid w:val="621C616D"/>
    <w:rsid w:val="6AE54422"/>
    <w:rsid w:val="6EB0465C"/>
    <w:rsid w:val="6FA62EE7"/>
    <w:rsid w:val="70244828"/>
    <w:rsid w:val="712E0CCC"/>
    <w:rsid w:val="71566FB8"/>
    <w:rsid w:val="7CB715AE"/>
    <w:rsid w:val="7E865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keepLines/>
      <w:outlineLvl w:val="0"/>
    </w:pPr>
    <w:rPr>
      <w:b/>
      <w:kern w:val="44"/>
      <w:sz w:val="32"/>
      <w:szCs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qFormat/>
    <w:uiPriority w:val="0"/>
    <w:pPr>
      <w:keepNext/>
      <w:keepLines/>
      <w:spacing w:before="120" w:after="120" w:line="360" w:lineRule="auto"/>
      <w:jc w:val="left"/>
      <w:outlineLvl w:val="2"/>
    </w:pPr>
    <w:rPr>
      <w:rFonts w:ascii="黑体" w:hAnsi="黑体" w:eastAsia="黑体"/>
      <w:bCs/>
    </w:rPr>
  </w:style>
  <w:style w:type="paragraph" w:styleId="6">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annotation text"/>
    <w:basedOn w:val="1"/>
    <w:qFormat/>
    <w:uiPriority w:val="0"/>
    <w:pPr>
      <w:jc w:val="left"/>
    </w:pPr>
  </w:style>
  <w:style w:type="paragraph" w:styleId="8">
    <w:name w:val="Body Text Indent"/>
    <w:basedOn w:val="1"/>
    <w:next w:val="9"/>
    <w:qFormat/>
    <w:uiPriority w:val="0"/>
    <w:pPr>
      <w:ind w:firstLine="560" w:firstLineChars="200"/>
    </w:pPr>
    <w:rPr>
      <w:rFonts w:hAnsi="宋体"/>
      <w:bCs/>
      <w:sz w:val="28"/>
      <w:szCs w:val="32"/>
    </w:r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Courier New" w:hAnsi="Courier New"/>
    </w:rPr>
  </w:style>
  <w:style w:type="paragraph" w:styleId="11">
    <w:name w:val="Balloon Text"/>
    <w:basedOn w:val="1"/>
    <w:link w:val="32"/>
    <w:qFormat/>
    <w:uiPriority w:val="0"/>
    <w:rPr>
      <w:sz w:val="18"/>
      <w:szCs w:val="18"/>
    </w:rPr>
  </w:style>
  <w:style w:type="paragraph" w:styleId="12">
    <w:name w:val="footer"/>
    <w:basedOn w:val="1"/>
    <w:qFormat/>
    <w:uiPriority w:val="99"/>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cs="Calibri"/>
      <w:b/>
      <w:bCs/>
      <w:caps/>
      <w:sz w:val="20"/>
    </w:rPr>
  </w:style>
  <w:style w:type="paragraph" w:styleId="15">
    <w:name w:val="toc 2"/>
    <w:basedOn w:val="1"/>
    <w:next w:val="1"/>
    <w:qFormat/>
    <w:uiPriority w:val="39"/>
    <w:pPr>
      <w:ind w:left="210"/>
      <w:jc w:val="left"/>
    </w:pPr>
    <w:rPr>
      <w:rFonts w:ascii="Calibri" w:hAnsi="Calibri" w:cs="Calibri"/>
      <w:smallCaps/>
      <w:sz w:val="20"/>
    </w:rPr>
  </w:style>
  <w:style w:type="paragraph" w:styleId="16">
    <w:name w:val="Title"/>
    <w:basedOn w:val="1"/>
    <w:next w:val="1"/>
    <w:qFormat/>
    <w:uiPriority w:val="0"/>
    <w:pPr>
      <w:spacing w:line="360" w:lineRule="auto"/>
      <w:jc w:val="center"/>
    </w:pPr>
    <w:rPr>
      <w:rFonts w:hAnsi="宋体" w:eastAsia="黑体"/>
      <w:bCs/>
      <w:smallCaps/>
      <w:snapToGrid w:val="0"/>
      <w:sz w:val="44"/>
      <w:szCs w:val="24"/>
    </w:rPr>
  </w:style>
  <w:style w:type="paragraph" w:styleId="17">
    <w:name w:val="Body Text First Indent"/>
    <w:basedOn w:val="2"/>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8">
    <w:name w:val="Body Text First Indent 2"/>
    <w:basedOn w:val="8"/>
    <w:next w:val="1"/>
    <w:qFormat/>
    <w:uiPriority w:val="0"/>
    <w:pPr>
      <w:ind w:left="420"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qFormat/>
    <w:uiPriority w:val="0"/>
  </w:style>
  <w:style w:type="character" w:styleId="23">
    <w:name w:val="annotation reference"/>
    <w:basedOn w:val="21"/>
    <w:qFormat/>
    <w:uiPriority w:val="0"/>
    <w:rPr>
      <w:sz w:val="21"/>
      <w:szCs w:val="21"/>
    </w:rPr>
  </w:style>
  <w:style w:type="paragraph" w:customStyle="1" w:styleId="24">
    <w:name w:val="目录 71"/>
    <w:basedOn w:val="1"/>
    <w:next w:val="1"/>
    <w:qFormat/>
    <w:uiPriority w:val="0"/>
    <w:pPr>
      <w:ind w:left="2520"/>
    </w:pPr>
  </w:style>
  <w:style w:type="paragraph" w:customStyle="1" w:styleId="25">
    <w:name w:val="正文（缩进）"/>
    <w:basedOn w:val="1"/>
    <w:qFormat/>
    <w:uiPriority w:val="0"/>
    <w:pPr>
      <w:widowControl/>
      <w:spacing w:before="156" w:after="156"/>
      <w:ind w:firstLine="480" w:firstLineChars="200"/>
      <w:jc w:val="left"/>
    </w:pPr>
    <w:rPr>
      <w:rFonts w:ascii="仿宋_GB2312" w:eastAsia="仿宋_GB2312"/>
      <w:szCs w:val="24"/>
    </w:rPr>
  </w:style>
  <w:style w:type="paragraph" w:customStyle="1" w:styleId="26">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样式1"/>
    <w:basedOn w:val="1"/>
    <w:next w:val="6"/>
    <w:qFormat/>
    <w:uiPriority w:val="0"/>
    <w:pPr>
      <w:spacing w:line="360" w:lineRule="auto"/>
      <w:ind w:firstLine="420" w:firstLineChars="200"/>
    </w:pPr>
    <w:rPr>
      <w:rFonts w:hAnsi="宋体"/>
      <w:szCs w:val="21"/>
    </w:rPr>
  </w:style>
  <w:style w:type="paragraph" w:customStyle="1" w:styleId="29">
    <w:name w:val="D&amp;L"/>
    <w:basedOn w:val="13"/>
    <w:qFormat/>
    <w:uiPriority w:val="99"/>
    <w:pPr>
      <w:pBdr>
        <w:bottom w:val="thinThickSmallGap" w:color="auto" w:sz="18" w:space="1"/>
      </w:pBdr>
      <w:adjustRightInd w:val="0"/>
      <w:snapToGrid/>
      <w:spacing w:line="240" w:lineRule="atLeast"/>
      <w:textAlignment w:val="baseline"/>
    </w:pPr>
    <w:rPr>
      <w:sz w:val="24"/>
    </w:rPr>
  </w:style>
  <w:style w:type="paragraph" w:customStyle="1" w:styleId="30">
    <w:name w:val="首行缩进"/>
    <w:basedOn w:val="1"/>
    <w:qFormat/>
    <w:uiPriority w:val="0"/>
    <w:pPr>
      <w:spacing w:line="360" w:lineRule="auto"/>
      <w:ind w:left="210" w:leftChars="100" w:firstLine="420" w:firstLineChars="200"/>
    </w:pPr>
    <w:rPr>
      <w:rFonts w:hAnsi="宋体"/>
      <w:szCs w:val="24"/>
    </w:rPr>
  </w:style>
  <w:style w:type="character" w:customStyle="1" w:styleId="31">
    <w:name w:val="fontstyle01"/>
    <w:qFormat/>
    <w:uiPriority w:val="0"/>
    <w:rPr>
      <w:rFonts w:hint="eastAsia" w:ascii="宋体" w:hAnsi="宋体" w:eastAsia="宋体"/>
      <w:color w:val="000000"/>
      <w:sz w:val="22"/>
      <w:szCs w:val="22"/>
    </w:rPr>
  </w:style>
  <w:style w:type="character" w:customStyle="1" w:styleId="32">
    <w:name w:val="批注框文本 Char"/>
    <w:basedOn w:val="21"/>
    <w:link w:val="11"/>
    <w:qFormat/>
    <w:uiPriority w:val="0"/>
    <w:rPr>
      <w:rFonts w:ascii="宋体" w:hAnsi="Times New Roman" w:eastAsia="宋体" w:cs="Times New Roman"/>
      <w:sz w:val="18"/>
      <w:szCs w:val="18"/>
    </w:rPr>
  </w:style>
  <w:style w:type="paragraph" w:styleId="33">
    <w:name w:val="List Paragraph"/>
    <w:basedOn w:val="1"/>
    <w:unhideWhenUsed/>
    <w:qFormat/>
    <w:uiPriority w:val="99"/>
    <w:pPr>
      <w:ind w:firstLine="420" w:firstLineChars="200"/>
    </w:pPr>
  </w:style>
  <w:style w:type="character" w:customStyle="1" w:styleId="34">
    <w:name w:val="font21"/>
    <w:basedOn w:val="21"/>
    <w:qFormat/>
    <w:uiPriority w:val="0"/>
    <w:rPr>
      <w:rFonts w:hint="eastAsia" w:ascii="微软雅黑" w:hAnsi="微软雅黑" w:eastAsia="微软雅黑" w:cs="微软雅黑"/>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18151</Words>
  <Characters>19175</Characters>
  <Lines>156</Lines>
  <Paragraphs>43</Paragraphs>
  <TotalTime>0</TotalTime>
  <ScaleCrop>false</ScaleCrop>
  <LinksUpToDate>false</LinksUpToDate>
  <CharactersWithSpaces>20501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2023-08-30T01:45:00Z</dcterms:created>
  <dc:creator>Administrator</dc:creator>
  <cp:lastModifiedBy>Administrator</cp:lastModifiedBy>
  <dcterms:modified xsi:type="dcterms:W3CDTF">2023-09-20T01:32:21Z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BFFC6766498B4E58929C65FE29E79484_13</vt:lpwstr>
  </property>
</Properties>
</file>