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val="en-US" w:eastAsia="zh-CN"/>
        </w:rPr>
        <w:t>城隍庙街区消防设施代维服务项目（三次）</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项目编号：2023GW001</w:t>
      </w:r>
      <w:r>
        <w:rPr>
          <w:rFonts w:hint="eastAsia" w:hAnsi="DotumChe" w:cs="宋体"/>
          <w:b/>
          <w:spacing w:val="20"/>
          <w:sz w:val="32"/>
          <w:szCs w:val="32"/>
          <w:lang w:val="en-US" w:eastAsia="zh-CN"/>
        </w:rPr>
        <w:t>9</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合肥城新物业服务有限公司</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九</w:t>
      </w:r>
      <w:r>
        <w:rPr>
          <w:rFonts w:hint="eastAsia" w:hAnsi="DotumChe" w:cs="宋体"/>
          <w:b/>
          <w:spacing w:val="20"/>
          <w:sz w:val="32"/>
          <w:szCs w:val="32"/>
        </w:rPr>
        <w:t>月</w:t>
      </w:r>
    </w:p>
    <w:p>
      <w:pPr>
        <w:spacing w:after="468" w:afterLines="150" w:line="540" w:lineRule="exact"/>
        <w:jc w:val="center"/>
        <w:rPr>
          <w:rFonts w:hAnsi="宋体"/>
          <w:b/>
          <w:sz w:val="52"/>
          <w:szCs w:val="52"/>
        </w:rPr>
      </w:pPr>
    </w:p>
    <w:p>
      <w:pPr>
        <w:pStyle w:val="19"/>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7"/>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7"/>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7"/>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7"/>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7"/>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31</w:t>
      </w:r>
      <w:r>
        <w:fldChar w:fldCharType="end"/>
      </w:r>
      <w:r>
        <w:fldChar w:fldCharType="end"/>
      </w:r>
    </w:p>
    <w:p>
      <w:pPr>
        <w:pStyle w:val="17"/>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37</w:t>
      </w:r>
      <w:r>
        <w:fldChar w:fldCharType="end"/>
      </w:r>
      <w:r>
        <w:fldChar w:fldCharType="end"/>
      </w:r>
    </w:p>
    <w:p>
      <w:pPr>
        <w:pStyle w:val="17"/>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39</w:t>
      </w:r>
      <w:r>
        <w:fldChar w:fldCharType="end"/>
      </w:r>
      <w:r>
        <w:fldChar w:fldCharType="end"/>
      </w:r>
    </w:p>
    <w:p>
      <w:pPr>
        <w:pStyle w:val="18"/>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39</w:t>
      </w:r>
      <w:r>
        <w:fldChar w:fldCharType="end"/>
      </w:r>
      <w:r>
        <w:fldChar w:fldCharType="end"/>
      </w:r>
    </w:p>
    <w:p>
      <w:pPr>
        <w:pStyle w:val="18"/>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40</w:t>
      </w:r>
      <w:r>
        <w:fldChar w:fldCharType="end"/>
      </w:r>
      <w:r>
        <w:fldChar w:fldCharType="end"/>
      </w:r>
    </w:p>
    <w:p>
      <w:pPr>
        <w:pStyle w:val="18"/>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41</w:t>
      </w:r>
      <w:r>
        <w:fldChar w:fldCharType="end"/>
      </w:r>
      <w:r>
        <w:fldChar w:fldCharType="end"/>
      </w:r>
    </w:p>
    <w:p>
      <w:pPr>
        <w:pStyle w:val="18"/>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42</w:t>
      </w:r>
      <w:r>
        <w:fldChar w:fldCharType="end"/>
      </w:r>
      <w:r>
        <w:fldChar w:fldCharType="end"/>
      </w:r>
    </w:p>
    <w:p>
      <w:pPr>
        <w:pStyle w:val="18"/>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43</w:t>
      </w:r>
      <w:r>
        <w:fldChar w:fldCharType="end"/>
      </w:r>
      <w:r>
        <w:fldChar w:fldCharType="end"/>
      </w:r>
    </w:p>
    <w:p>
      <w:pPr>
        <w:pStyle w:val="18"/>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47</w:t>
      </w:r>
      <w:r>
        <w:fldChar w:fldCharType="end"/>
      </w:r>
      <w:r>
        <w:fldChar w:fldCharType="end"/>
      </w:r>
    </w:p>
    <w:p>
      <w:pPr>
        <w:pStyle w:val="18"/>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48</w:t>
      </w:r>
      <w:r>
        <w:fldChar w:fldCharType="end"/>
      </w:r>
      <w:r>
        <w:fldChar w:fldCharType="end"/>
      </w:r>
    </w:p>
    <w:p>
      <w:pPr>
        <w:pStyle w:val="18"/>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49</w:t>
      </w:r>
      <w:r>
        <w:fldChar w:fldCharType="end"/>
      </w:r>
      <w:r>
        <w:fldChar w:fldCharType="end"/>
      </w:r>
    </w:p>
    <w:p>
      <w:pPr>
        <w:pStyle w:val="18"/>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50</w:t>
      </w:r>
      <w:r>
        <w:fldChar w:fldCharType="end"/>
      </w:r>
      <w:r>
        <w:fldChar w:fldCharType="end"/>
      </w:r>
    </w:p>
    <w:p>
      <w:pPr>
        <w:pStyle w:val="18"/>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51</w:t>
      </w:r>
      <w:r>
        <w:fldChar w:fldCharType="end"/>
      </w:r>
      <w:r>
        <w:fldChar w:fldCharType="end"/>
      </w:r>
    </w:p>
    <w:p>
      <w:pPr>
        <w:pStyle w:val="18"/>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51</w:t>
      </w:r>
      <w:r>
        <w:fldChar w:fldCharType="end"/>
      </w:r>
      <w:r>
        <w:fldChar w:fldCharType="end"/>
      </w:r>
    </w:p>
    <w:p>
      <w:pPr>
        <w:spacing w:line="360" w:lineRule="auto"/>
        <w:ind w:firstLine="435"/>
        <w:jc w:val="center"/>
      </w:pPr>
      <w:r>
        <w:rPr>
          <w:rFonts w:eastAsia="黑体"/>
          <w:szCs w:val="24"/>
        </w:rPr>
        <w:fldChar w:fldCharType="end"/>
      </w:r>
    </w:p>
    <w:p>
      <w:pPr>
        <w:pStyle w:val="5"/>
        <w:numPr>
          <w:ilvl w:val="0"/>
          <w:numId w:val="1"/>
        </w:numPr>
        <w:ind w:firstLine="420"/>
        <w:rPr>
          <w:b w:val="0"/>
          <w:szCs w:val="24"/>
        </w:rPr>
      </w:pPr>
      <w:r>
        <w:br w:type="page"/>
      </w:r>
      <w:bookmarkStart w:id="0" w:name="_Toc462215727"/>
      <w:bookmarkStart w:id="1" w:name="_Toc50128746"/>
      <w:r>
        <w:rPr>
          <w:rFonts w:hint="eastAsia"/>
        </w:rPr>
        <w:t xml:space="preserve"> </w:t>
      </w:r>
      <w:bookmarkStart w:id="2" w:name="_Toc19015"/>
      <w:r>
        <w:rPr>
          <w:rFonts w:hint="eastAsia"/>
        </w:rPr>
        <w:t>磋商邀请（磋商公告）</w:t>
      </w:r>
      <w:bookmarkEnd w:id="0"/>
      <w:bookmarkEnd w:id="1"/>
      <w:bookmarkEnd w:id="2"/>
    </w:p>
    <w:p>
      <w:pPr>
        <w:pStyle w:val="24"/>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城隍庙街区消防设施代维服务项目（三次）</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合肥城新物业服务有限公司</w:t>
      </w:r>
      <w:r>
        <w:rPr>
          <w:rFonts w:hint="eastAsia" w:ascii="宋体" w:hAnsi="宋体" w:eastAsia="宋体"/>
          <w:kern w:val="2"/>
          <w:u w:val="single"/>
        </w:rPr>
        <w:t xml:space="preserve">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1.项目编号：2023GW001</w:t>
      </w:r>
      <w:r>
        <w:rPr>
          <w:rFonts w:hint="eastAsia" w:hAnsi="宋体"/>
          <w:szCs w:val="24"/>
          <w:lang w:val="en-US" w:eastAsia="zh-CN"/>
        </w:rPr>
        <w:t>9</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城隍庙街区消防设施代维服务项目（三次）</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3.项目地点：</w:t>
      </w:r>
      <w:r>
        <w:rPr>
          <w:rFonts w:hint="eastAsia" w:hAnsi="宋体"/>
          <w:szCs w:val="18"/>
        </w:rPr>
        <w:t>安徽省合肥市庐阳区</w:t>
      </w:r>
      <w:r>
        <w:rPr>
          <w:rFonts w:hint="eastAsia" w:hAnsi="宋体"/>
          <w:szCs w:val="18"/>
          <w:lang w:val="en-US" w:eastAsia="zh-CN"/>
        </w:rPr>
        <w:t>城隍庙街区</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eastAsia="zh-CN"/>
        </w:rPr>
        <w:t>合肥城新物业服务有限公司</w:t>
      </w:r>
    </w:p>
    <w:p>
      <w:pPr>
        <w:spacing w:line="360" w:lineRule="auto"/>
        <w:ind w:firstLine="240" w:firstLineChars="100"/>
        <w:rPr>
          <w:rFonts w:hint="default" w:hAnsi="宋体" w:eastAsia="宋体"/>
          <w:szCs w:val="24"/>
          <w:lang w:val="en-US" w:eastAsia="zh-CN"/>
        </w:rPr>
      </w:pPr>
      <w:r>
        <w:rPr>
          <w:rFonts w:hint="eastAsia" w:hAnsi="宋体"/>
          <w:szCs w:val="24"/>
        </w:rPr>
        <w:t xml:space="preserve">5.项目概况：城隍庙街区项目消防设施设备维保服务区域包含庙前街区域、庙东街区域、庐阳宫、城隍庙（大庙）、百味园、小商品世界、古玩城、下沉广场、思惠楼、消防泵房2座等，中标人须负责本项目的消防系统及消防设施、设备的定期维护、保养、检修、紧急故障处理等，配合其他机关单位的检查，确保项目消防系统的正常运行和各类消防检查的通过。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7.项目概算：13.8万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int="default" w:ascii="宋体" w:hAnsi="宋体" w:eastAsia="宋体" w:cs="Times New Roman"/>
          <w:szCs w:val="24"/>
          <w:lang w:val="en-US" w:eastAsia="zh-CN"/>
        </w:rPr>
      </w:pPr>
      <w:r>
        <w:rPr>
          <w:rFonts w:hint="eastAsia" w:hAnsi="宋体" w:cs="Times New Roman"/>
          <w:szCs w:val="24"/>
          <w:lang w:val="en-US" w:eastAsia="zh-CN"/>
        </w:rPr>
        <w:t>3</w:t>
      </w:r>
      <w:r>
        <w:rPr>
          <w:rFonts w:hint="eastAsia" w:ascii="宋体" w:hAnsi="宋体" w:eastAsia="宋体" w:cs="Times New Roman"/>
          <w:szCs w:val="24"/>
          <w:lang w:val="en-US" w:eastAsia="zh-CN"/>
        </w:rPr>
        <w:t>.具有不少于</w:t>
      </w:r>
      <w:r>
        <w:rPr>
          <w:rFonts w:hint="eastAsia" w:hAnsi="宋体" w:cs="Times New Roman"/>
          <w:szCs w:val="24"/>
          <w:lang w:val="en-US" w:eastAsia="zh-CN"/>
        </w:rPr>
        <w:t>1</w:t>
      </w:r>
      <w:r>
        <w:rPr>
          <w:rFonts w:hint="eastAsia" w:ascii="宋体" w:hAnsi="宋体" w:eastAsia="宋体" w:cs="Times New Roman"/>
          <w:szCs w:val="24"/>
          <w:lang w:val="en-US" w:eastAsia="zh-CN"/>
        </w:rPr>
        <w:t>个一级注册消防工程师职业资格证书</w:t>
      </w:r>
      <w:r>
        <w:rPr>
          <w:rFonts w:hint="eastAsia" w:hAnsi="宋体" w:cs="Times New Roman"/>
          <w:szCs w:val="24"/>
          <w:lang w:val="en-US" w:eastAsia="zh-CN"/>
        </w:rPr>
        <w:t>，并</w:t>
      </w:r>
      <w:r>
        <w:rPr>
          <w:rFonts w:hint="eastAsia" w:ascii="宋体" w:hAnsi="宋体" w:eastAsia="宋体" w:cs="Times New Roman"/>
          <w:szCs w:val="24"/>
          <w:lang w:val="en-US" w:eastAsia="zh-CN"/>
        </w:rPr>
        <w:t>提供相关人员近三个月（任意1个月）社保证明；</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5</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Ansi="宋体"/>
          <w:bCs/>
          <w:color w:val="auto"/>
          <w:szCs w:val="24"/>
          <w:highlight w:val="yellow"/>
        </w:rPr>
      </w:pPr>
      <w:r>
        <w:rPr>
          <w:rFonts w:hint="eastAsia" w:hAnsi="宋体"/>
          <w:bCs/>
          <w:color w:val="000000"/>
          <w:szCs w:val="24"/>
        </w:rPr>
        <w:t>1.获取时间：</w:t>
      </w:r>
      <w:r>
        <w:rPr>
          <w:rFonts w:hint="eastAsia" w:hAnsi="宋体"/>
          <w:bCs/>
          <w:color w:val="auto"/>
          <w:szCs w:val="24"/>
        </w:rPr>
        <w:t>2023年</w:t>
      </w:r>
      <w:r>
        <w:rPr>
          <w:rFonts w:hint="eastAsia" w:hAnsi="宋体"/>
          <w:bCs/>
          <w:color w:val="auto"/>
          <w:szCs w:val="24"/>
          <w:lang w:val="en-US" w:eastAsia="zh-CN"/>
        </w:rPr>
        <w:t>9</w:t>
      </w:r>
      <w:r>
        <w:rPr>
          <w:rFonts w:hint="eastAsia" w:hAnsi="宋体"/>
          <w:bCs/>
          <w:color w:val="auto"/>
          <w:szCs w:val="24"/>
        </w:rPr>
        <w:t>月</w:t>
      </w:r>
      <w:r>
        <w:rPr>
          <w:rFonts w:hint="eastAsia" w:hAnsi="宋体"/>
          <w:bCs/>
          <w:color w:val="auto"/>
          <w:szCs w:val="24"/>
          <w:lang w:val="en-US" w:eastAsia="zh-CN"/>
        </w:rPr>
        <w:t>20</w:t>
      </w:r>
      <w:r>
        <w:rPr>
          <w:rFonts w:hint="eastAsia" w:hAnsi="宋体"/>
          <w:bCs/>
          <w:color w:val="auto"/>
          <w:szCs w:val="24"/>
        </w:rPr>
        <w:t>日</w:t>
      </w:r>
      <w:r>
        <w:rPr>
          <w:rFonts w:hint="eastAsia" w:hAnsi="宋体"/>
          <w:bCs/>
          <w:color w:val="auto"/>
          <w:szCs w:val="24"/>
          <w:lang w:val="en-US" w:eastAsia="zh-CN"/>
        </w:rPr>
        <w:t>15</w:t>
      </w:r>
      <w:r>
        <w:rPr>
          <w:rFonts w:hint="eastAsia" w:hAnsi="宋体"/>
          <w:bCs/>
          <w:color w:val="auto"/>
          <w:szCs w:val="24"/>
        </w:rPr>
        <w:t>:</w:t>
      </w:r>
      <w:r>
        <w:rPr>
          <w:rFonts w:hint="eastAsia" w:hAnsi="宋体"/>
          <w:bCs/>
          <w:color w:val="auto"/>
          <w:szCs w:val="24"/>
          <w:lang w:val="en-US" w:eastAsia="zh-CN"/>
        </w:rPr>
        <w:t>3</w:t>
      </w:r>
      <w:r>
        <w:rPr>
          <w:rFonts w:hint="eastAsia" w:hAnsi="宋体"/>
          <w:bCs/>
          <w:color w:val="auto"/>
          <w:szCs w:val="24"/>
        </w:rPr>
        <w:t>0至2023年</w:t>
      </w:r>
      <w:r>
        <w:rPr>
          <w:rFonts w:hint="eastAsia" w:hAnsi="宋体"/>
          <w:bCs/>
          <w:color w:val="auto"/>
          <w:szCs w:val="24"/>
          <w:lang w:val="en-US" w:eastAsia="zh-CN"/>
        </w:rPr>
        <w:t>10</w:t>
      </w:r>
      <w:r>
        <w:rPr>
          <w:rFonts w:hint="eastAsia" w:hAnsi="宋体"/>
          <w:bCs/>
          <w:color w:val="auto"/>
          <w:szCs w:val="24"/>
        </w:rPr>
        <w:t>月</w:t>
      </w:r>
      <w:r>
        <w:rPr>
          <w:rFonts w:hint="eastAsia" w:hAnsi="宋体"/>
          <w:bCs/>
          <w:color w:val="auto"/>
          <w:szCs w:val="24"/>
          <w:lang w:val="en-US" w:eastAsia="zh-CN"/>
        </w:rPr>
        <w:t>7</w:t>
      </w:r>
      <w:r>
        <w:rPr>
          <w:rFonts w:hint="eastAsia" w:hAnsi="宋体"/>
          <w:bCs/>
          <w:color w:val="auto"/>
          <w:szCs w:val="24"/>
        </w:rPr>
        <w:t>日</w:t>
      </w:r>
      <w:r>
        <w:rPr>
          <w:rFonts w:hint="eastAsia" w:hAnsi="宋体"/>
          <w:bCs/>
          <w:color w:val="auto"/>
          <w:szCs w:val="24"/>
          <w:lang w:val="en-US" w:eastAsia="zh-CN"/>
        </w:rPr>
        <w:t>15</w:t>
      </w:r>
      <w:r>
        <w:rPr>
          <w:rFonts w:hint="eastAsia" w:hAnsi="宋体"/>
          <w:bCs/>
          <w:color w:val="auto"/>
          <w:szCs w:val="24"/>
        </w:rPr>
        <w:t>:</w:t>
      </w:r>
      <w:r>
        <w:rPr>
          <w:rFonts w:hint="eastAsia" w:hAnsi="宋体"/>
          <w:bCs/>
          <w:color w:val="auto"/>
          <w:szCs w:val="24"/>
          <w:lang w:val="en-US" w:eastAsia="zh-CN"/>
        </w:rPr>
        <w:t>3</w:t>
      </w:r>
      <w:r>
        <w:rPr>
          <w:rFonts w:hint="eastAsia" w:hAnsi="宋体"/>
          <w:bCs/>
          <w:color w:val="auto"/>
          <w:szCs w:val="24"/>
        </w:rPr>
        <w:t>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2023年</w:t>
      </w:r>
      <w:r>
        <w:rPr>
          <w:rFonts w:hint="eastAsia" w:hAnsi="宋体"/>
          <w:bCs/>
          <w:color w:val="auto"/>
          <w:szCs w:val="24"/>
          <w:lang w:val="en-US" w:eastAsia="zh-CN"/>
        </w:rPr>
        <w:t>10</w:t>
      </w:r>
      <w:r>
        <w:rPr>
          <w:rFonts w:hint="eastAsia" w:hAnsi="宋体"/>
          <w:bCs/>
          <w:color w:val="auto"/>
          <w:szCs w:val="24"/>
        </w:rPr>
        <w:t>月</w:t>
      </w:r>
      <w:r>
        <w:rPr>
          <w:rFonts w:hint="eastAsia" w:hAnsi="宋体"/>
          <w:bCs/>
          <w:color w:val="auto"/>
          <w:szCs w:val="24"/>
          <w:lang w:val="en-US" w:eastAsia="zh-CN"/>
        </w:rPr>
        <w:t>7</w:t>
      </w:r>
      <w:r>
        <w:rPr>
          <w:rFonts w:hint="eastAsia" w:hAnsi="宋体"/>
          <w:bCs/>
          <w:color w:val="auto"/>
          <w:szCs w:val="24"/>
        </w:rPr>
        <w:t>日</w:t>
      </w:r>
      <w:r>
        <w:rPr>
          <w:rFonts w:hint="eastAsia" w:hAnsi="宋体"/>
          <w:bCs/>
          <w:color w:val="auto"/>
          <w:szCs w:val="24"/>
          <w:lang w:val="en-US" w:eastAsia="zh-CN"/>
        </w:rPr>
        <w:t>15</w:t>
      </w:r>
      <w:bookmarkStart w:id="92" w:name="_GoBack"/>
      <w:bookmarkEnd w:id="92"/>
      <w:r>
        <w:rPr>
          <w:rFonts w:hint="eastAsia" w:hAnsi="宋体"/>
          <w:bCs/>
          <w:color w:val="auto"/>
          <w:szCs w:val="24"/>
        </w:rPr>
        <w:t>:</w:t>
      </w:r>
      <w:r>
        <w:rPr>
          <w:rFonts w:hint="eastAsia" w:hAnsi="宋体"/>
          <w:bCs/>
          <w:color w:val="auto"/>
          <w:szCs w:val="24"/>
          <w:lang w:val="en-US" w:eastAsia="zh-CN"/>
        </w:rPr>
        <w:t>3</w:t>
      </w:r>
      <w:r>
        <w:rPr>
          <w:rFonts w:hint="eastAsia" w:hAnsi="宋体"/>
          <w:bCs/>
          <w:color w:val="auto"/>
          <w:szCs w:val="24"/>
        </w:rPr>
        <w:t>0</w:t>
      </w:r>
      <w:r>
        <w:rPr>
          <w:rFonts w:hint="eastAsia" w:hAnsi="宋体"/>
          <w:bCs/>
          <w:color w:val="auto"/>
        </w:rPr>
        <w:t xml:space="preserve">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2"/>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合肥城新物业服务有限公司</w:t>
      </w:r>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5"/>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0"/>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eastAsia" w:ascii="宋体" w:hAnsi="宋体" w:eastAsia="宋体" w:cs="宋体"/>
                <w:b w:val="0"/>
                <w:bCs/>
                <w:sz w:val="24"/>
                <w:szCs w:val="24"/>
                <w:lang w:val="en-US" w:eastAsia="zh-CN"/>
              </w:rPr>
              <w:t>自合同</w:t>
            </w:r>
            <w:r>
              <w:rPr>
                <w:rFonts w:hint="eastAsia" w:hAnsi="宋体" w:cs="宋体"/>
                <w:b w:val="0"/>
                <w:bCs/>
                <w:sz w:val="24"/>
                <w:szCs w:val="24"/>
                <w:highlight w:val="none"/>
                <w:lang w:val="en-US" w:eastAsia="zh-CN"/>
              </w:rPr>
              <w:t>签订</w:t>
            </w:r>
            <w:r>
              <w:rPr>
                <w:rFonts w:hint="eastAsia" w:ascii="宋体" w:hAnsi="宋体" w:eastAsia="宋体" w:cs="宋体"/>
                <w:b w:val="0"/>
                <w:bCs/>
                <w:sz w:val="24"/>
                <w:szCs w:val="24"/>
                <w:highlight w:val="none"/>
                <w:lang w:val="en-US" w:eastAsia="zh-CN"/>
              </w:rPr>
              <w:t>之</w:t>
            </w:r>
            <w:r>
              <w:rPr>
                <w:rFonts w:hint="eastAsia" w:ascii="宋体" w:hAnsi="宋体" w:eastAsia="宋体" w:cs="宋体"/>
                <w:b w:val="0"/>
                <w:bCs/>
                <w:sz w:val="24"/>
                <w:szCs w:val="24"/>
                <w:lang w:val="en-US" w:eastAsia="zh-CN"/>
              </w:rPr>
              <w:t>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2"/>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 xml:space="preserve">项目现场负责人：  </w:t>
            </w:r>
            <w:r>
              <w:rPr>
                <w:rFonts w:hint="eastAsia" w:hAnsi="Times New Roman" w:cs="Times New Roman"/>
                <w:sz w:val="24"/>
                <w:szCs w:val="24"/>
                <w:lang w:val="en-US" w:eastAsia="zh-CN" w:bidi="ar-SA"/>
              </w:rPr>
              <w:t xml:space="preserve">聂工  </w:t>
            </w:r>
            <w:r>
              <w:rPr>
                <w:rFonts w:hint="eastAsia" w:ascii="宋体" w:hAnsi="Times New Roman" w:eastAsia="宋体" w:cs="Times New Roman"/>
                <w:sz w:val="24"/>
                <w:szCs w:val="24"/>
                <w:lang w:val="en-US" w:eastAsia="zh-CN" w:bidi="ar-SA"/>
              </w:rPr>
              <w:t>联系方式：</w:t>
            </w:r>
            <w:r>
              <w:rPr>
                <w:rFonts w:hint="eastAsia" w:hAnsi="Times New Roman" w:cs="Times New Roman"/>
                <w:sz w:val="24"/>
                <w:szCs w:val="24"/>
                <w:lang w:val="en-US" w:eastAsia="zh-CN" w:bidi="ar-SA"/>
              </w:rPr>
              <w:t>15056012925</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2023年</w:t>
            </w:r>
            <w:r>
              <w:rPr>
                <w:rFonts w:hint="eastAsia"/>
                <w:color w:val="auto"/>
                <w:lang w:val="en-US" w:eastAsia="zh-CN"/>
              </w:rPr>
              <w:t>9</w:t>
            </w:r>
            <w:r>
              <w:rPr>
                <w:rFonts w:hint="eastAsia"/>
                <w:color w:val="auto"/>
              </w:rPr>
              <w:t>月</w:t>
            </w:r>
            <w:r>
              <w:rPr>
                <w:rFonts w:hint="eastAsia"/>
                <w:color w:val="auto"/>
                <w:lang w:val="en-US" w:eastAsia="zh-CN"/>
              </w:rPr>
              <w:t>28</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w:t>
            </w:r>
            <w:r>
              <w:rPr>
                <w:rFonts w:hint="eastAsia"/>
                <w:bCs/>
                <w:snapToGrid w:val="0"/>
                <w:color w:val="auto"/>
                <w:szCs w:val="24"/>
                <w:lang w:val="en-US" w:eastAsia="zh-CN"/>
              </w:rPr>
              <w:t>13.8</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0"/>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fldChar w:fldCharType="end"/>
                  </w:r>
                  <w:r>
                    <w:rPr>
                      <w:rFonts w:hint="eastAsia"/>
                    </w:rPr>
                    <w:t xml:space="preserve">免收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保证保险</w:t>
                  </w:r>
                </w:p>
              </w:tc>
            </w:tr>
          </w:tbl>
          <w:p>
            <w:pPr>
              <w:numPr>
                <w:ilvl w:val="0"/>
                <w:numId w:val="2"/>
              </w:numPr>
              <w:snapToGrid w:val="0"/>
              <w:ind w:left="-84" w:leftChars="-35"/>
              <w:rPr>
                <w:rFonts w:hint="eastAsia"/>
                <w:b/>
                <w:bCs/>
                <w:u w:val="single"/>
                <w:lang w:val="en-US" w:eastAsia="zh-CN"/>
              </w:rPr>
            </w:pPr>
            <w:r>
              <w:rPr>
                <w:rFonts w:hint="eastAsia"/>
                <w:b/>
                <w:bCs/>
              </w:rPr>
              <w:t>金额：</w:t>
            </w:r>
            <w:r>
              <w:rPr>
                <w:rFonts w:hint="eastAsia"/>
                <w:b/>
                <w:bCs/>
                <w:u w:val="single"/>
              </w:rPr>
              <w:t xml:space="preserve">中标金额的   </w:t>
            </w:r>
            <w:r>
              <w:rPr>
                <w:rFonts w:hint="eastAsia"/>
                <w:b/>
                <w:bCs/>
                <w:u w:val="single"/>
                <w:lang w:val="en-US" w:eastAsia="zh-CN"/>
              </w:rPr>
              <w:t xml:space="preserve">2 </w:t>
            </w:r>
            <w:r>
              <w:rPr>
                <w:rFonts w:hint="eastAsia"/>
                <w:b/>
                <w:bCs/>
                <w:u w:val="single"/>
              </w:rPr>
              <w:t xml:space="preserve"> ％</w:t>
            </w:r>
            <w:r>
              <w:rPr>
                <w:rFonts w:hint="eastAsia"/>
                <w:b/>
                <w:bCs/>
                <w:u w:val="single"/>
                <w:lang w:val="en-US" w:eastAsia="zh-CN"/>
              </w:rPr>
              <w:t xml:space="preserve"> </w:t>
            </w:r>
          </w:p>
          <w:p>
            <w:pPr>
              <w:numPr>
                <w:ilvl w:val="0"/>
                <w:numId w:val="2"/>
              </w:numPr>
              <w:snapToGrid w:val="0"/>
              <w:ind w:left="-84" w:leftChars="-35"/>
              <w:rPr>
                <w:rFonts w:hint="eastAsia"/>
                <w:b/>
                <w:bCs/>
                <w:lang w:val="en-US" w:eastAsia="zh-CN"/>
              </w:rPr>
            </w:pPr>
            <w:r>
              <w:rPr>
                <w:rFonts w:hint="eastAsia"/>
                <w:b/>
                <w:bCs/>
                <w:lang w:val="en-US" w:eastAsia="zh-CN"/>
              </w:rPr>
              <w:t>账户名称：合肥城新物业服务有限公司</w:t>
            </w:r>
          </w:p>
          <w:p>
            <w:pPr>
              <w:snapToGrid w:val="0"/>
              <w:ind w:left="-84" w:leftChars="-35"/>
              <w:rPr>
                <w:rFonts w:hint="eastAsia"/>
                <w:b/>
                <w:bCs/>
                <w:lang w:val="en-US" w:eastAsia="zh-CN"/>
              </w:rPr>
            </w:pPr>
            <w:r>
              <w:rPr>
                <w:rFonts w:hint="eastAsia"/>
                <w:b/>
                <w:bCs/>
                <w:lang w:val="en-US" w:eastAsia="zh-CN"/>
              </w:rPr>
              <w:t>开户银行：徽商银行股份有限公司合肥合作化路支行</w:t>
            </w:r>
          </w:p>
          <w:p>
            <w:pPr>
              <w:snapToGrid w:val="0"/>
              <w:ind w:left="-84" w:leftChars="-35"/>
              <w:rPr>
                <w:rFonts w:hint="eastAsia"/>
                <w:b/>
                <w:bCs/>
                <w:lang w:val="en-US" w:eastAsia="zh-CN"/>
              </w:rPr>
            </w:pPr>
            <w:r>
              <w:rPr>
                <w:rFonts w:hint="eastAsia"/>
                <w:b/>
                <w:bCs/>
                <w:lang w:val="en-US" w:eastAsia="zh-CN"/>
              </w:rPr>
              <w:t>账号：1021001021000462320</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9"/>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9"/>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5"/>
        <w:adjustRightInd w:val="0"/>
        <w:snapToGrid w:val="0"/>
        <w:spacing w:line="400" w:lineRule="exact"/>
        <w:jc w:val="left"/>
        <w:rPr>
          <w:rFonts w:ascii="Times New Roman" w:hAnsi="Times New Roman"/>
          <w:bCs/>
          <w:snapToGrid w:val="0"/>
          <w:kern w:val="0"/>
          <w:szCs w:val="21"/>
        </w:rPr>
      </w:pPr>
      <w:bookmarkStart w:id="5" w:name="_Toc460226725"/>
      <w:bookmarkStart w:id="6" w:name="_Toc460660067"/>
      <w:bookmarkStart w:id="7" w:name="_Toc460226994"/>
      <w:bookmarkStart w:id="8" w:name="_Toc184635071"/>
    </w:p>
    <w:p>
      <w:pPr>
        <w:pStyle w:val="25"/>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rPr>
          <w:rFonts w:eastAsia="宋体"/>
          <w:sz w:val="24"/>
          <w:szCs w:val="24"/>
        </w:rPr>
      </w:pPr>
      <w:bookmarkStart w:id="9" w:name="_Toc4981"/>
      <w:r>
        <w:rPr>
          <w:rFonts w:hint="eastAsia" w:eastAsia="宋体"/>
        </w:rPr>
        <w:t>投标人须知正文</w:t>
      </w:r>
      <w:bookmarkEnd w:id="9"/>
    </w:p>
    <w:p>
      <w:pPr>
        <w:pStyle w:val="9"/>
        <w:spacing w:line="500" w:lineRule="exact"/>
        <w:jc w:val="both"/>
        <w:rPr>
          <w:rFonts w:hAnsi="宋体"/>
          <w:sz w:val="28"/>
        </w:rPr>
      </w:pPr>
      <w:bookmarkStart w:id="10" w:name="_Hlt509649722"/>
      <w:bookmarkEnd w:id="10"/>
      <w:bookmarkStart w:id="11" w:name="_Hlt509650686"/>
      <w:bookmarkEnd w:id="11"/>
      <w:bookmarkStart w:id="12" w:name="_Hlt509650955"/>
      <w:bookmarkEnd w:id="12"/>
      <w:bookmarkStart w:id="13" w:name="_Hlt526418143"/>
      <w:bookmarkEnd w:id="13"/>
      <w:bookmarkStart w:id="14" w:name="_Hlt509649998"/>
      <w:bookmarkEnd w:id="14"/>
      <w:bookmarkStart w:id="15" w:name="_Hlt509650126"/>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9"/>
        <w:spacing w:line="500" w:lineRule="exact"/>
        <w:jc w:val="both"/>
        <w:rPr>
          <w:rFonts w:hAnsi="宋体"/>
          <w:sz w:val="28"/>
        </w:rPr>
      </w:pPr>
      <w:bookmarkStart w:id="17" w:name="_Toc50128750"/>
      <w:r>
        <w:rPr>
          <w:rFonts w:hint="eastAsia" w:hAnsi="宋体"/>
          <w:sz w:val="28"/>
        </w:rPr>
        <w:t>二．磋商文件</w:t>
      </w:r>
      <w:bookmarkEnd w:id="17"/>
      <w:bookmarkStart w:id="18" w:name="_Hlt509649791"/>
      <w:bookmarkEnd w:id="18"/>
      <w:bookmarkStart w:id="19" w:name="_Hlt509649930"/>
      <w:bookmarkEnd w:id="19"/>
      <w:bookmarkStart w:id="20" w:name="_Hlt50965036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9"/>
        <w:spacing w:line="500" w:lineRule="exact"/>
        <w:jc w:val="both"/>
        <w:rPr>
          <w:rFonts w:hAnsi="宋体"/>
          <w:sz w:val="28"/>
        </w:rPr>
      </w:pPr>
      <w:bookmarkStart w:id="23" w:name="_Hlt509649724"/>
      <w:bookmarkEnd w:id="23"/>
      <w:bookmarkStart w:id="24" w:name="_Hlt510342861"/>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6"/>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9"/>
        <w:ind w:firstLine="628"/>
        <w:jc w:val="both"/>
        <w:rPr>
          <w:rFonts w:hAnsi="宋体"/>
          <w:sz w:val="28"/>
        </w:rPr>
      </w:pPr>
      <w:bookmarkStart w:id="28" w:name="_Hlt509650572"/>
      <w:bookmarkEnd w:id="28"/>
      <w:bookmarkStart w:id="29" w:name="_Hlt509649294"/>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9"/>
        <w:ind w:firstLine="628"/>
        <w:jc w:val="both"/>
        <w:rPr>
          <w:rFonts w:hAnsi="宋体"/>
          <w:sz w:val="28"/>
        </w:rPr>
      </w:pPr>
      <w:bookmarkStart w:id="33" w:name="_Toc459990140"/>
      <w:bookmarkStart w:id="34" w:name="_Toc522466827"/>
      <w:bookmarkStart w:id="35" w:name="_Toc50128753"/>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ind w:firstLine="628"/>
        <w:jc w:val="both"/>
        <w:rPr>
          <w:rFonts w:hAnsi="宋体"/>
          <w:sz w:val="28"/>
        </w:rPr>
      </w:pPr>
      <w:bookmarkStart w:id="36" w:name="_Toc50128754"/>
      <w:bookmarkStart w:id="37" w:name="_Toc460487454"/>
      <w:bookmarkStart w:id="38" w:name="_Toc522466828"/>
      <w:bookmarkStart w:id="39" w:name="_Toc477793061"/>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7"/>
        <w:snapToGrid w:val="0"/>
        <w:ind w:left="775" w:leftChars="228" w:hanging="228" w:hangingChars="95"/>
      </w:pPr>
      <w:r>
        <w:rPr>
          <w:rFonts w:hint="eastAsia"/>
        </w:rPr>
        <w:t>28</w:t>
      </w:r>
      <w:r>
        <w:t>.1</w:t>
      </w:r>
      <w:r>
        <w:rPr>
          <w:rFonts w:hint="eastAsia"/>
        </w:rPr>
        <w:t>招标人将以中标通知书形式通知中标人，其投标已被接受。</w:t>
      </w:r>
    </w:p>
    <w:p>
      <w:pPr>
        <w:pStyle w:val="27"/>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5"/>
        <w:rPr>
          <w:rFonts w:ascii="黑体" w:hAnsi="黑体"/>
          <w:b w:val="0"/>
        </w:rPr>
      </w:pPr>
      <w:bookmarkStart w:id="40" w:name="_Toc11229"/>
      <w:r>
        <w:rPr>
          <w:rFonts w:hint="eastAsia" w:ascii="黑体" w:hAnsi="黑体"/>
          <w:b w:val="0"/>
        </w:rPr>
        <w:t>第三章 招标需求</w:t>
      </w:r>
      <w:bookmarkEnd w:id="40"/>
    </w:p>
    <w:p>
      <w:pPr>
        <w:widowControl/>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一、项目名称</w:t>
      </w:r>
    </w:p>
    <w:p>
      <w:pPr>
        <w:widowControl/>
        <w:spacing w:line="360" w:lineRule="auto"/>
        <w:ind w:firstLine="480" w:firstLineChars="200"/>
        <w:rPr>
          <w:rFonts w:ascii="宋体" w:hAnsi="宋体" w:eastAsia="宋体" w:cs="宋体"/>
          <w:bCs/>
          <w:sz w:val="24"/>
          <w:szCs w:val="24"/>
          <w:highlight w:val="none"/>
          <w:lang w:val="zh-CN"/>
        </w:rPr>
      </w:pPr>
      <w:r>
        <w:rPr>
          <w:rFonts w:hint="eastAsia" w:hAnsi="宋体" w:cs="宋体"/>
          <w:bCs/>
          <w:sz w:val="24"/>
          <w:szCs w:val="24"/>
          <w:highlight w:val="none"/>
          <w:lang w:val="en-US" w:eastAsia="zh-CN"/>
        </w:rPr>
        <w:t>城隍庙</w:t>
      </w:r>
      <w:r>
        <w:rPr>
          <w:rFonts w:hint="eastAsia" w:ascii="宋体" w:hAnsi="宋体" w:eastAsia="宋体" w:cs="宋体"/>
          <w:bCs/>
          <w:sz w:val="24"/>
          <w:szCs w:val="24"/>
          <w:highlight w:val="none"/>
          <w:lang w:val="zh-CN" w:eastAsia="zh-CN"/>
        </w:rPr>
        <w:t>街区消防设施代维服务（</w:t>
      </w:r>
      <w:r>
        <w:rPr>
          <w:rFonts w:hint="eastAsia" w:hAnsi="宋体" w:cs="宋体"/>
          <w:bCs/>
          <w:sz w:val="24"/>
          <w:szCs w:val="24"/>
          <w:highlight w:val="none"/>
          <w:lang w:val="zh-CN" w:eastAsia="zh-CN"/>
        </w:rPr>
        <w:t>三次</w:t>
      </w:r>
      <w:r>
        <w:rPr>
          <w:rFonts w:hint="eastAsia" w:ascii="宋体" w:hAnsi="宋体" w:eastAsia="宋体" w:cs="宋体"/>
          <w:bCs/>
          <w:sz w:val="24"/>
          <w:szCs w:val="24"/>
          <w:highlight w:val="none"/>
          <w:lang w:val="zh-CN" w:eastAsia="zh-CN"/>
        </w:rPr>
        <w:t>）</w:t>
      </w:r>
    </w:p>
    <w:p>
      <w:pPr>
        <w:widowControl/>
        <w:spacing w:line="360" w:lineRule="auto"/>
        <w:ind w:firstLine="482" w:firstLineChars="200"/>
        <w:rPr>
          <w:rFonts w:ascii="宋体" w:hAnsi="宋体" w:cs="宋体"/>
          <w:b/>
          <w:sz w:val="24"/>
        </w:rPr>
      </w:pPr>
      <w:r>
        <w:rPr>
          <w:rFonts w:hint="eastAsia" w:ascii="宋体" w:hAnsi="宋体" w:cs="宋体"/>
          <w:b/>
          <w:sz w:val="24"/>
        </w:rPr>
        <w:t>二、项目预算：13.8万元</w:t>
      </w:r>
    </w:p>
    <w:p>
      <w:pPr>
        <w:widowControl/>
        <w:spacing w:line="360" w:lineRule="auto"/>
        <w:ind w:firstLine="482" w:firstLineChars="200"/>
        <w:rPr>
          <w:rFonts w:ascii="宋体" w:hAnsi="宋体" w:cs="宋体"/>
          <w:b/>
          <w:sz w:val="24"/>
        </w:rPr>
      </w:pPr>
      <w:r>
        <w:rPr>
          <w:rFonts w:hint="eastAsia" w:ascii="宋体" w:hAnsi="宋体" w:cs="宋体"/>
          <w:b/>
          <w:sz w:val="24"/>
        </w:rPr>
        <w:t>三、项目概况</w:t>
      </w:r>
    </w:p>
    <w:p>
      <w:pPr>
        <w:widowControl/>
        <w:spacing w:line="360" w:lineRule="auto"/>
        <w:ind w:firstLine="480" w:firstLineChars="200"/>
        <w:rPr>
          <w:rFonts w:ascii="宋体" w:hAnsi="宋体" w:cs="宋体"/>
          <w:b/>
          <w:sz w:val="24"/>
        </w:rPr>
      </w:pPr>
      <w:r>
        <w:rPr>
          <w:rFonts w:hint="eastAsia" w:ascii="宋体" w:hAnsi="宋体" w:cs="宋体"/>
          <w:bCs/>
          <w:sz w:val="24"/>
        </w:rPr>
        <w:t>城隍庙街区项目消防设施设备维保服务，区域包含庙前街区域、庙东街区域、庐阳宫、城隍庙（大庙）、百味园、小商品世界、古玩城、下沉广场、思惠楼、消防泵房2座等。</w:t>
      </w:r>
    </w:p>
    <w:p>
      <w:pPr>
        <w:widowControl/>
        <w:spacing w:line="360" w:lineRule="auto"/>
        <w:ind w:firstLine="482" w:firstLineChars="200"/>
        <w:rPr>
          <w:rFonts w:ascii="宋体" w:hAnsi="宋体" w:cs="宋体"/>
          <w:b/>
          <w:sz w:val="24"/>
        </w:rPr>
      </w:pPr>
      <w:r>
        <w:rPr>
          <w:rFonts w:hint="eastAsia" w:ascii="宋体" w:hAnsi="宋体" w:cs="宋体"/>
          <w:b/>
          <w:sz w:val="24"/>
        </w:rPr>
        <w:t>四、项目报价方式</w:t>
      </w:r>
    </w:p>
    <w:p>
      <w:pPr>
        <w:widowControl/>
        <w:spacing w:line="360" w:lineRule="auto"/>
        <w:ind w:firstLine="480" w:firstLineChars="200"/>
        <w:rPr>
          <w:rFonts w:ascii="宋体" w:hAnsi="宋体" w:cs="宋体"/>
          <w:bCs/>
          <w:sz w:val="24"/>
        </w:rPr>
      </w:pPr>
      <w:r>
        <w:rPr>
          <w:rFonts w:hint="eastAsia" w:ascii="宋体" w:hAnsi="宋体" w:cs="宋体"/>
          <w:bCs/>
          <w:sz w:val="24"/>
        </w:rPr>
        <w:t>1、本项目采用总价报价，报价包含完成本项目所产生的一切费用，履约期间招标人不再追加任何费用，投标人报价时综合考虑报价风险。报价须包含（但不仅限于）项目的施工费、人工费、材料费、安装费、运输费、机械费、管理费、保险费、垃圾清理费、维护保养费、维修费、税费、</w:t>
      </w:r>
      <w:r>
        <w:rPr>
          <w:rFonts w:hint="eastAsia" w:ascii="宋体" w:hAnsi="宋体" w:cs="宋体"/>
          <w:sz w:val="24"/>
          <w:szCs w:val="28"/>
        </w:rPr>
        <w:t>培训费、</w:t>
      </w:r>
      <w:r>
        <w:rPr>
          <w:rFonts w:hint="eastAsia" w:ascii="宋体" w:hAnsi="宋体" w:cs="宋体"/>
          <w:bCs/>
          <w:sz w:val="24"/>
        </w:rPr>
        <w:t>消防年检费、消防演练费、安全措施费、耗材费、工具及使用费、高空作业费、利润、规费</w:t>
      </w:r>
      <w:r>
        <w:rPr>
          <w:rFonts w:hint="eastAsia" w:ascii="宋体" w:hAnsi="宋体" w:cs="宋体"/>
          <w:sz w:val="24"/>
          <w:szCs w:val="28"/>
        </w:rPr>
        <w:t>、等一切为完成本项目的相关费用</w:t>
      </w:r>
      <w:r>
        <w:rPr>
          <w:rFonts w:hint="eastAsia" w:ascii="宋体" w:hAnsi="宋体" w:cs="宋体"/>
          <w:bCs/>
          <w:sz w:val="24"/>
        </w:rPr>
        <w:t>及一定范围内的风险等为完成本项目全部费用。投标人报价不得超过控制价，否则做无效标处理。</w:t>
      </w:r>
    </w:p>
    <w:p>
      <w:pPr>
        <w:widowControl/>
        <w:spacing w:line="360" w:lineRule="auto"/>
        <w:ind w:firstLine="480" w:firstLineChars="200"/>
        <w:rPr>
          <w:rFonts w:ascii="宋体" w:hAnsi="宋体" w:cs="宋体"/>
          <w:bCs/>
          <w:sz w:val="24"/>
        </w:rPr>
      </w:pPr>
      <w:r>
        <w:rPr>
          <w:rFonts w:hint="eastAsia" w:ascii="宋体" w:hAnsi="宋体" w:cs="宋体"/>
          <w:bCs/>
          <w:sz w:val="24"/>
        </w:rPr>
        <w:t>2、（1）单次200元以内的材料配件费、全年累积材料配件费不超过3000元的由中标人承担，如需更换配件时，中标人须向招标人提供书面的原因分析及处理方案，双方（招标人、中标人）依据原设备品牌、厂家及参数共同询价定价，经招标人审核确定后，中标人方可对配件进行更换。</w:t>
      </w:r>
    </w:p>
    <w:p>
      <w:pPr>
        <w:widowControl/>
        <w:spacing w:line="360" w:lineRule="auto"/>
        <w:ind w:firstLine="480" w:firstLineChars="200"/>
      </w:pPr>
      <w:r>
        <w:rPr>
          <w:rFonts w:hint="eastAsia" w:ascii="宋体" w:hAnsi="宋体" w:cs="宋体"/>
          <w:bCs/>
          <w:sz w:val="24"/>
        </w:rPr>
        <w:t>（2）超出的材料及配件费用由招标人承担，中标人须向招标人提供书面的原因分析及处理方案，超出部分的配件由招标人自行采购，由中标单位负责后续安装、维修，保障设施可正常运行</w:t>
      </w:r>
      <w:r>
        <w:rPr>
          <w:rFonts w:hint="eastAsia" w:cs="宋体"/>
          <w:bCs/>
          <w:sz w:val="24"/>
        </w:rPr>
        <w:t>。</w:t>
      </w:r>
      <w:r>
        <w:rPr>
          <w:rFonts w:hint="eastAsia" w:ascii="宋体" w:hAnsi="宋体" w:cs="宋体"/>
          <w:bCs/>
          <w:sz w:val="24"/>
        </w:rPr>
        <w:t>该部分安装维修费用包含在此次报价中。</w:t>
      </w:r>
    </w:p>
    <w:p>
      <w:pPr>
        <w:widowControl/>
        <w:spacing w:line="360" w:lineRule="auto"/>
        <w:ind w:firstLine="482" w:firstLineChars="200"/>
        <w:rPr>
          <w:rFonts w:ascii="宋体" w:hAnsi="宋体" w:cs="宋体"/>
          <w:b/>
          <w:sz w:val="24"/>
        </w:rPr>
      </w:pPr>
      <w:r>
        <w:rPr>
          <w:rFonts w:hint="eastAsia" w:ascii="宋体" w:hAnsi="宋体" w:cs="宋体"/>
          <w:b/>
          <w:sz w:val="24"/>
          <w:lang w:val="en-US" w:eastAsia="zh-CN"/>
        </w:rPr>
        <w:t>五</w:t>
      </w:r>
      <w:r>
        <w:rPr>
          <w:rFonts w:hint="eastAsia" w:ascii="宋体" w:hAnsi="宋体" w:cs="宋体"/>
          <w:b/>
          <w:sz w:val="24"/>
        </w:rPr>
        <w:t>、服务期限</w:t>
      </w:r>
    </w:p>
    <w:p>
      <w:pPr>
        <w:widowControl/>
        <w:spacing w:line="360" w:lineRule="auto"/>
        <w:ind w:firstLine="480" w:firstLineChars="200"/>
        <w:rPr>
          <w:rFonts w:ascii="宋体" w:hAnsi="宋体" w:cs="宋体"/>
          <w:b/>
          <w:sz w:val="24"/>
        </w:rPr>
      </w:pPr>
      <w:r>
        <w:rPr>
          <w:rFonts w:hint="eastAsia" w:ascii="宋体" w:hAnsi="宋体" w:cs="宋体"/>
          <w:bCs/>
          <w:sz w:val="24"/>
        </w:rPr>
        <w:t>自合同生效之日起一年，合同到期前，经双方协商无异议，可续签一年，最多申报2次。</w:t>
      </w:r>
    </w:p>
    <w:p>
      <w:pPr>
        <w:widowControl/>
        <w:spacing w:line="360" w:lineRule="auto"/>
        <w:ind w:firstLine="482" w:firstLineChars="200"/>
        <w:rPr>
          <w:rFonts w:ascii="宋体" w:hAnsi="宋体" w:cs="宋体"/>
          <w:b/>
          <w:sz w:val="24"/>
        </w:rPr>
      </w:pPr>
      <w:r>
        <w:rPr>
          <w:rFonts w:hint="eastAsia" w:ascii="宋体" w:hAnsi="宋体" w:cs="宋体"/>
          <w:b/>
          <w:sz w:val="24"/>
          <w:lang w:val="en-US" w:eastAsia="zh-CN"/>
        </w:rPr>
        <w:t>六</w:t>
      </w:r>
      <w:r>
        <w:rPr>
          <w:rFonts w:hint="eastAsia" w:ascii="宋体" w:hAnsi="宋体" w:cs="宋体"/>
          <w:b/>
          <w:sz w:val="24"/>
        </w:rPr>
        <w:t>、付款结算方式</w:t>
      </w:r>
    </w:p>
    <w:p>
      <w:pPr>
        <w:widowControl/>
        <w:spacing w:line="360" w:lineRule="auto"/>
        <w:ind w:firstLine="480" w:firstLineChars="200"/>
        <w:rPr>
          <w:rFonts w:hint="default" w:ascii="宋体" w:hAnsi="宋体" w:eastAsia="宋体" w:cs="宋体"/>
          <w:bCs/>
          <w:sz w:val="24"/>
          <w:lang w:val="en-US" w:eastAsia="zh-CN"/>
        </w:rPr>
      </w:pPr>
      <w:r>
        <w:rPr>
          <w:rFonts w:hint="eastAsia" w:ascii="宋体" w:hAnsi="宋体" w:cs="宋体"/>
          <w:bCs/>
          <w:sz w:val="24"/>
        </w:rPr>
        <w:t>按季支付，下季度支付上季度维保服务费用；</w:t>
      </w:r>
      <w:r>
        <w:rPr>
          <w:rFonts w:hint="eastAsia" w:ascii="宋体" w:hAnsi="宋体" w:cs="宋体"/>
          <w:bCs/>
          <w:sz w:val="24"/>
          <w:lang w:val="en-US" w:eastAsia="zh-CN"/>
        </w:rPr>
        <w:t>每季度支付金额=</w:t>
      </w:r>
      <w:r>
        <w:rPr>
          <w:rFonts w:hint="eastAsia"/>
          <w:lang w:val="en-US" w:eastAsia="zh-CN"/>
        </w:rPr>
        <w:t>合同签订金额/4-考评处罚费；</w:t>
      </w:r>
    </w:p>
    <w:p>
      <w:pPr>
        <w:widowControl/>
        <w:spacing w:line="360" w:lineRule="auto"/>
        <w:ind w:firstLine="480" w:firstLineChars="200"/>
        <w:rPr>
          <w:rFonts w:ascii="宋体" w:hAnsi="宋体" w:cs="宋体"/>
          <w:bCs/>
          <w:sz w:val="24"/>
        </w:rPr>
      </w:pPr>
      <w:r>
        <w:rPr>
          <w:rFonts w:hint="eastAsia" w:ascii="宋体" w:hAnsi="宋体" w:cs="宋体"/>
          <w:bCs/>
          <w:sz w:val="24"/>
        </w:rPr>
        <w:t>付款前，中标人须按招标人要求提供正规有效的增值税专用发票。</w:t>
      </w:r>
    </w:p>
    <w:p>
      <w:pPr>
        <w:widowControl/>
        <w:spacing w:line="360" w:lineRule="auto"/>
        <w:ind w:firstLine="482" w:firstLineChars="200"/>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、项目需求</w:t>
      </w:r>
    </w:p>
    <w:p>
      <w:pPr>
        <w:widowControl/>
        <w:spacing w:line="360" w:lineRule="auto"/>
        <w:ind w:firstLine="480" w:firstLineChars="200"/>
        <w:rPr>
          <w:rFonts w:ascii="宋体" w:hAnsi="宋体" w:cs="宋体"/>
          <w:bCs/>
          <w:sz w:val="24"/>
        </w:rPr>
      </w:pPr>
      <w:r>
        <w:rPr>
          <w:rFonts w:hint="eastAsia" w:ascii="宋体" w:hAnsi="宋体" w:cs="宋体"/>
          <w:bCs/>
          <w:sz w:val="24"/>
        </w:rPr>
        <w:t xml:space="preserve">1、代维服务 </w:t>
      </w:r>
    </w:p>
    <w:p>
      <w:pPr>
        <w:widowControl/>
        <w:spacing w:line="360" w:lineRule="auto"/>
        <w:ind w:firstLine="480" w:firstLineChars="200"/>
        <w:rPr>
          <w:rFonts w:ascii="宋体" w:hAnsi="宋体" w:cs="宋体"/>
          <w:bCs/>
          <w:sz w:val="24"/>
        </w:rPr>
      </w:pPr>
      <w:r>
        <w:rPr>
          <w:rFonts w:hint="eastAsia" w:ascii="宋体" w:hAnsi="宋体" w:cs="宋体"/>
          <w:bCs/>
          <w:sz w:val="24"/>
        </w:rPr>
        <w:t>中标单位须安排不少于3名技术人员，按照招标方要求的维保频次及维保数量对本项目消防设施进行维护保养保证消防设施正常运行，并指定1名一级注册消防工程师进行技术指导；每月常规巡检四次，全年应急服务，紧急情况下1小时内赶到现场，大型维修的先采取临时应急保护措施，需要更换设备的报甲方审核批准后维修。重大节日前的安全检查、每年一次防火演练、消防安全培训；全年的智慧消防维保服务；出具月度维保报告及年度测试报告。</w:t>
      </w:r>
    </w:p>
    <w:p>
      <w:pPr>
        <w:widowControl/>
        <w:spacing w:line="360" w:lineRule="auto"/>
        <w:ind w:firstLine="480" w:firstLineChars="200"/>
        <w:rPr>
          <w:rFonts w:ascii="宋体" w:hAnsi="宋体" w:cs="宋体"/>
          <w:bCs/>
          <w:sz w:val="24"/>
        </w:rPr>
      </w:pPr>
      <w:r>
        <w:rPr>
          <w:rFonts w:hint="eastAsia" w:ascii="宋体" w:hAnsi="宋体" w:cs="宋体"/>
          <w:bCs/>
          <w:sz w:val="24"/>
        </w:rPr>
        <w:t>2、更换配件</w:t>
      </w:r>
    </w:p>
    <w:p>
      <w:pPr>
        <w:widowControl/>
        <w:spacing w:line="360" w:lineRule="auto"/>
        <w:ind w:firstLine="480" w:firstLineChars="200"/>
        <w:rPr>
          <w:rFonts w:ascii="宋体" w:hAnsi="宋体" w:cs="宋体"/>
          <w:bCs/>
          <w:sz w:val="24"/>
        </w:rPr>
      </w:pPr>
      <w:r>
        <w:rPr>
          <w:rFonts w:hint="eastAsia" w:ascii="宋体" w:hAnsi="宋体" w:cs="宋体"/>
          <w:bCs/>
          <w:sz w:val="24"/>
        </w:rPr>
        <w:t>（1）单次200元以内的材料配件费、全年累积材料配件费不超过3000元的由中标人承担，如需更换配件时，中标人须向招标人提供书面的原因分析及处理方案，双方（招标人、中标人）依据原设备品牌、厂家及参数共同询价定价，经招标人审核确定后，中标人方可对配件进行更换。</w:t>
      </w:r>
    </w:p>
    <w:p>
      <w:pPr>
        <w:widowControl/>
        <w:spacing w:line="360" w:lineRule="auto"/>
        <w:ind w:firstLine="480" w:firstLineChars="200"/>
        <w:rPr>
          <w:rFonts w:ascii="宋体" w:hAnsi="宋体" w:cs="宋体"/>
          <w:bCs/>
          <w:sz w:val="24"/>
        </w:rPr>
      </w:pPr>
      <w:r>
        <w:rPr>
          <w:rFonts w:hint="eastAsia" w:ascii="宋体" w:hAnsi="宋体" w:cs="宋体"/>
          <w:bCs/>
          <w:sz w:val="24"/>
        </w:rPr>
        <w:t>（2）超出的材料及配件费用由招标人承担，中标人须向招标人提供书面的原因分析及处理方案，超出部分的配件由招标人自行采购，由中标单位负责后续安装、维修，保障设施可正常运行</w:t>
      </w:r>
      <w:r>
        <w:rPr>
          <w:rFonts w:hint="eastAsia" w:cs="宋体"/>
          <w:bCs/>
          <w:sz w:val="24"/>
        </w:rPr>
        <w:t>。</w:t>
      </w:r>
      <w:r>
        <w:rPr>
          <w:rFonts w:hint="eastAsia" w:ascii="宋体" w:hAnsi="宋体" w:cs="宋体"/>
          <w:bCs/>
          <w:sz w:val="24"/>
        </w:rPr>
        <w:t>该部分安装维修费用包含在此次报价中。</w:t>
      </w:r>
    </w:p>
    <w:p>
      <w:pPr>
        <w:widowControl/>
        <w:spacing w:line="360" w:lineRule="auto"/>
        <w:ind w:firstLine="480" w:firstLineChars="200"/>
        <w:rPr>
          <w:rFonts w:ascii="宋体" w:hAnsi="宋体" w:cs="宋体"/>
          <w:bCs/>
          <w:sz w:val="24"/>
        </w:rPr>
      </w:pPr>
      <w:r>
        <w:rPr>
          <w:rFonts w:hint="eastAsia" w:ascii="宋体" w:hAnsi="宋体" w:cs="宋体"/>
          <w:bCs/>
          <w:sz w:val="24"/>
        </w:rPr>
        <w:t>3、服务质量要求</w:t>
      </w:r>
    </w:p>
    <w:p>
      <w:pPr>
        <w:widowControl/>
        <w:spacing w:line="360" w:lineRule="auto"/>
        <w:ind w:firstLine="480" w:firstLineChars="200"/>
        <w:rPr>
          <w:rFonts w:ascii="宋体" w:hAnsi="宋体" w:cs="宋体"/>
          <w:bCs/>
          <w:sz w:val="24"/>
        </w:rPr>
      </w:pPr>
      <w:r>
        <w:rPr>
          <w:rFonts w:hint="eastAsia" w:ascii="宋体" w:hAnsi="宋体" w:cs="宋体"/>
          <w:bCs/>
          <w:sz w:val="24"/>
        </w:rPr>
        <w:t>（1）中标单位应保证本合同涉及的所有设备、仪表、设施等处于完好状态。</w:t>
      </w:r>
    </w:p>
    <w:p>
      <w:pPr>
        <w:widowControl/>
        <w:spacing w:line="360" w:lineRule="auto"/>
        <w:ind w:firstLine="480" w:firstLineChars="200"/>
        <w:rPr>
          <w:rFonts w:ascii="宋体" w:hAnsi="宋体" w:cs="宋体"/>
          <w:bCs/>
          <w:sz w:val="24"/>
        </w:rPr>
      </w:pPr>
      <w:r>
        <w:rPr>
          <w:rFonts w:hint="eastAsia" w:ascii="宋体" w:hAnsi="宋体" w:cs="宋体"/>
          <w:bCs/>
          <w:sz w:val="24"/>
        </w:rPr>
        <w:t>（2）中标单位应及时处理设备故障，保证正常使用。</w:t>
      </w:r>
    </w:p>
    <w:p>
      <w:pPr>
        <w:widowControl/>
        <w:spacing w:line="360" w:lineRule="auto"/>
        <w:ind w:firstLine="480" w:firstLineChars="200"/>
        <w:rPr>
          <w:rFonts w:ascii="宋体" w:hAnsi="宋体" w:cs="宋体"/>
          <w:bCs/>
          <w:sz w:val="24"/>
        </w:rPr>
      </w:pPr>
      <w:r>
        <w:rPr>
          <w:rFonts w:hint="eastAsia" w:ascii="宋体" w:hAnsi="宋体" w:cs="宋体"/>
          <w:bCs/>
          <w:sz w:val="24"/>
        </w:rPr>
        <w:t>（3）中标单位应严格按照国家现行标准、规范进行维保、测试等工作。</w:t>
      </w:r>
    </w:p>
    <w:p>
      <w:pPr>
        <w:widowControl/>
        <w:spacing w:line="360" w:lineRule="auto"/>
        <w:ind w:firstLine="480" w:firstLineChars="200"/>
        <w:rPr>
          <w:rFonts w:ascii="宋体" w:hAnsi="宋体" w:cs="宋体"/>
          <w:bCs/>
          <w:sz w:val="24"/>
        </w:rPr>
      </w:pPr>
      <w:r>
        <w:rPr>
          <w:rFonts w:hint="eastAsia" w:ascii="宋体" w:hAnsi="宋体" w:cs="宋体"/>
          <w:bCs/>
          <w:sz w:val="24"/>
        </w:rPr>
        <w:t>4、消防设施维护保养标准及细则</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（1）火灾自动报警及消防联动系统</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a、每周对火灾自动报警控制器自检功能、消音复位功能、故障报警功能、火灾优先功能、楼层显示功能、联动控制器功能、报警记忆功能、火灾广播功能、打印功能和主备电源自动转化功能进行检查，保证处于正常良好状态。</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 xml:space="preserve">    b、每月按安装总量的30%采用专用检测设备对火灾探测器、手动报警器按钮、警铃、声光报警器进行模拟火灾响应实验和故障报警实验。</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c、每月进行报警及控制线路维修检查；每季对消防系统进行一次全面检查，对烟感探测器进行吹烟模拟实验（抽检率不得低于50%）。</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d、每月对联动控制设备进行手动和自动试验，保证控制器应有控制和显示功能，打印、显示部位编号应一致。</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（2）自动喷水灭火系统</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a、每周对喷淋泵房的工作环境、喷淋泵、电源控制柜、湿式报警阀、管网、阀门、喷头、水泵接合器、储水设备等进行检查，保证处于完好状态。</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b、每周利用报警阀上的放水实验阀进行放水，试验系统供水情况；测试水力警铃工作是否正常，压力开关电信号是否正确。</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c、每月利用末端放水装置进行放水实验，检查水流指示器和压力开关报警功能、自动启泵功能和信号显示是否正常。</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d、每月手动启动喷淋泵，模拟自动控制条件下进行自动启动喷淋泵，进行主、备泵切换功能实验。</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e、每周检查试验湿式报警阀、水力警铃动作是否灵敏，喷淋泵是否启动，消防中心显示是否准确。</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f、每月定期对消防栓系统管网进行全面检查，对腐蚀严重的管道予与更换，对油漆脱落的管道及时除锈刷防锈漆和标志漆。</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g、每月实验测试消防控制联动功能，检查信号反馈是否正常。</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（3）消火栓灭火系统</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a、每周对消防泵房的工作环境、消防泵、电源控制柜、管网、阀门、喷淋头、水泵接合器、储水设备等进行检查，保证其处于完好状态。</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b、每月检查室内消火栓、消防水带、水枪等是否完好；每月对屋顶消火栓或最不利点消火栓进行出水试验和压力检测。</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c、每月按安装总量的30%对消火栓远程启动按钮进行启泵抽查试验，检查自动启泵功能和信号显示是否正常；每月模拟自动控制条件下进行自动启动消防泵和主、备泵切换试验。</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d、每月对室外消火栓系统进行放水试验，保持消防水源的清洁。对不能使用或损坏的阀门进行维修、更换。</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（4）机械防排烟系统</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a、每周检查送风、排烟风机机房的工作环境，送风、排烟风机的电源控制箱、送风口、排风口，防火阀、排烟阀等是否处于正常完好状态。</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b、每月按安装总量的20%和30%，分别试验手动方式和自动方式启动排烟阀，检查动作及反馈信号是否正常。</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c、每月与火灾报警控制器和消防控制室进行联动试验，检查送风机、排烟机、防火阀等动作及反馈信号是否正常（包括远程启停送、排风一次）。</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d、每月定期对正压送风机（排烟风机和电机）、正压送风阀（排烟阀）进行保养，对转动部位加润滑油并调整风机皮带松紧度等。</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e、每半年按安装总量的30%试验自动方式打开排烟口，启动送风机、排烟机；每半年按安装总量的20%试验手动方式关闭防火阀；每半年试验自动方式关闭电动防火阀。</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（5）防火分隔系统</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a、每月试验手动按钮启动防火卷帘门能否正常升降。</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b、每季度按安装总量的30%进行抽检防火门的启闭功能，检查闭门器及顺序器是否完好。</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c、每季度通过消防控制室进行联动试验，检查防火卷帘门联动功能和反馈信号是否正常。</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（6）应急照明及疏散指示系统</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a、每周检查应急照明灯和疏散指示标志是否处于正常完好状态（维护保养，如需更换，应与总务处联系）。</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b、每月按安装总量的30%试验应急照明和疏散指示灯的工作、照度和疏散照度是否正常和达到要求。</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c、每月检查应急照明系统和EPS系统电源工作是否正常，对电池组放电时间进行检查。</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d、每月检查防火门的密封性是否良好，钢质防火门有无生锈、脱漆现象防火门的开启力度是否适中，闭门器有无漏油或松动。</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（7）消防通讯及广播系统</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a、每月检查电话插孔、电梯对讲电话、播音设备、扬声器等是否正常。</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b、每月定期对消防广播主机进行一次检测维护保养。</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c、试验消防广播的选层广播功能是否正常。</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d、每月进行从背景音乐状态下强切至事故广播状态的功能试验和进行线路维修检查。</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（8）</w:t>
      </w:r>
      <w:r>
        <w:rPr>
          <w:rFonts w:ascii="宋体"/>
          <w:sz w:val="24"/>
          <w:szCs w:val="22"/>
        </w:rPr>
        <w:t>水泵、稳压泵、控制柜、联动柜</w:t>
      </w:r>
    </w:p>
    <w:p>
      <w:pPr>
        <w:autoSpaceDE w:val="0"/>
        <w:autoSpaceDN w:val="0"/>
        <w:adjustRightInd w:val="0"/>
        <w:spacing w:line="360" w:lineRule="auto"/>
        <w:ind w:firstLine="480" w:firstLineChars="200"/>
        <w:jc w:val="left"/>
        <w:rPr>
          <w:rFonts w:ascii="宋体"/>
          <w:sz w:val="24"/>
          <w:szCs w:val="22"/>
        </w:rPr>
      </w:pPr>
      <w:r>
        <w:rPr>
          <w:rFonts w:ascii="宋体"/>
          <w:sz w:val="24"/>
          <w:szCs w:val="22"/>
        </w:rPr>
        <w:t>a、每周检查试验自动和手动启动消防水泵，观察流量、压力、运行电流是否正常，并做好记录存档。</w:t>
      </w:r>
    </w:p>
    <w:p>
      <w:pPr>
        <w:autoSpaceDE w:val="0"/>
        <w:autoSpaceDN w:val="0"/>
        <w:adjustRightInd w:val="0"/>
        <w:spacing w:line="360" w:lineRule="auto"/>
        <w:ind w:firstLine="480" w:firstLineChars="200"/>
        <w:jc w:val="left"/>
        <w:rPr>
          <w:rFonts w:ascii="宋体"/>
          <w:sz w:val="24"/>
          <w:szCs w:val="22"/>
        </w:rPr>
      </w:pPr>
      <w:r>
        <w:rPr>
          <w:rFonts w:ascii="宋体"/>
          <w:sz w:val="24"/>
          <w:szCs w:val="22"/>
        </w:rPr>
        <w:t>b、每周检查各控制柜到消防中心信号是否正常，控制柜各指示灯各功能是否正常。</w:t>
      </w:r>
    </w:p>
    <w:p>
      <w:pPr>
        <w:autoSpaceDE w:val="0"/>
        <w:autoSpaceDN w:val="0"/>
        <w:adjustRightInd w:val="0"/>
        <w:spacing w:line="360" w:lineRule="auto"/>
        <w:ind w:firstLine="480" w:firstLineChars="200"/>
        <w:jc w:val="left"/>
        <w:rPr>
          <w:rFonts w:ascii="宋体"/>
          <w:sz w:val="24"/>
          <w:szCs w:val="22"/>
        </w:rPr>
      </w:pPr>
      <w:r>
        <w:rPr>
          <w:rFonts w:ascii="宋体"/>
          <w:sz w:val="24"/>
          <w:szCs w:val="22"/>
        </w:rPr>
        <w:t>c、每月检查联动柜内部电路，测试其功能是否正常，并进行吸尘、紧固接线保养工作。</w:t>
      </w:r>
    </w:p>
    <w:p>
      <w:pPr>
        <w:autoSpaceDE w:val="0"/>
        <w:autoSpaceDN w:val="0"/>
        <w:adjustRightInd w:val="0"/>
        <w:spacing w:line="360" w:lineRule="auto"/>
        <w:ind w:firstLine="480" w:firstLineChars="200"/>
        <w:jc w:val="left"/>
        <w:rPr>
          <w:rFonts w:ascii="宋体"/>
          <w:sz w:val="24"/>
          <w:szCs w:val="22"/>
        </w:rPr>
      </w:pPr>
      <w:r>
        <w:rPr>
          <w:rFonts w:ascii="宋体"/>
          <w:sz w:val="24"/>
          <w:szCs w:val="22"/>
        </w:rPr>
        <w:t>d、每月检查消防水泵主备电源自动切换装置是否正常。打开水泵出水管上的放水试验阀，用主电源启动消防水泵，消防水泵启动应正常；关掉主电源，主、备电源切换正常，试验1～3次。</w:t>
      </w:r>
    </w:p>
    <w:p>
      <w:pPr>
        <w:autoSpaceDE w:val="0"/>
        <w:autoSpaceDN w:val="0"/>
        <w:adjustRightInd w:val="0"/>
        <w:spacing w:line="360" w:lineRule="auto"/>
        <w:ind w:firstLine="480" w:firstLineChars="200"/>
        <w:jc w:val="left"/>
        <w:rPr>
          <w:rFonts w:ascii="宋体"/>
          <w:sz w:val="24"/>
          <w:szCs w:val="22"/>
        </w:rPr>
      </w:pPr>
      <w:r>
        <w:rPr>
          <w:rFonts w:ascii="宋体"/>
          <w:sz w:val="24"/>
          <w:szCs w:val="22"/>
        </w:rPr>
        <w:t>e、每月测试水泵的相间及对地电阻是否符合要求，并做好记录。</w:t>
      </w:r>
    </w:p>
    <w:p>
      <w:pPr>
        <w:autoSpaceDE w:val="0"/>
        <w:autoSpaceDN w:val="0"/>
        <w:adjustRightInd w:val="0"/>
        <w:spacing w:line="360" w:lineRule="auto"/>
        <w:ind w:firstLine="480" w:firstLineChars="200"/>
        <w:jc w:val="left"/>
        <w:rPr>
          <w:rFonts w:ascii="宋体"/>
          <w:sz w:val="24"/>
          <w:szCs w:val="22"/>
        </w:rPr>
      </w:pPr>
      <w:r>
        <w:rPr>
          <w:rFonts w:ascii="宋体"/>
          <w:sz w:val="24"/>
          <w:szCs w:val="22"/>
        </w:rPr>
        <w:t>f、每月测试消防水泵的故障自投功能是否正常。</w:t>
      </w:r>
    </w:p>
    <w:p>
      <w:pPr>
        <w:autoSpaceDE w:val="0"/>
        <w:autoSpaceDN w:val="0"/>
        <w:adjustRightInd w:val="0"/>
        <w:spacing w:line="360" w:lineRule="auto"/>
        <w:ind w:firstLine="480" w:firstLineChars="200"/>
        <w:jc w:val="left"/>
        <w:rPr>
          <w:rFonts w:ascii="宋体"/>
          <w:sz w:val="24"/>
          <w:szCs w:val="22"/>
        </w:rPr>
      </w:pPr>
      <w:r>
        <w:rPr>
          <w:rFonts w:ascii="宋体"/>
          <w:sz w:val="24"/>
          <w:szCs w:val="22"/>
        </w:rPr>
        <w:t>g、定期添加或更换水泵的润滑油。</w:t>
      </w:r>
    </w:p>
    <w:p>
      <w:pPr>
        <w:autoSpaceDE w:val="0"/>
        <w:autoSpaceDN w:val="0"/>
        <w:adjustRightInd w:val="0"/>
        <w:spacing w:line="360" w:lineRule="auto"/>
        <w:ind w:firstLine="480" w:firstLineChars="200"/>
        <w:jc w:val="left"/>
        <w:rPr>
          <w:rFonts w:ascii="宋体"/>
          <w:sz w:val="24"/>
          <w:szCs w:val="22"/>
        </w:rPr>
      </w:pPr>
      <w:r>
        <w:rPr>
          <w:rFonts w:hint="eastAsia" w:ascii="宋体"/>
          <w:sz w:val="24"/>
          <w:szCs w:val="22"/>
        </w:rPr>
        <w:t>（9）</w:t>
      </w:r>
      <w:r>
        <w:rPr>
          <w:rFonts w:ascii="宋体"/>
          <w:sz w:val="24"/>
          <w:szCs w:val="22"/>
        </w:rPr>
        <w:t>其它消防设备设施</w:t>
      </w:r>
    </w:p>
    <w:p>
      <w:pPr>
        <w:autoSpaceDE w:val="0"/>
        <w:autoSpaceDN w:val="0"/>
        <w:adjustRightInd w:val="0"/>
        <w:spacing w:line="360" w:lineRule="auto"/>
        <w:ind w:firstLine="480" w:firstLineChars="200"/>
        <w:jc w:val="left"/>
        <w:rPr>
          <w:rFonts w:ascii="宋体"/>
          <w:sz w:val="24"/>
          <w:szCs w:val="22"/>
        </w:rPr>
      </w:pPr>
      <w:r>
        <w:rPr>
          <w:rFonts w:ascii="宋体"/>
          <w:sz w:val="24"/>
          <w:szCs w:val="22"/>
        </w:rPr>
        <w:t>a、每月检查安全出口、疏散通道是否畅通。</w:t>
      </w:r>
    </w:p>
    <w:p>
      <w:pPr>
        <w:autoSpaceDE w:val="0"/>
        <w:autoSpaceDN w:val="0"/>
        <w:adjustRightInd w:val="0"/>
        <w:spacing w:line="360" w:lineRule="auto"/>
        <w:ind w:firstLine="480" w:firstLineChars="200"/>
        <w:jc w:val="left"/>
        <w:rPr>
          <w:rFonts w:ascii="宋体"/>
          <w:sz w:val="24"/>
          <w:szCs w:val="22"/>
        </w:rPr>
      </w:pPr>
      <w:r>
        <w:rPr>
          <w:rFonts w:ascii="宋体"/>
          <w:sz w:val="24"/>
          <w:szCs w:val="22"/>
        </w:rPr>
        <w:t>b、每月系统检查消防水池、消防水箱能否满足正常工作需要，技术参数是否在正常范围内。并检查消防补水泵工作情况。满足正常补水要求。</w:t>
      </w:r>
    </w:p>
    <w:p>
      <w:pPr>
        <w:widowControl/>
        <w:spacing w:line="360" w:lineRule="auto"/>
        <w:ind w:firstLine="480" w:firstLineChars="200"/>
        <w:rPr>
          <w:rFonts w:ascii="宋体" w:hAnsi="宋体" w:cs="宋体"/>
          <w:bCs/>
          <w:sz w:val="24"/>
        </w:rPr>
      </w:pPr>
      <w:r>
        <w:rPr>
          <w:rFonts w:ascii="宋体"/>
          <w:sz w:val="24"/>
          <w:szCs w:val="22"/>
        </w:rPr>
        <w:t>c、每季度检查并试验消防电梯的迫降功能是否正常；检查并试验消防电源的末端切换功能是否正常；检查并试验切断非消防电源功能是否正常。</w:t>
      </w:r>
    </w:p>
    <w:p>
      <w:pPr>
        <w:widowControl/>
        <w:spacing w:line="360" w:lineRule="auto"/>
        <w:ind w:firstLine="480" w:firstLineChars="200"/>
        <w:rPr>
          <w:rFonts w:ascii="宋体" w:hAnsi="宋体" w:cs="宋体"/>
          <w:bCs/>
          <w:sz w:val="24"/>
        </w:rPr>
      </w:pPr>
      <w:r>
        <w:rPr>
          <w:rFonts w:hint="eastAsia" w:ascii="宋体" w:hAnsi="宋体" w:cs="宋体"/>
          <w:bCs/>
          <w:sz w:val="24"/>
        </w:rPr>
        <w:t>5、主要消防设施数量（以现场实际的消防设施及数量为准）</w:t>
      </w:r>
    </w:p>
    <w:p>
      <w:pPr>
        <w:ind w:firstLine="482" w:firstLineChars="200"/>
        <w:rPr>
          <w:rFonts w:ascii="宋体" w:hAnsi="宋体" w:cs="宋体"/>
          <w:b/>
          <w:bCs/>
          <w:sz w:val="24"/>
        </w:rPr>
      </w:pPr>
      <w:r>
        <w:rPr>
          <w:rFonts w:hint="eastAsia" w:ascii="宋体" w:hAnsi="宋体" w:cs="宋体"/>
          <w:b/>
          <w:bCs/>
          <w:sz w:val="24"/>
        </w:rPr>
        <w:t>（ 1 ）火灾自动报警及消防联动系统、消防通讯及广播系统</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200"/>
        <w:gridCol w:w="159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序号</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名 称</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感烟探测器</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4786</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2</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感温探测器</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358</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3</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消火栓按钮模块</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501</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手动报警按钮</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320</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5</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输入模块</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221</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6</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联动控制模块</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276</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7</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短路隔离器</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126</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8</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火灾显示盘</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32</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9</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火灾报警控制器</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10</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消防电话主机</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2</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11</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消防广播主机</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2</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12</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消防广播喇叭</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120</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13</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总线联动盘</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14</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多线联动盘</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15</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消防联动电源</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16</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主机开关电源</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17</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消防电话分机</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40</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18</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声光报警器</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360</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19</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接线端子箱</w:t>
            </w:r>
          </w:p>
        </w:tc>
        <w:tc>
          <w:tcPr>
            <w:tcW w:w="1596"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68</w:t>
            </w:r>
          </w:p>
        </w:tc>
        <w:tc>
          <w:tcPr>
            <w:tcW w:w="148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只</w:t>
            </w:r>
          </w:p>
        </w:tc>
      </w:tr>
    </w:tbl>
    <w:p>
      <w:pPr>
        <w:ind w:firstLine="482" w:firstLineChars="200"/>
        <w:rPr>
          <w:rFonts w:ascii="宋体" w:hAnsi="宋体" w:cs="宋体"/>
          <w:b/>
          <w:bCs/>
          <w:sz w:val="24"/>
        </w:rPr>
      </w:pPr>
    </w:p>
    <w:p>
      <w:pPr>
        <w:ind w:firstLine="482" w:firstLineChars="200"/>
        <w:rPr>
          <w:rFonts w:ascii="宋体" w:hAnsi="宋体" w:cs="宋体"/>
          <w:b/>
          <w:bCs/>
          <w:sz w:val="24"/>
        </w:rPr>
      </w:pPr>
      <w:r>
        <w:rPr>
          <w:rFonts w:hint="eastAsia" w:ascii="宋体" w:hAnsi="宋体" w:cs="宋体"/>
          <w:b/>
          <w:bCs/>
          <w:sz w:val="24"/>
        </w:rPr>
        <w:t>（2）自动喷水灭火系统、消火栓灭火系统</w:t>
      </w:r>
    </w:p>
    <w:tbl>
      <w:tblPr>
        <w:tblStyle w:val="20"/>
        <w:tblpPr w:leftFromText="180" w:rightFromText="180" w:vertAnchor="text" w:horzAnchor="margin" w:tblpXSpec="center" w:tblpY="11"/>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4200"/>
        <w:gridCol w:w="155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序号</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名称</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数量</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湿式报警阀</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15</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2</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压力开关</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15</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3</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水流指示器</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68</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水力警铃</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15</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5</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水泵结合器</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31</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6</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喷头</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700</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7</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各种大小阀门</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960</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8</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消防泵</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5</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9</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喷淋泵</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5</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10</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消防稳压泵</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6</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11</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信号阀</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68</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12</w:t>
            </w:r>
          </w:p>
        </w:tc>
        <w:tc>
          <w:tcPr>
            <w:tcW w:w="42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稳压罐</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w:t>
            </w:r>
          </w:p>
        </w:tc>
        <w:tc>
          <w:tcPr>
            <w:tcW w:w="150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个</w:t>
            </w:r>
          </w:p>
        </w:tc>
      </w:tr>
    </w:tbl>
    <w:p>
      <w:pPr>
        <w:ind w:firstLine="482" w:firstLineChars="200"/>
        <w:rPr>
          <w:rFonts w:ascii="宋体" w:hAnsi="宋体" w:cs="宋体"/>
          <w:b/>
          <w:bCs/>
          <w:sz w:val="24"/>
        </w:rPr>
      </w:pPr>
    </w:p>
    <w:p>
      <w:pPr>
        <w:ind w:firstLine="482" w:firstLineChars="200"/>
        <w:rPr>
          <w:rFonts w:ascii="宋体" w:hAnsi="宋体" w:cs="宋体"/>
          <w:b/>
          <w:bCs/>
          <w:sz w:val="24"/>
        </w:rPr>
      </w:pPr>
      <w:r>
        <w:rPr>
          <w:rFonts w:hint="eastAsia" w:ascii="宋体" w:hAnsi="宋体" w:cs="宋体"/>
          <w:b/>
          <w:bCs/>
          <w:sz w:val="24"/>
        </w:rPr>
        <w:t>（3）机械防排烟系统</w:t>
      </w:r>
    </w:p>
    <w:tbl>
      <w:tblPr>
        <w:tblStyle w:val="20"/>
        <w:tblpPr w:leftFromText="180" w:rightFromText="180" w:vertAnchor="text" w:horzAnchor="margin" w:tblpXSpec="center" w:tblpY="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4245"/>
        <w:gridCol w:w="154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序号</w:t>
            </w:r>
          </w:p>
        </w:tc>
        <w:tc>
          <w:tcPr>
            <w:tcW w:w="42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名称</w:t>
            </w:r>
          </w:p>
        </w:tc>
        <w:tc>
          <w:tcPr>
            <w:tcW w:w="15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数量</w:t>
            </w:r>
          </w:p>
        </w:tc>
        <w:tc>
          <w:tcPr>
            <w:tcW w:w="152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w:t>
            </w:r>
          </w:p>
        </w:tc>
        <w:tc>
          <w:tcPr>
            <w:tcW w:w="42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正压送风机</w:t>
            </w:r>
          </w:p>
        </w:tc>
        <w:tc>
          <w:tcPr>
            <w:tcW w:w="15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6</w:t>
            </w:r>
          </w:p>
        </w:tc>
        <w:tc>
          <w:tcPr>
            <w:tcW w:w="152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2</w:t>
            </w:r>
          </w:p>
        </w:tc>
        <w:tc>
          <w:tcPr>
            <w:tcW w:w="42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排烟风机</w:t>
            </w:r>
          </w:p>
        </w:tc>
        <w:tc>
          <w:tcPr>
            <w:tcW w:w="15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2</w:t>
            </w:r>
          </w:p>
        </w:tc>
        <w:tc>
          <w:tcPr>
            <w:tcW w:w="152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3</w:t>
            </w:r>
          </w:p>
        </w:tc>
        <w:tc>
          <w:tcPr>
            <w:tcW w:w="42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防火阀</w:t>
            </w:r>
          </w:p>
        </w:tc>
        <w:tc>
          <w:tcPr>
            <w:tcW w:w="15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10</w:t>
            </w:r>
          </w:p>
        </w:tc>
        <w:tc>
          <w:tcPr>
            <w:tcW w:w="152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4</w:t>
            </w:r>
          </w:p>
        </w:tc>
        <w:tc>
          <w:tcPr>
            <w:tcW w:w="42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木质防火门</w:t>
            </w:r>
          </w:p>
        </w:tc>
        <w:tc>
          <w:tcPr>
            <w:tcW w:w="15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56</w:t>
            </w:r>
          </w:p>
        </w:tc>
        <w:tc>
          <w:tcPr>
            <w:tcW w:w="152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5</w:t>
            </w:r>
          </w:p>
        </w:tc>
        <w:tc>
          <w:tcPr>
            <w:tcW w:w="42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防火卷帘门</w:t>
            </w:r>
          </w:p>
        </w:tc>
        <w:tc>
          <w:tcPr>
            <w:tcW w:w="154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12</w:t>
            </w:r>
          </w:p>
        </w:tc>
        <w:tc>
          <w:tcPr>
            <w:tcW w:w="1521"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sz w:val="24"/>
              </w:rPr>
            </w:pPr>
            <w:r>
              <w:rPr>
                <w:rFonts w:hint="eastAsia" w:ascii="宋体" w:hAnsi="宋体" w:cs="宋体"/>
                <w:sz w:val="24"/>
              </w:rPr>
              <w:t>樘</w:t>
            </w:r>
          </w:p>
        </w:tc>
      </w:tr>
    </w:tbl>
    <w:p>
      <w:pPr>
        <w:widowControl/>
        <w:spacing w:line="360" w:lineRule="auto"/>
        <w:ind w:firstLine="480" w:firstLineChars="200"/>
        <w:rPr>
          <w:rFonts w:ascii="宋体" w:hAnsi="宋体" w:cs="宋体"/>
          <w:bCs/>
          <w:sz w:val="24"/>
        </w:rPr>
      </w:pPr>
    </w:p>
    <w:p>
      <w:pPr>
        <w:widowControl/>
        <w:spacing w:line="360" w:lineRule="auto"/>
        <w:ind w:firstLine="480" w:firstLineChars="200"/>
        <w:rPr>
          <w:rFonts w:ascii="宋体" w:hAnsi="宋体" w:cs="宋体"/>
          <w:bCs/>
          <w:sz w:val="24"/>
        </w:rPr>
      </w:pPr>
      <w:r>
        <w:rPr>
          <w:rFonts w:hint="eastAsia" w:ascii="宋体" w:hAnsi="宋体" w:cs="宋体"/>
          <w:bCs/>
          <w:sz w:val="24"/>
        </w:rPr>
        <w:t>6、人员要求</w:t>
      </w:r>
    </w:p>
    <w:p>
      <w:pPr>
        <w:widowControl/>
        <w:spacing w:line="360" w:lineRule="auto"/>
        <w:ind w:firstLine="480" w:firstLineChars="200"/>
        <w:rPr>
          <w:rFonts w:ascii="宋体" w:hAnsi="宋体" w:cs="宋体"/>
          <w:bCs/>
          <w:sz w:val="24"/>
        </w:rPr>
      </w:pPr>
      <w:r>
        <w:rPr>
          <w:rFonts w:hint="eastAsia" w:ascii="宋体" w:hAnsi="宋体" w:cs="宋体"/>
          <w:bCs/>
          <w:sz w:val="24"/>
        </w:rPr>
        <w:t>人员配备（含项目负责人）不少于3人，同时额外配备1名注册消防工程师作为技术指导；</w:t>
      </w:r>
    </w:p>
    <w:p>
      <w:pPr>
        <w:widowControl/>
        <w:spacing w:line="360" w:lineRule="auto"/>
        <w:ind w:firstLine="480" w:firstLineChars="200"/>
        <w:rPr>
          <w:rFonts w:ascii="宋体" w:hAnsi="宋体" w:cs="宋体"/>
          <w:bCs/>
          <w:sz w:val="24"/>
        </w:rPr>
      </w:pPr>
      <w:r>
        <w:rPr>
          <w:rFonts w:hint="eastAsia" w:ascii="宋体" w:hAnsi="宋体" w:cs="宋体"/>
          <w:bCs/>
          <w:sz w:val="24"/>
        </w:rPr>
        <w:t>1、项目负责人：年龄45周岁以下，本科学历；</w:t>
      </w:r>
    </w:p>
    <w:p>
      <w:pPr>
        <w:widowControl/>
        <w:spacing w:line="360" w:lineRule="auto"/>
        <w:ind w:firstLine="480" w:firstLineChars="200"/>
        <w:rPr>
          <w:rFonts w:ascii="宋体" w:hAnsi="宋体" w:cs="宋体"/>
          <w:bCs/>
          <w:sz w:val="24"/>
        </w:rPr>
      </w:pPr>
      <w:r>
        <w:rPr>
          <w:rFonts w:hint="eastAsia" w:ascii="宋体" w:hAnsi="宋体" w:cs="宋体"/>
          <w:bCs/>
          <w:sz w:val="24"/>
        </w:rPr>
        <w:t>2、项目班组长：年龄45周岁以下，专科及以上学历；</w:t>
      </w:r>
    </w:p>
    <w:p>
      <w:pPr>
        <w:widowControl/>
        <w:spacing w:line="360" w:lineRule="auto"/>
        <w:ind w:firstLine="480" w:firstLineChars="200"/>
        <w:rPr>
          <w:rFonts w:ascii="宋体" w:hAnsi="宋体" w:cs="宋体"/>
          <w:bCs/>
          <w:sz w:val="24"/>
        </w:rPr>
      </w:pPr>
      <w:r>
        <w:rPr>
          <w:rFonts w:hint="eastAsia" w:ascii="宋体" w:hAnsi="宋体" w:cs="宋体"/>
          <w:bCs/>
          <w:sz w:val="24"/>
        </w:rPr>
        <w:t>3、项目安全员：年龄45周岁以下，建议男性；</w:t>
      </w:r>
    </w:p>
    <w:p>
      <w:pPr>
        <w:pStyle w:val="13"/>
        <w:spacing w:line="360" w:lineRule="auto"/>
        <w:ind w:firstLine="480" w:firstLineChars="200"/>
      </w:pPr>
      <w:r>
        <w:rPr>
          <w:rFonts w:hint="eastAsia" w:ascii="宋体" w:hAnsi="宋体" w:cs="宋体"/>
          <w:bCs/>
          <w:sz w:val="24"/>
        </w:rPr>
        <w:t xml:space="preserve">标后将对人员资格资质进行审查，以上人员相关材料不作为本项目初审指标，招标人有权在签订合同前核查配备人员的相关材料，人员须与招标文件要求一致，否则招标人不予签订合同或终止合同。 </w:t>
      </w:r>
    </w:p>
    <w:p>
      <w:pPr>
        <w:widowControl/>
        <w:spacing w:line="360" w:lineRule="auto"/>
        <w:ind w:firstLine="480" w:firstLineChars="200"/>
        <w:rPr>
          <w:rFonts w:ascii="宋体" w:hAnsi="宋体" w:cs="宋体"/>
          <w:bCs/>
          <w:sz w:val="24"/>
        </w:rPr>
      </w:pPr>
      <w:r>
        <w:rPr>
          <w:rFonts w:hint="eastAsia" w:ascii="宋体" w:hAnsi="宋体" w:cs="宋体"/>
          <w:bCs/>
          <w:sz w:val="24"/>
        </w:rPr>
        <w:t>7、其他要求</w:t>
      </w:r>
    </w:p>
    <w:p>
      <w:pPr>
        <w:spacing w:line="360" w:lineRule="auto"/>
        <w:ind w:firstLine="480" w:firstLineChars="200"/>
        <w:rPr>
          <w:rFonts w:ascii="宋体" w:hAnsi="宋体" w:cs="宋体"/>
          <w:b/>
          <w:color w:val="333333"/>
          <w:kern w:val="0"/>
          <w:sz w:val="32"/>
          <w:szCs w:val="32"/>
        </w:rPr>
      </w:pPr>
      <w:r>
        <w:rPr>
          <w:rFonts w:hint="eastAsia" w:ascii="宋体" w:hAnsi="宋体" w:cs="宋体"/>
          <w:sz w:val="24"/>
        </w:rPr>
        <w:t>（1）投标人应自行对服务现场及周围环境进行踏勘，以获取编制投标文件和签署合同所需的资料；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2）成交供应商进场服务前需根据本项目特点及要求制定有针对性的代维方案。代维方案需按照年代维方案、季度代维方案和月代维方案及培训方案制定，方案需经招标人审核同意方可实施。成交供应商需对所有消防设备进行一次免费检查和维修确保设备正常工作后进行日常代维。每周代维人员需提供详细的代维工作总结及下周工作计划报招标人审核和存档。存档文件需成交供应商盖章及采购单位消防管理人员签字审核后做为付款凭证。无此文件或审核不通过的文件将不予支付代维费用。</w:t>
      </w:r>
    </w:p>
    <w:p>
      <w:pPr>
        <w:spacing w:line="360" w:lineRule="auto"/>
        <w:ind w:firstLine="470" w:firstLineChars="196"/>
        <w:rPr>
          <w:rFonts w:ascii="宋体" w:hAnsi="宋体" w:cs="宋体"/>
          <w:color w:val="000000"/>
          <w:sz w:val="24"/>
        </w:rPr>
      </w:pPr>
      <w:r>
        <w:rPr>
          <w:rFonts w:hint="eastAsia" w:ascii="宋体" w:hAnsi="宋体" w:cs="宋体"/>
          <w:color w:val="000000"/>
          <w:sz w:val="24"/>
        </w:rPr>
        <w:t>（3）消防代维工作必须按照有关规章制度及消防要求进行，因代维工作不到位所致一切后果由代维单位承担。并赔偿由此造成的损失。</w:t>
      </w:r>
    </w:p>
    <w:p>
      <w:pPr>
        <w:spacing w:line="360" w:lineRule="auto"/>
        <w:ind w:firstLine="470" w:firstLineChars="196"/>
        <w:rPr>
          <w:rFonts w:ascii="宋体" w:hAnsi="宋体" w:cs="宋体"/>
          <w:color w:val="000000"/>
          <w:sz w:val="24"/>
        </w:rPr>
      </w:pPr>
      <w:r>
        <w:rPr>
          <w:rFonts w:hint="eastAsia" w:ascii="宋体" w:hAnsi="宋体" w:cs="宋体"/>
          <w:color w:val="000000"/>
          <w:sz w:val="24"/>
        </w:rPr>
        <w:t>（4）在节假日及有重大活动前做好消防系统的检查及安全预案。确保消防系统安全可靠运行。</w:t>
      </w:r>
    </w:p>
    <w:p>
      <w:pPr>
        <w:spacing w:line="360" w:lineRule="auto"/>
        <w:ind w:firstLine="470" w:firstLineChars="196"/>
        <w:rPr>
          <w:rFonts w:ascii="宋体" w:hAnsi="宋体" w:cs="宋体"/>
          <w:color w:val="000000"/>
          <w:sz w:val="24"/>
        </w:rPr>
      </w:pPr>
      <w:r>
        <w:rPr>
          <w:rFonts w:hint="eastAsia" w:ascii="宋体" w:hAnsi="宋体" w:cs="宋体"/>
          <w:color w:val="000000"/>
          <w:sz w:val="24"/>
        </w:rPr>
        <w:t>（5）代维单位每次维修保养后应提交书面维修保养报告给招标人存档；维修保养合同期满后，维修保养公司应向采购方提交详细的维修保养报告、维修保养月、季、年报表，检测、试验记录和统计资料等。每次维修保养需甲方管理部门专人签字确认。</w:t>
      </w:r>
    </w:p>
    <w:p>
      <w:pPr>
        <w:spacing w:line="360" w:lineRule="auto"/>
        <w:ind w:firstLine="470" w:firstLineChars="196"/>
        <w:rPr>
          <w:rFonts w:ascii="宋体" w:hAnsi="宋体" w:cs="宋体"/>
          <w:color w:val="000000"/>
          <w:sz w:val="24"/>
        </w:rPr>
      </w:pPr>
      <w:r>
        <w:rPr>
          <w:rFonts w:hint="eastAsia" w:ascii="宋体" w:hAnsi="宋体" w:cs="宋体"/>
          <w:color w:val="000000"/>
          <w:sz w:val="24"/>
        </w:rPr>
        <w:t>（6）每年至少对项目做一次系统全面的消防演练。</w:t>
      </w:r>
    </w:p>
    <w:p>
      <w:pPr>
        <w:spacing w:line="360" w:lineRule="auto"/>
        <w:ind w:firstLine="470" w:firstLineChars="196"/>
        <w:rPr>
          <w:rFonts w:ascii="宋体" w:hAnsi="宋体" w:cs="宋体"/>
          <w:sz w:val="24"/>
          <w:szCs w:val="28"/>
        </w:rPr>
      </w:pPr>
      <w:r>
        <w:rPr>
          <w:rFonts w:hint="eastAsia" w:ascii="宋体" w:hAnsi="宋体" w:cs="宋体"/>
          <w:color w:val="000000"/>
          <w:sz w:val="24"/>
        </w:rPr>
        <w:t>（7）成交供应商做好消防验收、年底考核及各种消防工作及安全检查，并保证甲方能够验收、考核通过。</w:t>
      </w:r>
    </w:p>
    <w:p>
      <w:pPr>
        <w:spacing w:line="360" w:lineRule="auto"/>
        <w:ind w:firstLine="480" w:firstLineChars="200"/>
        <w:rPr>
          <w:rFonts w:ascii="宋体" w:hAnsi="宋体" w:cs="宋体"/>
          <w:sz w:val="24"/>
          <w:szCs w:val="28"/>
        </w:rPr>
      </w:pPr>
      <w:r>
        <w:rPr>
          <w:rFonts w:hint="eastAsia" w:ascii="宋体" w:hAnsi="宋体" w:cs="宋体"/>
          <w:sz w:val="24"/>
          <w:szCs w:val="28"/>
        </w:rPr>
        <w:t>（8）维修依据及标准</w:t>
      </w:r>
    </w:p>
    <w:p>
      <w:pPr>
        <w:spacing w:line="360" w:lineRule="auto"/>
        <w:rPr>
          <w:rFonts w:ascii="宋体" w:hAnsi="宋体" w:cs="宋体"/>
          <w:sz w:val="24"/>
          <w:szCs w:val="28"/>
        </w:rPr>
      </w:pPr>
      <w:r>
        <w:rPr>
          <w:rFonts w:hint="eastAsia" w:ascii="宋体" w:hAnsi="宋体" w:cs="宋体"/>
          <w:sz w:val="24"/>
          <w:szCs w:val="28"/>
        </w:rPr>
        <w:t xml:space="preserve">《建筑设计防火规范》GB50016-2006  </w:t>
      </w:r>
    </w:p>
    <w:p>
      <w:pPr>
        <w:spacing w:line="360" w:lineRule="auto"/>
        <w:rPr>
          <w:rFonts w:ascii="宋体" w:hAnsi="宋体" w:cs="宋体"/>
          <w:sz w:val="24"/>
          <w:szCs w:val="28"/>
        </w:rPr>
      </w:pPr>
      <w:r>
        <w:rPr>
          <w:rFonts w:hint="eastAsia" w:ascii="宋体" w:hAnsi="宋体" w:cs="宋体"/>
          <w:sz w:val="24"/>
          <w:szCs w:val="28"/>
        </w:rPr>
        <w:t xml:space="preserve">《火灾自动报警系统施工及验收规范》GB50166-98 </w:t>
      </w:r>
    </w:p>
    <w:p>
      <w:pPr>
        <w:spacing w:line="360" w:lineRule="auto"/>
        <w:rPr>
          <w:rFonts w:ascii="宋体" w:hAnsi="宋体" w:cs="宋体"/>
          <w:sz w:val="24"/>
          <w:szCs w:val="28"/>
        </w:rPr>
      </w:pPr>
      <w:r>
        <w:rPr>
          <w:rFonts w:hint="eastAsia" w:ascii="宋体" w:hAnsi="宋体" w:cs="宋体"/>
          <w:sz w:val="24"/>
          <w:szCs w:val="28"/>
        </w:rPr>
        <w:t xml:space="preserve">《自动喷水灭火系统施工及验收规范》GB50261-2005 </w:t>
      </w:r>
    </w:p>
    <w:p>
      <w:pPr>
        <w:spacing w:line="360" w:lineRule="auto"/>
        <w:rPr>
          <w:rFonts w:ascii="宋体" w:hAnsi="宋体" w:cs="宋体"/>
          <w:sz w:val="24"/>
          <w:szCs w:val="28"/>
        </w:rPr>
      </w:pPr>
      <w:r>
        <w:rPr>
          <w:rFonts w:hint="eastAsia" w:ascii="宋体" w:hAnsi="宋体" w:cs="宋体"/>
          <w:sz w:val="24"/>
          <w:szCs w:val="28"/>
        </w:rPr>
        <w:t xml:space="preserve">《给排水管道工程施工及验收规范》GB50268-97 </w:t>
      </w:r>
    </w:p>
    <w:p>
      <w:pPr>
        <w:spacing w:line="360" w:lineRule="auto"/>
        <w:rPr>
          <w:rFonts w:ascii="宋体" w:hAnsi="宋体" w:cs="宋体"/>
          <w:sz w:val="24"/>
          <w:szCs w:val="28"/>
        </w:rPr>
      </w:pPr>
      <w:r>
        <w:rPr>
          <w:rFonts w:hint="eastAsia" w:ascii="宋体" w:hAnsi="宋体" w:cs="宋体"/>
          <w:sz w:val="24"/>
          <w:szCs w:val="28"/>
        </w:rPr>
        <w:t>《电气装置安装工程施工及验收规范》GBJ232-82</w:t>
      </w:r>
    </w:p>
    <w:p>
      <w:pPr>
        <w:tabs>
          <w:tab w:val="left" w:pos="0"/>
        </w:tabs>
        <w:adjustRightInd w:val="0"/>
        <w:snapToGrid w:val="0"/>
        <w:spacing w:line="560" w:lineRule="exact"/>
        <w:ind w:firstLine="482" w:firstLineChars="200"/>
        <w:jc w:val="left"/>
        <w:rPr>
          <w:rFonts w:ascii="宋体" w:hAnsi="宋体"/>
          <w:b/>
          <w:bCs/>
          <w:sz w:val="24"/>
        </w:rPr>
      </w:pPr>
      <w:r>
        <w:rPr>
          <w:rFonts w:hint="eastAsia" w:ascii="宋体" w:hAnsi="宋体" w:cs="宋体"/>
          <w:b/>
          <w:bCs/>
          <w:sz w:val="24"/>
          <w:szCs w:val="28"/>
        </w:rPr>
        <w:t>九、</w:t>
      </w:r>
      <w:r>
        <w:rPr>
          <w:rFonts w:hint="eastAsia" w:ascii="宋体" w:hAnsi="宋体"/>
          <w:b/>
          <w:bCs/>
          <w:sz w:val="24"/>
        </w:rPr>
        <w:t>消防设备维护保养要求</w:t>
      </w:r>
    </w:p>
    <w:p>
      <w:pPr>
        <w:spacing w:line="360" w:lineRule="auto"/>
        <w:ind w:firstLine="480" w:firstLineChars="200"/>
        <w:rPr>
          <w:rFonts w:ascii="宋体" w:hAnsi="宋体" w:cs="宋体"/>
          <w:sz w:val="24"/>
          <w:szCs w:val="28"/>
        </w:rPr>
      </w:pPr>
      <w:r>
        <w:rPr>
          <w:rFonts w:hint="eastAsia" w:ascii="宋体" w:hAnsi="宋体" w:cs="宋体"/>
          <w:sz w:val="24"/>
          <w:szCs w:val="28"/>
        </w:rPr>
        <w:t>1、中标人严格遵守国家规定的相关安全管理制度和管理处的各项规章制度，招标人有权监督、制止不符合安全作业及存在安全隐患的行为。</w:t>
      </w:r>
    </w:p>
    <w:p>
      <w:pPr>
        <w:spacing w:line="360" w:lineRule="auto"/>
        <w:ind w:firstLine="480" w:firstLineChars="200"/>
        <w:rPr>
          <w:rFonts w:ascii="宋体" w:hAnsi="宋体" w:cs="宋体"/>
          <w:sz w:val="24"/>
          <w:szCs w:val="28"/>
        </w:rPr>
      </w:pPr>
      <w:r>
        <w:rPr>
          <w:rFonts w:hint="eastAsia" w:ascii="宋体" w:hAnsi="宋体" w:cs="宋体"/>
          <w:sz w:val="24"/>
          <w:szCs w:val="28"/>
        </w:rPr>
        <w:t>2、中标人消防维修保养不得破坏原有设备设施，不得影响商业正常运作秩序。</w:t>
      </w:r>
    </w:p>
    <w:p>
      <w:pPr>
        <w:spacing w:line="360" w:lineRule="auto"/>
        <w:ind w:firstLine="480" w:firstLineChars="200"/>
        <w:rPr>
          <w:rFonts w:ascii="宋体" w:hAnsi="宋体" w:cs="宋体"/>
          <w:sz w:val="24"/>
          <w:szCs w:val="28"/>
        </w:rPr>
      </w:pPr>
      <w:r>
        <w:rPr>
          <w:rFonts w:hint="eastAsia" w:ascii="宋体" w:hAnsi="宋体" w:cs="宋体"/>
          <w:sz w:val="24"/>
          <w:szCs w:val="28"/>
        </w:rPr>
        <w:t>3、中标人应急维修保养的响应时间应确保2小时内有维修保养工人赶到现场，24小时内处理好故障，特殊故障或其它特殊因素导致不能及时处理的经招标人同意可延长维修时间。</w:t>
      </w:r>
    </w:p>
    <w:p>
      <w:pPr>
        <w:spacing w:line="360" w:lineRule="auto"/>
        <w:ind w:firstLine="480" w:firstLineChars="200"/>
        <w:rPr>
          <w:rFonts w:ascii="宋体" w:hAnsi="宋体" w:cs="宋体"/>
          <w:sz w:val="24"/>
          <w:szCs w:val="28"/>
        </w:rPr>
      </w:pPr>
      <w:r>
        <w:rPr>
          <w:rFonts w:hint="eastAsia" w:ascii="宋体" w:hAnsi="宋体" w:cs="宋体"/>
          <w:sz w:val="24"/>
          <w:szCs w:val="28"/>
        </w:rPr>
        <w:t>4、主要设备的维修保养应有相应的应急方案及实施措施，中标人不得以意外事故为由影响商业消防设备的正常运行。</w:t>
      </w:r>
    </w:p>
    <w:p>
      <w:pPr>
        <w:spacing w:line="360" w:lineRule="auto"/>
        <w:ind w:firstLine="480" w:firstLineChars="200"/>
        <w:rPr>
          <w:rFonts w:ascii="宋体" w:hAnsi="宋体" w:cs="宋体"/>
          <w:sz w:val="24"/>
          <w:szCs w:val="28"/>
        </w:rPr>
      </w:pPr>
      <w:r>
        <w:rPr>
          <w:rFonts w:hint="eastAsia" w:ascii="宋体" w:hAnsi="宋体" w:cs="宋体"/>
          <w:sz w:val="24"/>
          <w:szCs w:val="28"/>
        </w:rPr>
        <w:t>5、前来维修保养的中标人必须持有效证件，特种作业人员必须持有特种作业上岗证，必须服从招标人的相关管理。</w:t>
      </w:r>
    </w:p>
    <w:p>
      <w:pPr>
        <w:spacing w:line="360" w:lineRule="auto"/>
        <w:ind w:firstLine="480" w:firstLineChars="200"/>
        <w:rPr>
          <w:rFonts w:ascii="宋体" w:hAnsi="宋体" w:cs="宋体"/>
          <w:sz w:val="24"/>
          <w:szCs w:val="28"/>
        </w:rPr>
      </w:pPr>
      <w:r>
        <w:rPr>
          <w:rFonts w:hint="eastAsia" w:ascii="宋体" w:hAnsi="宋体" w:cs="宋体"/>
          <w:sz w:val="24"/>
          <w:szCs w:val="28"/>
        </w:rPr>
        <w:t>6、中标人每年免费对消防系统进行测试一次，并出具消防系统测试报告纸质版交于招标人存档。</w:t>
      </w:r>
    </w:p>
    <w:p>
      <w:pPr>
        <w:spacing w:line="360" w:lineRule="auto"/>
        <w:ind w:firstLine="480" w:firstLineChars="200"/>
        <w:rPr>
          <w:rFonts w:ascii="宋体" w:hAnsi="宋体" w:cs="宋体"/>
          <w:sz w:val="24"/>
          <w:szCs w:val="28"/>
        </w:rPr>
      </w:pPr>
      <w:r>
        <w:rPr>
          <w:rFonts w:hint="eastAsia" w:ascii="宋体" w:hAnsi="宋体" w:cs="宋体"/>
          <w:sz w:val="24"/>
          <w:szCs w:val="28"/>
        </w:rPr>
        <w:t>7、中标人年度最少一次消防知识培训和实际操作演习。</w:t>
      </w:r>
    </w:p>
    <w:p>
      <w:pPr>
        <w:spacing w:line="360" w:lineRule="auto"/>
        <w:ind w:firstLine="480" w:firstLineChars="200"/>
        <w:rPr>
          <w:rFonts w:ascii="宋体" w:hAnsi="宋体" w:cs="宋体"/>
          <w:sz w:val="24"/>
          <w:szCs w:val="28"/>
        </w:rPr>
      </w:pPr>
      <w:r>
        <w:rPr>
          <w:rFonts w:hint="eastAsia" w:ascii="宋体" w:hAnsi="宋体" w:cs="宋体"/>
          <w:sz w:val="24"/>
          <w:szCs w:val="28"/>
        </w:rPr>
        <w:t>8、中标人应在节假日及有重大活动前做好消防系统的检查及安全预案，确保消防系统安全可靠运行。</w:t>
      </w:r>
    </w:p>
    <w:p>
      <w:pPr>
        <w:pStyle w:val="11"/>
        <w:rPr>
          <w:rFonts w:ascii="宋体" w:hAnsi="宋体" w:cs="宋体"/>
          <w:sz w:val="24"/>
          <w:szCs w:val="28"/>
        </w:rPr>
      </w:pPr>
    </w:p>
    <w:p>
      <w:r>
        <w:rPr>
          <w:rFonts w:hint="eastAsia" w:ascii="宋体" w:hAnsi="宋体" w:cs="宋体"/>
          <w:b/>
          <w:bCs/>
          <w:sz w:val="24"/>
          <w:szCs w:val="28"/>
        </w:rPr>
        <w:t>十、考核内容</w:t>
      </w:r>
    </w:p>
    <w:p>
      <w:pPr>
        <w:pStyle w:val="11"/>
      </w:pPr>
    </w:p>
    <w:tbl>
      <w:tblPr>
        <w:tblStyle w:val="20"/>
        <w:tblW w:w="9589" w:type="dxa"/>
        <w:jc w:val="center"/>
        <w:tblLayout w:type="autofit"/>
        <w:tblCellMar>
          <w:top w:w="0" w:type="dxa"/>
          <w:left w:w="108" w:type="dxa"/>
          <w:bottom w:w="0" w:type="dxa"/>
          <w:right w:w="108" w:type="dxa"/>
        </w:tblCellMar>
      </w:tblPr>
      <w:tblGrid>
        <w:gridCol w:w="741"/>
        <w:gridCol w:w="4360"/>
        <w:gridCol w:w="1342"/>
        <w:gridCol w:w="3146"/>
      </w:tblGrid>
      <w:tr>
        <w:tblPrEx>
          <w:tblCellMar>
            <w:top w:w="0" w:type="dxa"/>
            <w:left w:w="108" w:type="dxa"/>
            <w:bottom w:w="0" w:type="dxa"/>
            <w:right w:w="108" w:type="dxa"/>
          </w:tblCellMar>
        </w:tblPrEx>
        <w:trPr>
          <w:trHeight w:val="611" w:hRule="atLeast"/>
          <w:jc w:val="center"/>
        </w:trPr>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考核内容</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扣款标准（元/次）</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补充及解释</w:t>
            </w:r>
          </w:p>
        </w:tc>
      </w:tr>
      <w:tr>
        <w:tblPrEx>
          <w:tblCellMar>
            <w:top w:w="0" w:type="dxa"/>
            <w:left w:w="108" w:type="dxa"/>
            <w:bottom w:w="0" w:type="dxa"/>
            <w:right w:w="108" w:type="dxa"/>
          </w:tblCellMar>
        </w:tblPrEx>
        <w:trPr>
          <w:trHeight w:val="92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乙方消防相关专业资质必须符合甲方维保项目要求。</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乙方不应以其他符合甲方要求、且具有相关资质的公司名义对甲方项目进行维保工作。</w:t>
            </w:r>
          </w:p>
        </w:tc>
      </w:tr>
      <w:tr>
        <w:tblPrEx>
          <w:tblCellMar>
            <w:top w:w="0" w:type="dxa"/>
            <w:left w:w="108" w:type="dxa"/>
            <w:bottom w:w="0" w:type="dxa"/>
            <w:right w:w="108" w:type="dxa"/>
          </w:tblCellMar>
        </w:tblPrEx>
        <w:trPr>
          <w:trHeight w:val="6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乙方提供维保人员资质及相关信息，须与现场维保人员信息一致。</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乙方维保人员资质必须符合甲方要求，不允许冒名顶替，提供的人员信息须与现场一致。</w:t>
            </w:r>
          </w:p>
        </w:tc>
      </w:tr>
      <w:tr>
        <w:tblPrEx>
          <w:tblCellMar>
            <w:top w:w="0" w:type="dxa"/>
            <w:left w:w="108" w:type="dxa"/>
            <w:bottom w:w="0" w:type="dxa"/>
            <w:right w:w="108" w:type="dxa"/>
          </w:tblCellMar>
        </w:tblPrEx>
        <w:trPr>
          <w:trHeight w:val="5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合同签订两周内，乙方应向甲方提供季度维保计划、年度维保计划，维保计划须甲方签字确认。</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维保计划有调整时须及时报备甲方，且须经甲方签字确认。</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乙方须按合同约定及甲方要求完成当月份额的消防维保工作，及时出具维保报告，维保报告须与甲方签字确认。</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乙方须出具纸质版维保报告，且加盖乙方公章。</w:t>
            </w:r>
          </w:p>
        </w:tc>
      </w:tr>
      <w:tr>
        <w:tblPrEx>
          <w:tblCellMar>
            <w:top w:w="0" w:type="dxa"/>
            <w:left w:w="108" w:type="dxa"/>
            <w:bottom w:w="0" w:type="dxa"/>
            <w:right w:w="108"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乙方须每季度对消控室值班人员进行一次有效的消防设施操作培训，且留下基础操作方法。</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培训要求：甲方值班人员需明白现场设备报警的类别、识别发生位置及设备报警的应对处理方法。</w:t>
            </w:r>
          </w:p>
        </w:tc>
      </w:tr>
      <w:tr>
        <w:tblPrEx>
          <w:tblCellMar>
            <w:top w:w="0" w:type="dxa"/>
            <w:left w:w="108" w:type="dxa"/>
            <w:bottom w:w="0" w:type="dxa"/>
            <w:right w:w="108"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乙方完成维保维修后填写维保记录单，记录本次维保维修内容，交由甲方签字确认；甲方负责人不在现场时，可拍照确认。</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乙方按照合同约定及甲方要求提供消防维保服务，发现现场消防主体设备设施无法正常运行，或无法消防联动。同时应及时向甲方报备，说明情况并给予处理方案，同时提供甲方带有乙方公章的联络函。</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因乙方原因，现场消防主体设备设施无法正常运行，或无法消防联动，或问题是由乙方之外的单位发现，而乙方没有提前报备甲方的等，给甲方造成的损失由乙方承担。</w:t>
            </w:r>
          </w:p>
        </w:tc>
      </w:tr>
      <w:tr>
        <w:tblPrEx>
          <w:tblCellMar>
            <w:top w:w="0" w:type="dxa"/>
            <w:left w:w="108" w:type="dxa"/>
            <w:bottom w:w="0" w:type="dxa"/>
            <w:right w:w="108" w:type="dxa"/>
          </w:tblCellMar>
        </w:tblPrEx>
        <w:trPr>
          <w:trHeight w:val="119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 w:val="22"/>
                <w:szCs w:val="22"/>
                <w:lang w:bidi="ar"/>
              </w:rPr>
              <w:t>甲方项目现场消防通过政府各级消防管理单位进行的各种检验、审查、检查（包括出具年度检测报告和各种消防检查）。</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31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乙方因自身维修维护原因，导致甲方设备设施造成不同程度损坏。</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r>
              <w:rPr>
                <w:rFonts w:hint="eastAsia" w:ascii="宋体" w:hAnsi="宋体" w:cs="宋体"/>
                <w:color w:val="000000"/>
                <w:kern w:val="0"/>
                <w:sz w:val="22"/>
                <w:szCs w:val="22"/>
                <w:lang w:bidi="ar"/>
              </w:rPr>
              <w:t>超出5000的损失视情节及甲方损失扣款。</w:t>
            </w:r>
          </w:p>
        </w:tc>
      </w:tr>
      <w:tr>
        <w:tblPrEx>
          <w:tblCellMar>
            <w:top w:w="0" w:type="dxa"/>
            <w:left w:w="108" w:type="dxa"/>
            <w:bottom w:w="0" w:type="dxa"/>
            <w:right w:w="108" w:type="dxa"/>
          </w:tblCellMar>
        </w:tblPrEx>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乙方因自身维修维护原因造成甲方设备设施损坏后，应于三个工作日内予以有效回应，约定赔偿及处理办法，并在期限内予以解决。</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视情节及甲方损失扣分，如超过扣分上限，则法律途径协商处理。</w:t>
            </w:r>
          </w:p>
        </w:tc>
      </w:tr>
      <w:tr>
        <w:tblPrEx>
          <w:tblCellMar>
            <w:top w:w="0" w:type="dxa"/>
            <w:left w:w="108" w:type="dxa"/>
            <w:bottom w:w="0" w:type="dxa"/>
            <w:right w:w="108" w:type="dxa"/>
          </w:tblCellMar>
        </w:tblPrEx>
        <w:trPr>
          <w:trHeight w:val="125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甲方现场消防出现问题或需要乙方配合工作的，乙方应在甲方微信及电话通知后3小时内给与有效回应。</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有效回应：须明确电话回复到场时间，或协商时间。</w:t>
            </w:r>
          </w:p>
        </w:tc>
      </w:tr>
      <w:tr>
        <w:tblPrEx>
          <w:tblCellMar>
            <w:top w:w="0" w:type="dxa"/>
            <w:left w:w="108" w:type="dxa"/>
            <w:bottom w:w="0" w:type="dxa"/>
            <w:right w:w="108" w:type="dxa"/>
          </w:tblCellMar>
        </w:tblPrEx>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甲方现场出现需要维修的消防问题，乙方应于三个工作日内上门处理。</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从甲方第一次知会乙方需要上门处理问题开始计算，双方另行约定的维修时间不在此项。</w:t>
            </w:r>
          </w:p>
        </w:tc>
      </w:tr>
      <w:tr>
        <w:tblPrEx>
          <w:tblCellMar>
            <w:top w:w="0" w:type="dxa"/>
            <w:left w:w="108" w:type="dxa"/>
            <w:bottom w:w="0" w:type="dxa"/>
            <w:right w:w="108" w:type="dxa"/>
          </w:tblCellMar>
        </w:tblPrEx>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遇紧急情况时，甲方三次电话沟通，乙方半小时内予以回应，1小时内到达现场。</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紧急情况：危害人身安全、危害整体设备正常运行。</w:t>
            </w: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维修（指材料更换类）结束后，及时向甲方提供费用收据等相关材料，票据复印件作为参考。</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2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按照要求制作并张贴设备间、设备、消火栓等基础标识标牌，经甲方提醒后，须在7个工作日内予以处理。</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设备间：阀门常开常闭、水流走向标识；</w:t>
            </w:r>
          </w:p>
          <w:p>
            <w:pPr>
              <w:widowControl/>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设备：主体设备名称标识；</w:t>
            </w:r>
          </w:p>
          <w:p>
            <w:pPr>
              <w:widowControl/>
              <w:textAlignment w:val="top"/>
              <w:rPr>
                <w:rFonts w:ascii="宋体" w:hAnsi="宋体" w:cs="宋体"/>
                <w:color w:val="000000"/>
                <w:sz w:val="22"/>
                <w:szCs w:val="22"/>
              </w:rPr>
            </w:pPr>
            <w:r>
              <w:rPr>
                <w:rFonts w:hint="eastAsia" w:ascii="宋体" w:hAnsi="宋体" w:cs="宋体"/>
                <w:color w:val="000000"/>
                <w:kern w:val="0"/>
                <w:sz w:val="22"/>
                <w:szCs w:val="22"/>
                <w:lang w:bidi="ar"/>
              </w:rPr>
              <w:t>消火栓：每个消火栓的名称、火警119、灭火器箱等字体标识；</w:t>
            </w:r>
          </w:p>
        </w:tc>
      </w:tr>
      <w:tr>
        <w:tblPrEx>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16</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每半年应沟通甲方组织一次消防安全演练</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500</w:t>
            </w:r>
          </w:p>
        </w:tc>
        <w:tc>
          <w:tcPr>
            <w:tcW w:w="314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应备好演练器材、讲解人员</w:t>
            </w:r>
          </w:p>
        </w:tc>
      </w:tr>
      <w:tr>
        <w:tblPrEx>
          <w:tblCellMar>
            <w:top w:w="0" w:type="dxa"/>
            <w:left w:w="108" w:type="dxa"/>
            <w:bottom w:w="0" w:type="dxa"/>
            <w:right w:w="108" w:type="dxa"/>
          </w:tblCellMar>
        </w:tblPrEx>
        <w:trPr>
          <w:trHeight w:val="63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17</w:t>
            </w:r>
          </w:p>
        </w:tc>
        <w:tc>
          <w:tcPr>
            <w:tcW w:w="43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维保期间存在遗留问题及维保工作不到位未处理、未维保期间和甲方沟通。</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100</w:t>
            </w:r>
          </w:p>
        </w:tc>
        <w:tc>
          <w:tcPr>
            <w:tcW w:w="3146"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color w:val="000000"/>
                <w:kern w:val="0"/>
                <w:sz w:val="22"/>
                <w:szCs w:val="22"/>
                <w:lang w:bidi="ar"/>
              </w:rPr>
            </w:pPr>
            <w:r>
              <w:rPr>
                <w:rFonts w:hint="eastAsia" w:ascii="宋体" w:hAnsi="宋体" w:cs="宋体"/>
                <w:color w:val="000000"/>
                <w:kern w:val="0"/>
                <w:sz w:val="22"/>
                <w:szCs w:val="22"/>
                <w:lang w:bidi="ar"/>
              </w:rPr>
              <w:t>维保期间应主动发现问题，任何屏蔽、拆除、跳线短接信号末端设备，隐藏故障源头均视为维保工作不到位。</w:t>
            </w:r>
          </w:p>
        </w:tc>
      </w:tr>
    </w:tbl>
    <w:p>
      <w:pPr>
        <w:pStyle w:val="19"/>
        <w:ind w:firstLine="540"/>
        <w:rPr>
          <w:rFonts w:ascii="宋体" w:hAnsi="宋体"/>
          <w:szCs w:val="24"/>
        </w:rPr>
      </w:pPr>
    </w:p>
    <w:p>
      <w:pPr>
        <w:pStyle w:val="5"/>
        <w:rPr>
          <w:b w:val="0"/>
          <w:szCs w:val="22"/>
        </w:rPr>
      </w:pPr>
      <w:bookmarkStart w:id="41" w:name="_Toc38879335"/>
      <w:bookmarkStart w:id="42" w:name="_Toc63412030"/>
      <w:bookmarkStart w:id="43" w:name="_Toc22621"/>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3"/>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414"/>
        <w:gridCol w:w="2182"/>
        <w:gridCol w:w="773"/>
        <w:gridCol w:w="2618"/>
      </w:tblGrid>
      <w:tr>
        <w:tblPrEx>
          <w:tblCellMar>
            <w:top w:w="0" w:type="dxa"/>
            <w:left w:w="108" w:type="dxa"/>
            <w:bottom w:w="0" w:type="dxa"/>
            <w:right w:w="108" w:type="dxa"/>
          </w:tblCellMar>
        </w:tblPrEx>
        <w:trPr>
          <w:cantSplit/>
          <w:trHeight w:val="613" w:hRule="atLeast"/>
        </w:trPr>
        <w:tc>
          <w:tcPr>
            <w:tcW w:w="5000" w:type="pct"/>
            <w:gridSpan w:val="5"/>
            <w:vAlign w:val="center"/>
          </w:tcPr>
          <w:p>
            <w:pPr>
              <w:pStyle w:val="32"/>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1"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2"/>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0"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rightChars="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0"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5" w:type="dxa"/>
            <w:vAlign w:val="center"/>
          </w:tcPr>
          <w:p>
            <w:pPr>
              <w:adjustRightInd w:val="0"/>
              <w:snapToGrid w:val="0"/>
              <w:spacing w:line="360" w:lineRule="auto"/>
              <w:ind w:right="-10" w:rightChars="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rPr>
              <w:t>3</w:t>
            </w:r>
          </w:p>
        </w:tc>
        <w:tc>
          <w:tcPr>
            <w:tcW w:w="1384" w:type="pct"/>
            <w:vAlign w:val="center"/>
          </w:tcPr>
          <w:p>
            <w:pPr>
              <w:spacing w:line="420" w:lineRule="exact"/>
              <w:ind w:right="-11"/>
              <w:jc w:val="center"/>
              <w:rPr>
                <w:rFonts w:hint="default" w:hAnsi="宋体" w:eastAsia="宋体"/>
                <w:szCs w:val="24"/>
                <w:lang w:val="en-US" w:eastAsia="zh-CN"/>
              </w:rPr>
            </w:pPr>
            <w:r>
              <w:rPr>
                <w:rFonts w:hint="eastAsia" w:hAnsi="宋体"/>
                <w:szCs w:val="24"/>
                <w:lang w:val="en-US" w:eastAsia="zh-CN"/>
              </w:rPr>
              <w:t>人员要求</w:t>
            </w:r>
          </w:p>
        </w:tc>
        <w:tc>
          <w:tcPr>
            <w:tcW w:w="1251" w:type="pct"/>
            <w:vAlign w:val="center"/>
          </w:tcPr>
          <w:p>
            <w:pPr>
              <w:spacing w:line="420" w:lineRule="exact"/>
              <w:ind w:right="-11"/>
              <w:jc w:val="center"/>
              <w:rPr>
                <w:rFonts w:hint="eastAsia"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int="eastAsia" w:ascii="宋体" w:hAnsi="宋体" w:eastAsia="宋体" w:cs="Times New Roman"/>
                <w:szCs w:val="24"/>
                <w:lang w:val="en-US" w:eastAsia="zh-CN"/>
              </w:rPr>
            </w:pPr>
            <w:r>
              <w:rPr>
                <w:rFonts w:hint="eastAsia" w:ascii="宋体" w:hAnsi="宋体" w:eastAsia="宋体" w:cs="Times New Roman"/>
                <w:szCs w:val="24"/>
                <w:lang w:val="en-US" w:eastAsia="zh-CN"/>
              </w:rPr>
              <w:t>具有不少于</w:t>
            </w:r>
            <w:r>
              <w:rPr>
                <w:rFonts w:hint="eastAsia" w:hAnsi="宋体" w:cs="Times New Roman"/>
                <w:szCs w:val="24"/>
                <w:lang w:val="en-US" w:eastAsia="zh-CN"/>
              </w:rPr>
              <w:t>1</w:t>
            </w:r>
            <w:r>
              <w:rPr>
                <w:rFonts w:hint="eastAsia" w:ascii="宋体" w:hAnsi="宋体" w:eastAsia="宋体" w:cs="Times New Roman"/>
                <w:szCs w:val="24"/>
                <w:lang w:val="en-US" w:eastAsia="zh-CN"/>
              </w:rPr>
              <w:t>个一级注册消防工程师职业资格证书</w:t>
            </w:r>
          </w:p>
          <w:p>
            <w:pPr>
              <w:adjustRightInd w:val="0"/>
              <w:snapToGrid w:val="0"/>
              <w:spacing w:line="420" w:lineRule="exact"/>
              <w:ind w:right="-11"/>
              <w:jc w:val="center"/>
              <w:rPr>
                <w:rFonts w:hint="eastAsia" w:hAnsi="宋体"/>
                <w:szCs w:val="24"/>
              </w:rPr>
            </w:pPr>
            <w:r>
              <w:rPr>
                <w:rFonts w:hint="eastAsia" w:ascii="宋体" w:hAnsi="宋体" w:eastAsia="宋体" w:cs="Times New Roman"/>
                <w:szCs w:val="24"/>
                <w:lang w:val="en-US" w:eastAsia="zh-CN"/>
              </w:rPr>
              <w:t>提供相关人员近三个月（任意1个月）社保证明。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4</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5</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0"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7</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2"/>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1" w:type="pct"/>
            <w:vAlign w:val="center"/>
          </w:tcPr>
          <w:p>
            <w:pPr>
              <w:adjustRightInd w:val="0"/>
              <w:snapToGrid w:val="0"/>
              <w:spacing w:line="360" w:lineRule="auto"/>
              <w:ind w:right="-10"/>
              <w:jc w:val="center"/>
              <w:rPr>
                <w:rFonts w:hint="default" w:hAnsi="宋体" w:eastAsia="宋体"/>
                <w:szCs w:val="24"/>
                <w:lang w:val="en-US" w:eastAsia="zh-CN"/>
              </w:rPr>
            </w:pPr>
            <w:r>
              <w:rPr>
                <w:rFonts w:hint="eastAsia" w:hAnsi="宋体"/>
                <w:szCs w:val="24"/>
                <w:lang w:val="en-US" w:eastAsia="zh-CN"/>
              </w:rPr>
              <w:t>10</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80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20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0"/>
        <w:tblW w:w="89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0"/>
        <w:gridCol w:w="1109"/>
        <w:gridCol w:w="1581"/>
        <w:gridCol w:w="5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560" w:type="dxa"/>
            <w:gridSpan w:val="3"/>
            <w:vAlign w:val="center"/>
          </w:tcPr>
          <w:p>
            <w:pPr>
              <w:pStyle w:val="34"/>
              <w:spacing w:before="60"/>
              <w:ind w:left="382"/>
              <w:jc w:val="center"/>
              <w:rPr>
                <w:b/>
                <w:sz w:val="24"/>
              </w:rPr>
            </w:pPr>
            <w:r>
              <w:rPr>
                <w:rFonts w:hint="eastAsia"/>
                <w:b/>
                <w:sz w:val="24"/>
              </w:rPr>
              <w:t>评审要素</w:t>
            </w:r>
          </w:p>
        </w:tc>
        <w:tc>
          <w:tcPr>
            <w:tcW w:w="5439" w:type="dxa"/>
            <w:vAlign w:val="center"/>
          </w:tcPr>
          <w:p>
            <w:pPr>
              <w:pStyle w:val="34"/>
              <w:spacing w:before="60"/>
              <w:ind w:left="1983" w:right="1970"/>
              <w:rPr>
                <w:b/>
                <w:sz w:val="24"/>
              </w:rPr>
            </w:pPr>
            <w:r>
              <w:rPr>
                <w:rFonts w:hint="eastAsia"/>
                <w:b/>
                <w:sz w:val="24"/>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0" w:hRule="atLeast"/>
        </w:trPr>
        <w:tc>
          <w:tcPr>
            <w:tcW w:w="870" w:type="dxa"/>
            <w:vMerge w:val="restart"/>
            <w:tcBorders>
              <w:top w:val="single" w:color="auto" w:sz="4" w:space="0"/>
              <w:left w:val="single" w:color="auto" w:sz="4" w:space="0"/>
              <w:right w:val="single" w:color="auto" w:sz="4" w:space="0"/>
            </w:tcBorders>
            <w:vAlign w:val="center"/>
          </w:tcPr>
          <w:p>
            <w:pPr>
              <w:ind w:firstLine="240" w:firstLineChars="100"/>
              <w:rPr>
                <w:rFonts w:ascii="宋体" w:hAnsi="宋体" w:cs="宋体"/>
                <w:sz w:val="24"/>
                <w:szCs w:val="24"/>
                <w:lang w:bidi="zh-CN"/>
              </w:rPr>
            </w:pPr>
          </w:p>
        </w:tc>
        <w:tc>
          <w:tcPr>
            <w:tcW w:w="1109"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lang w:bidi="zh-CN"/>
              </w:rPr>
            </w:pPr>
            <w:r>
              <w:rPr>
                <w:rFonts w:hint="eastAsia" w:ascii="宋体" w:hAnsi="宋体" w:cs="宋体"/>
                <w:sz w:val="24"/>
                <w:szCs w:val="24"/>
                <w:lang w:bidi="zh-CN"/>
              </w:rPr>
              <w:t>技术部分</w:t>
            </w:r>
          </w:p>
          <w:p>
            <w:pPr>
              <w:jc w:val="center"/>
              <w:rPr>
                <w:rFonts w:ascii="宋体" w:hAnsi="宋体" w:cs="宋体"/>
                <w:sz w:val="24"/>
                <w:szCs w:val="24"/>
                <w:lang w:bidi="zh-CN"/>
              </w:rPr>
            </w:pPr>
            <w:r>
              <w:rPr>
                <w:rFonts w:hint="eastAsia" w:ascii="宋体" w:hAnsi="宋体" w:cs="宋体"/>
                <w:sz w:val="24"/>
                <w:szCs w:val="24"/>
                <w:lang w:bidi="zh-CN"/>
              </w:rPr>
              <w:t>（58分）</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lang w:bidi="zh-CN"/>
              </w:rPr>
            </w:pPr>
            <w:r>
              <w:rPr>
                <w:rFonts w:hint="eastAsia" w:ascii="宋体" w:hAnsi="宋体" w:cs="宋体"/>
                <w:color w:val="000000"/>
                <w:kern w:val="0"/>
                <w:sz w:val="24"/>
                <w:szCs w:val="24"/>
                <w:lang w:bidi="ar"/>
              </w:rPr>
              <w:t>服务类型</w:t>
            </w:r>
          </w:p>
          <w:p>
            <w:pPr>
              <w:spacing w:line="360" w:lineRule="exact"/>
              <w:jc w:val="center"/>
              <w:rPr>
                <w:rFonts w:ascii="宋体" w:hAnsi="宋体" w:cs="宋体"/>
                <w:sz w:val="24"/>
                <w:szCs w:val="24"/>
                <w:lang w:bidi="zh-CN"/>
              </w:rPr>
            </w:pPr>
            <w:r>
              <w:rPr>
                <w:rFonts w:hint="eastAsia" w:ascii="宋体" w:hAnsi="宋体" w:cs="宋体"/>
                <w:sz w:val="24"/>
                <w:szCs w:val="24"/>
                <w:lang w:bidi="zh-CN"/>
              </w:rPr>
              <w:t>（9分）</w:t>
            </w:r>
          </w:p>
        </w:tc>
        <w:tc>
          <w:tcPr>
            <w:tcW w:w="543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4"/>
                <w:szCs w:val="24"/>
              </w:rPr>
            </w:pPr>
            <w:r>
              <w:rPr>
                <w:rFonts w:hint="eastAsia"/>
                <w:sz w:val="24"/>
                <w:szCs w:val="24"/>
              </w:rPr>
              <w:t>1、投标供应商须在应急管理部消防救援局“社会消防技术服务信息系统”中登记的服务类型包含消防设施维护保养检测资质得</w:t>
            </w:r>
            <w:r>
              <w:rPr>
                <w:rFonts w:hint="eastAsia"/>
                <w:sz w:val="24"/>
                <w:szCs w:val="24"/>
                <w:lang w:val="en-US" w:eastAsia="zh-CN"/>
              </w:rPr>
              <w:t>3</w:t>
            </w:r>
            <w:r>
              <w:rPr>
                <w:rFonts w:hint="eastAsia"/>
                <w:sz w:val="24"/>
                <w:szCs w:val="24"/>
              </w:rPr>
              <w:t>分；</w:t>
            </w:r>
          </w:p>
          <w:p>
            <w:pPr>
              <w:spacing w:line="360" w:lineRule="exact"/>
              <w:jc w:val="left"/>
              <w:rPr>
                <w:rFonts w:hint="eastAsia"/>
                <w:sz w:val="24"/>
                <w:szCs w:val="24"/>
              </w:rPr>
            </w:pPr>
            <w:r>
              <w:rPr>
                <w:rFonts w:hint="eastAsia"/>
                <w:sz w:val="24"/>
                <w:szCs w:val="24"/>
              </w:rPr>
              <w:t>2、具有消防设施工程专业承包二级及以上资质得</w:t>
            </w:r>
            <w:r>
              <w:rPr>
                <w:rFonts w:hint="eastAsia"/>
                <w:sz w:val="24"/>
                <w:szCs w:val="24"/>
                <w:lang w:val="en-US" w:eastAsia="zh-CN"/>
              </w:rPr>
              <w:t>3</w:t>
            </w:r>
            <w:r>
              <w:rPr>
                <w:rFonts w:hint="eastAsia"/>
                <w:sz w:val="24"/>
                <w:szCs w:val="24"/>
              </w:rPr>
              <w:t>分。</w:t>
            </w:r>
          </w:p>
          <w:p>
            <w:pPr>
              <w:spacing w:line="360" w:lineRule="exact"/>
              <w:jc w:val="left"/>
              <w:rPr>
                <w:sz w:val="24"/>
                <w:szCs w:val="24"/>
              </w:rPr>
            </w:pPr>
            <w:r>
              <w:rPr>
                <w:rFonts w:hint="eastAsia"/>
                <w:sz w:val="24"/>
                <w:szCs w:val="24"/>
                <w:lang w:val="en-US" w:eastAsia="zh-CN"/>
              </w:rPr>
              <w:t>3</w:t>
            </w:r>
            <w:r>
              <w:rPr>
                <w:rFonts w:hint="eastAsia"/>
                <w:sz w:val="24"/>
                <w:szCs w:val="24"/>
              </w:rPr>
              <w:t>、具有</w:t>
            </w:r>
            <w:r>
              <w:rPr>
                <w:rFonts w:hint="eastAsia"/>
                <w:sz w:val="24"/>
                <w:szCs w:val="24"/>
                <w:lang w:val="en-US" w:eastAsia="zh-CN"/>
              </w:rPr>
              <w:t>安全生产许可证</w:t>
            </w:r>
            <w:r>
              <w:rPr>
                <w:rFonts w:hint="eastAsia"/>
                <w:sz w:val="24"/>
                <w:szCs w:val="24"/>
              </w:rPr>
              <w:t>得</w:t>
            </w:r>
            <w:r>
              <w:rPr>
                <w:rFonts w:hint="eastAsia"/>
                <w:sz w:val="24"/>
                <w:szCs w:val="24"/>
                <w:lang w:val="en-US" w:eastAsia="zh-CN"/>
              </w:rPr>
              <w:t>3</w:t>
            </w:r>
            <w:r>
              <w:rPr>
                <w:rFonts w:hint="eastAsia"/>
                <w:sz w:val="24"/>
                <w:szCs w:val="24"/>
              </w:rPr>
              <w:t>分。</w:t>
            </w:r>
          </w:p>
          <w:p>
            <w:pPr>
              <w:spacing w:line="360" w:lineRule="exact"/>
              <w:jc w:val="left"/>
              <w:rPr>
                <w:sz w:val="24"/>
                <w:szCs w:val="24"/>
              </w:rPr>
            </w:pPr>
            <w:r>
              <w:rPr>
                <w:rFonts w:hint="eastAsia"/>
                <w:sz w:val="24"/>
                <w:szCs w:val="24"/>
              </w:rPr>
              <w:t>满分9分。</w:t>
            </w:r>
            <w:r>
              <w:rPr>
                <w:rFonts w:hint="eastAsia"/>
                <w:sz w:val="24"/>
                <w:szCs w:val="24"/>
              </w:rPr>
              <w:br w:type="textWrapping"/>
            </w:r>
            <w:r>
              <w:rPr>
                <w:rFonts w:hint="eastAsia"/>
                <w:b/>
                <w:bCs/>
                <w:sz w:val="24"/>
                <w:szCs w:val="24"/>
              </w:rPr>
              <w:t>备注：</w:t>
            </w:r>
            <w:r>
              <w:rPr>
                <w:rFonts w:hint="eastAsia"/>
                <w:sz w:val="24"/>
                <w:szCs w:val="24"/>
              </w:rPr>
              <w:t>（1）投标文件中须提供“社会消防技术服务信息系统”官网查询截图。</w:t>
            </w:r>
          </w:p>
          <w:p>
            <w:pPr>
              <w:pStyle w:val="11"/>
              <w:rPr>
                <w:sz w:val="24"/>
                <w:szCs w:val="24"/>
              </w:rPr>
            </w:pPr>
            <w:r>
              <w:rPr>
                <w:rFonts w:hint="eastAsia" w:ascii="宋体" w:hAnsi="宋体" w:cs="宋体"/>
                <w:color w:val="000000"/>
                <w:kern w:val="0"/>
                <w:sz w:val="24"/>
                <w:szCs w:val="24"/>
              </w:rPr>
              <w:t>（2）</w:t>
            </w:r>
            <w:r>
              <w:rPr>
                <w:rFonts w:hint="eastAsia" w:ascii="宋体" w:hAnsi="宋体" w:cs="宋体"/>
                <w:sz w:val="24"/>
                <w:szCs w:val="24"/>
              </w:rPr>
              <w:t>提供合法有效的资质证书复印件评审。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6" w:hRule="atLeast"/>
        </w:trPr>
        <w:tc>
          <w:tcPr>
            <w:tcW w:w="870" w:type="dxa"/>
            <w:vMerge w:val="continue"/>
            <w:tcBorders>
              <w:left w:val="single" w:color="auto" w:sz="4" w:space="0"/>
              <w:right w:val="single" w:color="auto" w:sz="4" w:space="0"/>
            </w:tcBorders>
            <w:vAlign w:val="center"/>
          </w:tcPr>
          <w:p>
            <w:pPr>
              <w:rPr>
                <w:rFonts w:ascii="宋体" w:hAnsi="宋体" w:cs="宋体"/>
                <w:sz w:val="24"/>
                <w:szCs w:val="24"/>
                <w:lang w:bidi="zh-CN"/>
              </w:rPr>
            </w:pPr>
          </w:p>
        </w:tc>
        <w:tc>
          <w:tcPr>
            <w:tcW w:w="1109" w:type="dxa"/>
            <w:vMerge w:val="continue"/>
            <w:tcBorders>
              <w:left w:val="single" w:color="auto" w:sz="4" w:space="0"/>
              <w:right w:val="single" w:color="auto" w:sz="4" w:space="0"/>
            </w:tcBorders>
            <w:vAlign w:val="center"/>
          </w:tcPr>
          <w:p>
            <w:pPr>
              <w:jc w:val="center"/>
              <w:rPr>
                <w:rFonts w:ascii="宋体" w:hAnsi="宋体" w:cs="宋体"/>
                <w:sz w:val="24"/>
                <w:szCs w:val="24"/>
                <w:lang w:bidi="zh-CN"/>
              </w:rPr>
            </w:pP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企业业绩</w:t>
            </w:r>
          </w:p>
          <w:p>
            <w:pPr>
              <w:spacing w:line="360" w:lineRule="exact"/>
              <w:jc w:val="center"/>
              <w:rPr>
                <w:rFonts w:ascii="宋体" w:hAnsi="宋体" w:cs="宋体"/>
                <w:sz w:val="24"/>
                <w:szCs w:val="24"/>
                <w:lang w:bidi="zh-CN"/>
              </w:rPr>
            </w:pP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12</w:t>
            </w:r>
            <w:r>
              <w:rPr>
                <w:rFonts w:hint="eastAsia" w:ascii="宋体" w:hAnsi="宋体" w:cs="宋体"/>
                <w:color w:val="000000"/>
                <w:kern w:val="0"/>
                <w:sz w:val="24"/>
                <w:szCs w:val="24"/>
                <w:lang w:bidi="ar"/>
              </w:rPr>
              <w:t>分)</w:t>
            </w:r>
          </w:p>
          <w:p>
            <w:pPr>
              <w:spacing w:line="360" w:lineRule="exact"/>
              <w:jc w:val="center"/>
              <w:rPr>
                <w:rFonts w:ascii="宋体" w:hAnsi="宋体" w:cs="宋体"/>
                <w:sz w:val="24"/>
                <w:szCs w:val="24"/>
                <w:lang w:bidi="zh-CN"/>
              </w:rPr>
            </w:pPr>
          </w:p>
        </w:tc>
        <w:tc>
          <w:tcPr>
            <w:tcW w:w="543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eastAsia="宋体"/>
                <w:sz w:val="24"/>
                <w:szCs w:val="24"/>
                <w:highlight w:val="none"/>
                <w:lang w:val="en-US" w:eastAsia="zh-CN"/>
              </w:rPr>
            </w:pPr>
            <w:r>
              <w:rPr>
                <w:rFonts w:hint="eastAsia"/>
                <w:sz w:val="24"/>
                <w:szCs w:val="24"/>
                <w:highlight w:val="none"/>
                <w:lang w:val="en-US" w:eastAsia="zh-CN"/>
              </w:rPr>
              <w:t>1</w:t>
            </w:r>
            <w:r>
              <w:rPr>
                <w:rFonts w:hint="eastAsia"/>
                <w:sz w:val="24"/>
                <w:szCs w:val="24"/>
                <w:highlight w:val="none"/>
              </w:rPr>
              <w:t>、投标人</w:t>
            </w:r>
            <w:r>
              <w:rPr>
                <w:rFonts w:hint="eastAsia"/>
                <w:sz w:val="24"/>
                <w:szCs w:val="24"/>
                <w:highlight w:val="none"/>
                <w:lang w:val="en-US" w:eastAsia="zh-CN"/>
              </w:rPr>
              <w:t>自2019年1月1日（</w:t>
            </w:r>
            <w:r>
              <w:rPr>
                <w:rFonts w:hint="eastAsia"/>
                <w:sz w:val="24"/>
                <w:szCs w:val="24"/>
                <w:highlight w:val="none"/>
                <w:lang w:val="en-US"/>
              </w:rPr>
              <w:t>以合同签订时间为准</w:t>
            </w:r>
            <w:r>
              <w:rPr>
                <w:rFonts w:hint="eastAsia"/>
                <w:sz w:val="24"/>
                <w:szCs w:val="24"/>
                <w:highlight w:val="none"/>
                <w:lang w:val="en-US" w:eastAsia="zh-CN"/>
              </w:rPr>
              <w:t>）</w:t>
            </w:r>
            <w:r>
              <w:rPr>
                <w:rFonts w:hint="eastAsia"/>
                <w:sz w:val="24"/>
                <w:szCs w:val="24"/>
                <w:highlight w:val="none"/>
                <w:lang w:val="en-US"/>
              </w:rPr>
              <w:t>以来</w:t>
            </w:r>
            <w:r>
              <w:rPr>
                <w:rFonts w:hint="eastAsia"/>
                <w:sz w:val="24"/>
                <w:szCs w:val="24"/>
                <w:highlight w:val="none"/>
                <w:lang w:val="en-US" w:eastAsia="zh-CN"/>
              </w:rPr>
              <w:t>，</w:t>
            </w:r>
            <w:r>
              <w:rPr>
                <w:rFonts w:hint="eastAsia"/>
                <w:sz w:val="24"/>
                <w:szCs w:val="24"/>
                <w:highlight w:val="none"/>
              </w:rPr>
              <w:t>消防维保服务的项目涉及商业及商业街区类别的，总面积</w:t>
            </w:r>
            <w:r>
              <w:rPr>
                <w:rFonts w:hint="eastAsia"/>
                <w:sz w:val="24"/>
                <w:szCs w:val="24"/>
                <w:highlight w:val="none"/>
                <w:lang w:val="en-US" w:eastAsia="zh-CN"/>
              </w:rPr>
              <w:t>不低于10</w:t>
            </w:r>
            <w:r>
              <w:rPr>
                <w:rFonts w:hint="eastAsia"/>
                <w:sz w:val="24"/>
                <w:szCs w:val="24"/>
                <w:highlight w:val="none"/>
              </w:rPr>
              <w:t>万平方米</w:t>
            </w:r>
            <w:r>
              <w:rPr>
                <w:rFonts w:hint="eastAsia"/>
                <w:sz w:val="24"/>
                <w:szCs w:val="24"/>
                <w:highlight w:val="none"/>
                <w:lang w:eastAsia="zh-CN"/>
              </w:rPr>
              <w:t>（</w:t>
            </w:r>
            <w:r>
              <w:rPr>
                <w:rFonts w:hint="eastAsia"/>
                <w:sz w:val="24"/>
                <w:szCs w:val="24"/>
                <w:highlight w:val="none"/>
                <w:lang w:val="en-US" w:eastAsia="zh-CN"/>
              </w:rPr>
              <w:t>含</w:t>
            </w:r>
            <w:r>
              <w:rPr>
                <w:rFonts w:hint="eastAsia"/>
                <w:sz w:val="24"/>
                <w:szCs w:val="24"/>
                <w:highlight w:val="none"/>
                <w:lang w:eastAsia="zh-CN"/>
              </w:rPr>
              <w:t>）</w:t>
            </w:r>
            <w:r>
              <w:rPr>
                <w:rFonts w:hint="eastAsia"/>
                <w:sz w:val="24"/>
                <w:szCs w:val="24"/>
                <w:highlight w:val="none"/>
              </w:rPr>
              <w:t>，</w:t>
            </w:r>
            <w:r>
              <w:rPr>
                <w:rFonts w:hint="eastAsia"/>
                <w:sz w:val="24"/>
                <w:szCs w:val="24"/>
                <w:highlight w:val="none"/>
                <w:lang w:val="en-US" w:eastAsia="zh-CN"/>
              </w:rPr>
              <w:t>每提供一个</w:t>
            </w:r>
            <w:r>
              <w:rPr>
                <w:rFonts w:hint="eastAsia"/>
                <w:sz w:val="24"/>
                <w:szCs w:val="24"/>
                <w:highlight w:val="none"/>
              </w:rPr>
              <w:t>，得</w:t>
            </w:r>
            <w:r>
              <w:rPr>
                <w:rFonts w:hint="eastAsia"/>
                <w:sz w:val="24"/>
                <w:szCs w:val="24"/>
                <w:highlight w:val="none"/>
                <w:lang w:val="en-US" w:eastAsia="zh-CN"/>
              </w:rPr>
              <w:t>4</w:t>
            </w:r>
            <w:r>
              <w:rPr>
                <w:rFonts w:hint="eastAsia"/>
                <w:sz w:val="24"/>
                <w:szCs w:val="24"/>
                <w:highlight w:val="none"/>
              </w:rPr>
              <w:t>分。</w:t>
            </w:r>
            <w:r>
              <w:rPr>
                <w:rFonts w:hint="eastAsia"/>
                <w:sz w:val="24"/>
                <w:szCs w:val="24"/>
                <w:highlight w:val="none"/>
                <w:lang w:val="en-US" w:eastAsia="zh-CN"/>
              </w:rPr>
              <w:t>本小项满分8分。</w:t>
            </w:r>
          </w:p>
          <w:p>
            <w:pPr>
              <w:numPr>
                <w:ilvl w:val="255"/>
                <w:numId w:val="0"/>
              </w:numPr>
              <w:spacing w:line="360" w:lineRule="exact"/>
              <w:jc w:val="left"/>
              <w:rPr>
                <w:rFonts w:hint="default" w:eastAsia="宋体"/>
                <w:sz w:val="24"/>
                <w:szCs w:val="24"/>
                <w:highlight w:val="none"/>
                <w:lang w:val="en-US" w:eastAsia="zh-CN"/>
              </w:rPr>
            </w:pPr>
            <w:r>
              <w:rPr>
                <w:rFonts w:hint="eastAsia"/>
                <w:sz w:val="24"/>
                <w:szCs w:val="24"/>
                <w:highlight w:val="none"/>
                <w:lang w:val="en-US" w:eastAsia="zh-CN"/>
              </w:rPr>
              <w:t>2、投标人提供的业绩中，获得客户好评的业绩并能够提供证明材料，每提供一个得2分，最高得4分。</w:t>
            </w:r>
          </w:p>
          <w:p>
            <w:pPr>
              <w:numPr>
                <w:ilvl w:val="255"/>
                <w:numId w:val="0"/>
              </w:numPr>
              <w:spacing w:line="360" w:lineRule="exact"/>
              <w:jc w:val="left"/>
              <w:rPr>
                <w:sz w:val="24"/>
                <w:szCs w:val="24"/>
                <w:highlight w:val="none"/>
              </w:rPr>
            </w:pPr>
            <w:r>
              <w:rPr>
                <w:rFonts w:hint="eastAsia"/>
                <w:sz w:val="24"/>
                <w:szCs w:val="24"/>
                <w:highlight w:val="none"/>
              </w:rPr>
              <w:t>满分</w:t>
            </w:r>
            <w:r>
              <w:rPr>
                <w:rFonts w:hint="eastAsia"/>
                <w:sz w:val="24"/>
                <w:szCs w:val="24"/>
                <w:highlight w:val="none"/>
                <w:lang w:val="en-US" w:eastAsia="zh-CN"/>
              </w:rPr>
              <w:t>12</w:t>
            </w:r>
            <w:r>
              <w:rPr>
                <w:rFonts w:hint="eastAsia"/>
                <w:sz w:val="24"/>
                <w:szCs w:val="24"/>
                <w:highlight w:val="none"/>
              </w:rPr>
              <w:t>分。</w:t>
            </w:r>
            <w:r>
              <w:rPr>
                <w:rFonts w:hint="eastAsia"/>
                <w:sz w:val="24"/>
                <w:szCs w:val="24"/>
                <w:highlight w:val="none"/>
              </w:rPr>
              <w:br w:type="textWrapping"/>
            </w:r>
            <w:r>
              <w:rPr>
                <w:rFonts w:hint="eastAsia"/>
                <w:sz w:val="24"/>
                <w:szCs w:val="24"/>
                <w:highlight w:val="none"/>
              </w:rPr>
              <w:t>备注: （1）以合同签订时间为准，提供业绩合同复印件或影印件。</w:t>
            </w:r>
          </w:p>
          <w:p>
            <w:pPr>
              <w:numPr>
                <w:ilvl w:val="0"/>
                <w:numId w:val="4"/>
              </w:numPr>
              <w:spacing w:line="360" w:lineRule="exact"/>
              <w:ind w:firstLine="720" w:firstLineChars="300"/>
              <w:jc w:val="left"/>
              <w:rPr>
                <w:sz w:val="24"/>
                <w:szCs w:val="24"/>
                <w:highlight w:val="none"/>
              </w:rPr>
            </w:pPr>
            <w:r>
              <w:rPr>
                <w:rFonts w:hint="eastAsia"/>
                <w:sz w:val="24"/>
                <w:szCs w:val="24"/>
                <w:highlight w:val="none"/>
              </w:rPr>
              <w:t>合同须完整体现合同签订主体、签订时间、合同全额（或单价、数量等能够计算出合同金额的内容）。如投标人提供的业绩合同扫描件未能明确反映出磋商文件所要求的内容的（如合同总金额、服务内容等），应另附业主（或合同甲方）证明材料予以明确说明，须加盖项目业主单位或合同甲方公章，否则磋商小组不予认可。</w:t>
            </w:r>
          </w:p>
          <w:p>
            <w:pPr>
              <w:pStyle w:val="2"/>
              <w:ind w:firstLine="720" w:firstLineChars="300"/>
              <w:rPr>
                <w:sz w:val="24"/>
                <w:szCs w:val="24"/>
                <w:highlight w:val="none"/>
              </w:rPr>
            </w:pPr>
            <w:r>
              <w:rPr>
                <w:rFonts w:hint="eastAsia" w:hAnsi="Times New Roman"/>
                <w:bCs w:val="0"/>
                <w:sz w:val="24"/>
                <w:szCs w:val="24"/>
                <w:highlight w:val="none"/>
              </w:rPr>
              <w:t>（3）提供有效期内的业绩合同，以及客户满意或好评证明文件(加盖业主单位公章) 扫描件作为评分依据。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7" w:hRule="atLeast"/>
        </w:trPr>
        <w:tc>
          <w:tcPr>
            <w:tcW w:w="870" w:type="dxa"/>
            <w:vMerge w:val="continue"/>
            <w:tcBorders>
              <w:left w:val="single" w:color="auto" w:sz="4" w:space="0"/>
              <w:right w:val="single" w:color="auto" w:sz="4" w:space="0"/>
            </w:tcBorders>
            <w:vAlign w:val="center"/>
          </w:tcPr>
          <w:p>
            <w:pPr>
              <w:rPr>
                <w:rFonts w:ascii="宋体" w:hAnsi="宋体" w:cs="宋体"/>
                <w:sz w:val="24"/>
                <w:szCs w:val="24"/>
                <w:lang w:bidi="zh-CN"/>
              </w:rPr>
            </w:pPr>
          </w:p>
        </w:tc>
        <w:tc>
          <w:tcPr>
            <w:tcW w:w="1109" w:type="dxa"/>
            <w:vMerge w:val="continue"/>
            <w:tcBorders>
              <w:left w:val="single" w:color="auto" w:sz="4" w:space="0"/>
              <w:right w:val="single" w:color="auto" w:sz="4" w:space="0"/>
            </w:tcBorders>
            <w:vAlign w:val="center"/>
          </w:tcPr>
          <w:p>
            <w:pPr>
              <w:jc w:val="center"/>
              <w:rPr>
                <w:rFonts w:ascii="宋体" w:hAnsi="宋体" w:cs="宋体"/>
                <w:sz w:val="24"/>
                <w:szCs w:val="24"/>
                <w:lang w:bidi="zh-CN"/>
              </w:rPr>
            </w:pP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lang w:bidi="zh-CN"/>
              </w:rPr>
            </w:pPr>
            <w:r>
              <w:rPr>
                <w:rFonts w:hint="eastAsia" w:ascii="宋体" w:hAnsi="宋体" w:cs="宋体"/>
                <w:sz w:val="24"/>
                <w:szCs w:val="24"/>
                <w:lang w:bidi="zh-CN"/>
              </w:rPr>
              <w:t>企业荣誉</w:t>
            </w:r>
          </w:p>
          <w:p>
            <w:pPr>
              <w:spacing w:line="360" w:lineRule="exact"/>
              <w:jc w:val="center"/>
              <w:rPr>
                <w:rFonts w:ascii="宋体" w:hAnsi="宋体" w:cs="宋体"/>
                <w:sz w:val="24"/>
                <w:szCs w:val="24"/>
                <w:lang w:bidi="zh-CN"/>
              </w:rPr>
            </w:pPr>
            <w:r>
              <w:rPr>
                <w:rFonts w:hint="eastAsia" w:ascii="宋体" w:hAnsi="宋体" w:cs="宋体"/>
                <w:sz w:val="24"/>
                <w:szCs w:val="24"/>
                <w:lang w:bidi="zh-CN"/>
              </w:rPr>
              <w:t>（</w:t>
            </w:r>
            <w:r>
              <w:rPr>
                <w:rFonts w:hint="eastAsia" w:ascii="宋体" w:hAnsi="宋体" w:cs="宋体"/>
                <w:sz w:val="24"/>
                <w:szCs w:val="24"/>
                <w:lang w:val="en-US" w:bidi="zh-CN"/>
              </w:rPr>
              <w:t>14</w:t>
            </w:r>
            <w:r>
              <w:rPr>
                <w:rFonts w:hint="eastAsia" w:ascii="宋体" w:hAnsi="宋体" w:cs="宋体"/>
                <w:sz w:val="24"/>
                <w:szCs w:val="24"/>
                <w:lang w:bidi="zh-CN"/>
              </w:rPr>
              <w:t>分）</w:t>
            </w:r>
          </w:p>
        </w:tc>
        <w:tc>
          <w:tcPr>
            <w:tcW w:w="543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sz w:val="24"/>
                <w:szCs w:val="24"/>
                <w:highlight w:val="none"/>
              </w:rPr>
            </w:pPr>
            <w:r>
              <w:rPr>
                <w:rFonts w:hint="eastAsia"/>
                <w:sz w:val="24"/>
                <w:szCs w:val="24"/>
                <w:highlight w:val="none"/>
                <w:lang w:val="en-US" w:eastAsia="zh-CN"/>
              </w:rPr>
              <w:t>1、</w:t>
            </w:r>
            <w:r>
              <w:rPr>
                <w:rFonts w:hint="eastAsia"/>
                <w:sz w:val="24"/>
                <w:szCs w:val="24"/>
                <w:highlight w:val="none"/>
              </w:rPr>
              <w:t>投标人自2019年1月1日起获得消防行业协会或消防主管部门颁发的先进单位的</w:t>
            </w:r>
            <w:r>
              <w:rPr>
                <w:rFonts w:hint="eastAsia"/>
                <w:sz w:val="24"/>
                <w:szCs w:val="24"/>
                <w:highlight w:val="none"/>
                <w:lang w:eastAsia="zh-CN"/>
              </w:rPr>
              <w:t>，</w:t>
            </w:r>
            <w:r>
              <w:rPr>
                <w:rFonts w:hint="eastAsia"/>
                <w:sz w:val="24"/>
                <w:szCs w:val="24"/>
                <w:highlight w:val="none"/>
                <w:lang w:val="en-US" w:eastAsia="zh-CN"/>
              </w:rPr>
              <w:t>区县级</w:t>
            </w:r>
            <w:r>
              <w:rPr>
                <w:rFonts w:hint="eastAsia"/>
                <w:sz w:val="24"/>
                <w:szCs w:val="24"/>
                <w:highlight w:val="none"/>
              </w:rPr>
              <w:t>得</w:t>
            </w:r>
            <w:r>
              <w:rPr>
                <w:rFonts w:hint="eastAsia"/>
                <w:sz w:val="24"/>
                <w:szCs w:val="24"/>
                <w:highlight w:val="none"/>
                <w:lang w:val="en-US" w:eastAsia="zh-CN"/>
              </w:rPr>
              <w:t>3</w:t>
            </w:r>
            <w:r>
              <w:rPr>
                <w:rFonts w:hint="eastAsia"/>
                <w:sz w:val="24"/>
                <w:szCs w:val="24"/>
                <w:highlight w:val="none"/>
              </w:rPr>
              <w:t>分</w:t>
            </w:r>
            <w:r>
              <w:rPr>
                <w:rFonts w:hint="eastAsia"/>
                <w:sz w:val="24"/>
                <w:szCs w:val="24"/>
                <w:highlight w:val="none"/>
                <w:lang w:eastAsia="zh-CN"/>
              </w:rPr>
              <w:t>，</w:t>
            </w:r>
            <w:r>
              <w:rPr>
                <w:rFonts w:hint="eastAsia"/>
                <w:sz w:val="24"/>
                <w:szCs w:val="24"/>
                <w:highlight w:val="none"/>
                <w:lang w:val="en-US" w:eastAsia="zh-CN"/>
              </w:rPr>
              <w:t>市级及以上得7.5分</w:t>
            </w:r>
            <w:r>
              <w:rPr>
                <w:rFonts w:hint="eastAsia"/>
                <w:sz w:val="24"/>
                <w:szCs w:val="24"/>
                <w:highlight w:val="none"/>
              </w:rPr>
              <w:t>；</w:t>
            </w:r>
          </w:p>
          <w:p>
            <w:pPr>
              <w:spacing w:line="360" w:lineRule="exact"/>
              <w:jc w:val="left"/>
              <w:rPr>
                <w:rFonts w:hint="eastAsia" w:eastAsia="宋体"/>
                <w:sz w:val="24"/>
                <w:szCs w:val="24"/>
                <w:highlight w:val="none"/>
                <w:lang w:eastAsia="zh-CN"/>
              </w:rPr>
            </w:pPr>
            <w:r>
              <w:rPr>
                <w:rFonts w:hint="eastAsia"/>
                <w:sz w:val="24"/>
                <w:szCs w:val="24"/>
                <w:highlight w:val="none"/>
                <w:lang w:val="en-US" w:eastAsia="zh-CN"/>
              </w:rPr>
              <w:t>2、</w:t>
            </w:r>
            <w:r>
              <w:rPr>
                <w:rFonts w:hint="eastAsia"/>
                <w:sz w:val="24"/>
                <w:szCs w:val="24"/>
                <w:highlight w:val="none"/>
              </w:rPr>
              <w:t>自2019年1月1日起获得主管部门或行业协会颁发优秀供应商称号的</w:t>
            </w:r>
            <w:r>
              <w:rPr>
                <w:rFonts w:hint="eastAsia"/>
                <w:sz w:val="24"/>
                <w:szCs w:val="24"/>
                <w:highlight w:val="none"/>
                <w:lang w:eastAsia="zh-CN"/>
              </w:rPr>
              <w:t>，</w:t>
            </w:r>
            <w:r>
              <w:rPr>
                <w:rFonts w:hint="eastAsia"/>
                <w:sz w:val="24"/>
                <w:szCs w:val="24"/>
                <w:highlight w:val="none"/>
                <w:lang w:val="en-US" w:eastAsia="zh-CN"/>
              </w:rPr>
              <w:t>区县级</w:t>
            </w:r>
            <w:r>
              <w:rPr>
                <w:rFonts w:hint="eastAsia"/>
                <w:sz w:val="24"/>
                <w:szCs w:val="24"/>
                <w:highlight w:val="none"/>
              </w:rPr>
              <w:t>得</w:t>
            </w:r>
            <w:r>
              <w:rPr>
                <w:rFonts w:hint="eastAsia"/>
                <w:sz w:val="24"/>
                <w:szCs w:val="24"/>
                <w:highlight w:val="none"/>
                <w:lang w:val="en-US" w:eastAsia="zh-CN"/>
              </w:rPr>
              <w:t>3</w:t>
            </w:r>
            <w:r>
              <w:rPr>
                <w:rFonts w:hint="eastAsia"/>
                <w:sz w:val="24"/>
                <w:szCs w:val="24"/>
                <w:highlight w:val="none"/>
              </w:rPr>
              <w:t>分</w:t>
            </w:r>
            <w:r>
              <w:rPr>
                <w:rFonts w:hint="eastAsia"/>
                <w:sz w:val="24"/>
                <w:szCs w:val="24"/>
                <w:highlight w:val="none"/>
                <w:lang w:eastAsia="zh-CN"/>
              </w:rPr>
              <w:t>，</w:t>
            </w:r>
            <w:r>
              <w:rPr>
                <w:rFonts w:hint="eastAsia"/>
                <w:sz w:val="24"/>
                <w:szCs w:val="24"/>
                <w:highlight w:val="none"/>
              </w:rPr>
              <w:t>市级</w:t>
            </w:r>
            <w:r>
              <w:rPr>
                <w:rFonts w:hint="eastAsia"/>
                <w:sz w:val="24"/>
                <w:szCs w:val="24"/>
                <w:highlight w:val="none"/>
                <w:lang w:val="en-US" w:eastAsia="zh-CN"/>
              </w:rPr>
              <w:t>及以上</w:t>
            </w:r>
            <w:r>
              <w:rPr>
                <w:rFonts w:hint="eastAsia"/>
                <w:sz w:val="24"/>
                <w:szCs w:val="24"/>
                <w:highlight w:val="none"/>
              </w:rPr>
              <w:t>得</w:t>
            </w:r>
            <w:r>
              <w:rPr>
                <w:rFonts w:hint="eastAsia"/>
                <w:sz w:val="24"/>
                <w:szCs w:val="24"/>
                <w:highlight w:val="none"/>
                <w:lang w:val="en-US" w:eastAsia="zh-CN"/>
              </w:rPr>
              <w:t>7.5</w:t>
            </w:r>
            <w:r>
              <w:rPr>
                <w:rFonts w:hint="eastAsia"/>
                <w:sz w:val="24"/>
                <w:szCs w:val="24"/>
                <w:highlight w:val="none"/>
              </w:rPr>
              <w:t>分</w:t>
            </w:r>
            <w:r>
              <w:rPr>
                <w:rFonts w:hint="eastAsia"/>
                <w:sz w:val="24"/>
                <w:szCs w:val="24"/>
                <w:highlight w:val="none"/>
                <w:lang w:eastAsia="zh-CN"/>
              </w:rPr>
              <w:t>；</w:t>
            </w:r>
          </w:p>
          <w:p>
            <w:pPr>
              <w:spacing w:line="36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满分1</w:t>
            </w: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rPr>
              <w:t>分。</w:t>
            </w:r>
          </w:p>
          <w:p>
            <w:pPr>
              <w:spacing w:line="360" w:lineRule="exact"/>
              <w:jc w:val="left"/>
              <w:rPr>
                <w:rFonts w:ascii="宋体" w:hAnsi="宋体" w:cs="宋体"/>
                <w:color w:val="000000"/>
                <w:kern w:val="0"/>
                <w:sz w:val="24"/>
                <w:szCs w:val="24"/>
                <w:highlight w:val="none"/>
              </w:rPr>
            </w:pPr>
            <w:r>
              <w:rPr>
                <w:rFonts w:hint="eastAsia" w:ascii="宋体" w:hAnsi="宋体" w:cs="宋体"/>
                <w:b/>
                <w:bCs/>
                <w:color w:val="000000"/>
                <w:kern w:val="0"/>
                <w:sz w:val="24"/>
                <w:szCs w:val="24"/>
                <w:highlight w:val="none"/>
              </w:rPr>
              <w:t xml:space="preserve">备注: </w:t>
            </w:r>
            <w:r>
              <w:rPr>
                <w:rFonts w:hint="eastAsia" w:ascii="宋体" w:hAnsi="宋体" w:cs="宋体"/>
                <w:color w:val="000000"/>
                <w:kern w:val="0"/>
                <w:sz w:val="24"/>
                <w:szCs w:val="24"/>
                <w:highlight w:val="none"/>
              </w:rPr>
              <w:t>奖项、荣誉以行政主管部门或在国内依法登记注册的行业协会（或学会）或行政主管部门颁发的奖项、荣誉为准。投标文件中提供的奖项、荣誉证明资料应符合下列要求，否则不予认可：</w:t>
            </w:r>
          </w:p>
          <w:p>
            <w:pPr>
              <w:spacing w:line="36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①奖项、荣誉应提供颁奖单位的颁奖文件（颁奖文件不含荣誉证书、奖杯、奖牌、奖状）或颁奖单位官网文件的截图； </w:t>
            </w:r>
          </w:p>
          <w:p>
            <w:pPr>
              <w:spacing w:line="360" w:lineRule="exact"/>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②奖项、荣誉应提供获奖证书；</w:t>
            </w:r>
          </w:p>
          <w:p>
            <w:pPr>
              <w:spacing w:line="360" w:lineRule="exact"/>
              <w:jc w:val="left"/>
              <w:rPr>
                <w:rFonts w:ascii="宋体" w:hAnsi="宋体" w:cs="宋体"/>
                <w:b/>
                <w:bCs/>
                <w:color w:val="000000"/>
                <w:kern w:val="0"/>
                <w:sz w:val="24"/>
                <w:szCs w:val="24"/>
                <w:highlight w:val="none"/>
              </w:rPr>
            </w:pPr>
            <w:r>
              <w:rPr>
                <w:rFonts w:hint="eastAsia" w:ascii="宋体" w:hAnsi="宋体" w:cs="宋体"/>
                <w:color w:val="000000"/>
                <w:kern w:val="0"/>
                <w:sz w:val="24"/>
                <w:szCs w:val="24"/>
                <w:highlight w:val="none"/>
              </w:rPr>
              <w:t>③</w:t>
            </w:r>
            <w:r>
              <w:rPr>
                <w:rFonts w:hint="eastAsia" w:ascii="宋体" w:hAnsi="宋体" w:cs="宋体"/>
                <w:b/>
                <w:bCs/>
                <w:color w:val="000000"/>
                <w:kern w:val="0"/>
                <w:sz w:val="24"/>
                <w:szCs w:val="24"/>
                <w:highlight w:val="none"/>
              </w:rPr>
              <w:t>“国内依法登记注册”以中国社会组织网查询结果为准。针对国内依法登记注册的行业协会（或学会）颁发的奖项、荣誉，投标文件中须提供颁奖单位在中国社会组织网查询结果截图。</w:t>
            </w:r>
          </w:p>
          <w:p>
            <w:pPr>
              <w:spacing w:line="360" w:lineRule="exact"/>
              <w:jc w:val="left"/>
              <w:rPr>
                <w:rFonts w:ascii="宋体" w:hAnsi="宋体" w:cs="宋体"/>
                <w:sz w:val="24"/>
                <w:szCs w:val="24"/>
                <w:highlight w:val="none"/>
                <w:lang w:bidi="zh-CN"/>
              </w:rPr>
            </w:pPr>
            <w:r>
              <w:rPr>
                <w:rFonts w:hint="eastAsia" w:ascii="宋体" w:hAnsi="宋体" w:cs="宋体"/>
                <w:b/>
                <w:bCs/>
                <w:color w:val="000000"/>
                <w:kern w:val="0"/>
                <w:sz w:val="24"/>
                <w:szCs w:val="24"/>
                <w:highlight w:val="none"/>
              </w:rPr>
              <w:t>④民政部公布的“离岸社团”、“山寨社团”颁发的奖项、荣誉均无效。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6" w:hRule="atLeast"/>
        </w:trPr>
        <w:tc>
          <w:tcPr>
            <w:tcW w:w="870" w:type="dxa"/>
            <w:vMerge w:val="continue"/>
            <w:tcBorders>
              <w:left w:val="single" w:color="auto" w:sz="4" w:space="0"/>
              <w:right w:val="single" w:color="auto" w:sz="4" w:space="0"/>
            </w:tcBorders>
            <w:vAlign w:val="center"/>
          </w:tcPr>
          <w:p>
            <w:pPr>
              <w:rPr>
                <w:rFonts w:ascii="宋体" w:hAnsi="宋体" w:cs="宋体"/>
                <w:sz w:val="24"/>
                <w:szCs w:val="24"/>
                <w:lang w:bidi="zh-CN"/>
              </w:rPr>
            </w:pPr>
          </w:p>
        </w:tc>
        <w:tc>
          <w:tcPr>
            <w:tcW w:w="1109" w:type="dxa"/>
            <w:vMerge w:val="continue"/>
            <w:tcBorders>
              <w:left w:val="single" w:color="auto" w:sz="4" w:space="0"/>
              <w:right w:val="single" w:color="auto" w:sz="4" w:space="0"/>
            </w:tcBorders>
            <w:vAlign w:val="center"/>
          </w:tcPr>
          <w:p>
            <w:pPr>
              <w:rPr>
                <w:rFonts w:ascii="宋体" w:hAnsi="宋体" w:cs="宋体"/>
                <w:sz w:val="24"/>
                <w:szCs w:val="24"/>
                <w:lang w:bidi="zh-CN"/>
              </w:rPr>
            </w:pPr>
          </w:p>
        </w:tc>
        <w:tc>
          <w:tcPr>
            <w:tcW w:w="1581" w:type="dxa"/>
            <w:tcBorders>
              <w:top w:val="single" w:color="auto" w:sz="4" w:space="0"/>
              <w:left w:val="single" w:color="auto" w:sz="4" w:space="0"/>
              <w:bottom w:val="single" w:color="auto" w:sz="4" w:space="0"/>
              <w:right w:val="single" w:color="auto" w:sz="4" w:space="0"/>
            </w:tcBorders>
            <w:vAlign w:val="center"/>
          </w:tcPr>
          <w:p>
            <w:pPr>
              <w:pStyle w:val="34"/>
              <w:spacing w:line="373" w:lineRule="exact"/>
              <w:jc w:val="center"/>
              <w:rPr>
                <w:sz w:val="24"/>
                <w:szCs w:val="24"/>
                <w:lang w:val="en-US"/>
              </w:rPr>
            </w:pPr>
            <w:r>
              <w:rPr>
                <w:rFonts w:hint="eastAsia"/>
                <w:sz w:val="24"/>
                <w:szCs w:val="24"/>
                <w:lang w:val="en-US"/>
              </w:rPr>
              <w:t>项目负责人</w:t>
            </w:r>
          </w:p>
          <w:p>
            <w:pPr>
              <w:pStyle w:val="34"/>
              <w:spacing w:line="373" w:lineRule="exact"/>
              <w:jc w:val="center"/>
              <w:rPr>
                <w:sz w:val="24"/>
                <w:szCs w:val="24"/>
                <w:lang w:val="en-US"/>
              </w:rPr>
            </w:pPr>
            <w:r>
              <w:rPr>
                <w:rFonts w:hint="eastAsia"/>
                <w:sz w:val="24"/>
                <w:szCs w:val="24"/>
                <w:lang w:val="en-US"/>
              </w:rPr>
              <w:t>（8分）</w:t>
            </w:r>
          </w:p>
        </w:tc>
        <w:tc>
          <w:tcPr>
            <w:tcW w:w="543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1、具有中级（四级）及以上消防设施操作员资格证的，得3分；  </w:t>
            </w:r>
          </w:p>
          <w:p>
            <w:pPr>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 xml:space="preserve">2、具有一级消防工程师证，得3分； </w:t>
            </w:r>
          </w:p>
          <w:p>
            <w:pPr>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3、具有高处作业操作证，得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满分</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分。</w:t>
            </w:r>
          </w:p>
          <w:p>
            <w:pPr>
              <w:spacing w:line="360" w:lineRule="exact"/>
              <w:jc w:val="left"/>
              <w:rPr>
                <w:rFonts w:ascii="宋体" w:hAnsi="宋体" w:cs="宋体"/>
                <w:color w:val="000000"/>
                <w:kern w:val="0"/>
                <w:sz w:val="24"/>
                <w:szCs w:val="24"/>
              </w:rPr>
            </w:pPr>
            <w:r>
              <w:rPr>
                <w:rFonts w:hint="eastAsia" w:ascii="宋体" w:hAnsi="宋体" w:cs="宋体"/>
                <w:b/>
                <w:bCs/>
                <w:color w:val="000000"/>
                <w:kern w:val="0"/>
                <w:sz w:val="24"/>
                <w:szCs w:val="24"/>
              </w:rPr>
              <w:t>备注：</w:t>
            </w:r>
            <w:r>
              <w:rPr>
                <w:rFonts w:hint="eastAsia" w:ascii="宋体" w:hAnsi="宋体" w:cs="宋体"/>
                <w:color w:val="000000"/>
                <w:kern w:val="0"/>
                <w:sz w:val="24"/>
                <w:szCs w:val="24"/>
              </w:rPr>
              <w:t>（1）提供相关证书扫描件或影印件。</w:t>
            </w:r>
          </w:p>
          <w:p>
            <w:pPr>
              <w:spacing w:line="360" w:lineRule="exact"/>
              <w:ind w:firstLine="720" w:firstLineChars="300"/>
              <w:jc w:val="left"/>
              <w:rPr>
                <w:rFonts w:ascii="宋体" w:hAnsi="宋体" w:cs="宋体"/>
                <w:color w:val="000000"/>
                <w:kern w:val="0"/>
                <w:sz w:val="24"/>
                <w:szCs w:val="24"/>
              </w:rPr>
            </w:pPr>
            <w:r>
              <w:rPr>
                <w:rFonts w:hint="eastAsia" w:ascii="宋体" w:hAnsi="宋体" w:cs="宋体"/>
                <w:color w:val="000000"/>
                <w:kern w:val="0"/>
                <w:sz w:val="24"/>
                <w:szCs w:val="24"/>
              </w:rPr>
              <w:t>（2）投标文件中提供投标人为项目负责人缴纳的近3个月内（任意1个月）社保证明材扫描件。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7" w:hRule="atLeast"/>
        </w:trPr>
        <w:tc>
          <w:tcPr>
            <w:tcW w:w="870" w:type="dxa"/>
            <w:tcBorders>
              <w:left w:val="single" w:color="auto" w:sz="4" w:space="0"/>
              <w:right w:val="single" w:color="auto" w:sz="4" w:space="0"/>
            </w:tcBorders>
            <w:vAlign w:val="center"/>
          </w:tcPr>
          <w:p>
            <w:pPr>
              <w:rPr>
                <w:rFonts w:ascii="宋体" w:hAnsi="宋体" w:cs="宋体"/>
                <w:sz w:val="24"/>
                <w:szCs w:val="24"/>
                <w:lang w:bidi="zh-CN"/>
              </w:rPr>
            </w:pPr>
          </w:p>
        </w:tc>
        <w:tc>
          <w:tcPr>
            <w:tcW w:w="1109" w:type="dxa"/>
            <w:vMerge w:val="continue"/>
            <w:tcBorders>
              <w:left w:val="single" w:color="auto" w:sz="4" w:space="0"/>
              <w:right w:val="single" w:color="auto" w:sz="4" w:space="0"/>
            </w:tcBorders>
            <w:vAlign w:val="center"/>
          </w:tcPr>
          <w:p>
            <w:pPr>
              <w:rPr>
                <w:rFonts w:ascii="宋体" w:hAnsi="宋体" w:cs="宋体"/>
                <w:sz w:val="24"/>
                <w:szCs w:val="24"/>
                <w:lang w:bidi="zh-CN"/>
              </w:rPr>
            </w:pPr>
          </w:p>
        </w:tc>
        <w:tc>
          <w:tcPr>
            <w:tcW w:w="1581" w:type="dxa"/>
            <w:tcBorders>
              <w:top w:val="single" w:color="auto" w:sz="4" w:space="0"/>
              <w:left w:val="single" w:color="auto" w:sz="4" w:space="0"/>
              <w:bottom w:val="single" w:color="auto" w:sz="4" w:space="0"/>
              <w:right w:val="single" w:color="auto" w:sz="4" w:space="0"/>
            </w:tcBorders>
            <w:vAlign w:val="center"/>
          </w:tcPr>
          <w:p>
            <w:pPr>
              <w:pStyle w:val="34"/>
              <w:spacing w:line="373" w:lineRule="exact"/>
              <w:jc w:val="center"/>
              <w:rPr>
                <w:sz w:val="24"/>
                <w:szCs w:val="24"/>
                <w:lang w:val="en-US"/>
              </w:rPr>
            </w:pPr>
            <w:r>
              <w:rPr>
                <w:rFonts w:hint="eastAsia"/>
                <w:sz w:val="24"/>
                <w:szCs w:val="24"/>
                <w:lang w:val="en-US"/>
              </w:rPr>
              <w:t>项目班组长</w:t>
            </w:r>
          </w:p>
          <w:p>
            <w:pPr>
              <w:pStyle w:val="34"/>
              <w:spacing w:line="373" w:lineRule="exact"/>
              <w:jc w:val="center"/>
              <w:rPr>
                <w:sz w:val="24"/>
                <w:szCs w:val="24"/>
                <w:lang w:val="en-US"/>
              </w:rPr>
            </w:pPr>
            <w:r>
              <w:rPr>
                <w:rFonts w:hint="eastAsia"/>
                <w:sz w:val="24"/>
                <w:szCs w:val="24"/>
                <w:lang w:val="en-US"/>
              </w:rPr>
              <w:t>（</w:t>
            </w:r>
            <w:r>
              <w:rPr>
                <w:rFonts w:hint="eastAsia"/>
                <w:sz w:val="24"/>
                <w:szCs w:val="24"/>
                <w:lang w:val="en-US" w:eastAsia="zh-CN"/>
              </w:rPr>
              <w:t>6</w:t>
            </w:r>
            <w:r>
              <w:rPr>
                <w:rFonts w:hint="eastAsia"/>
                <w:sz w:val="24"/>
                <w:szCs w:val="24"/>
                <w:lang w:val="en-US"/>
              </w:rPr>
              <w:t>分）</w:t>
            </w:r>
          </w:p>
        </w:tc>
        <w:tc>
          <w:tcPr>
            <w:tcW w:w="543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1、具有中级（四级）及以上消防设施操作员资格证的，得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w:t>
            </w:r>
          </w:p>
          <w:p>
            <w:pPr>
              <w:spacing w:line="360" w:lineRule="exact"/>
              <w:jc w:val="left"/>
              <w:rPr>
                <w:sz w:val="24"/>
                <w:szCs w:val="24"/>
              </w:rPr>
            </w:pPr>
            <w:r>
              <w:rPr>
                <w:rFonts w:hint="eastAsia" w:ascii="宋体" w:hAnsi="宋体" w:cs="宋体"/>
                <w:color w:val="000000"/>
                <w:kern w:val="0"/>
                <w:sz w:val="24"/>
                <w:szCs w:val="24"/>
              </w:rPr>
              <w:t>2、</w:t>
            </w:r>
            <w:r>
              <w:rPr>
                <w:rFonts w:hint="eastAsia"/>
                <w:sz w:val="24"/>
                <w:szCs w:val="24"/>
              </w:rPr>
              <w:t>具有城乡住房建设厅颁发的安全生产考核证书C证（即安全员C证）；得2分；</w:t>
            </w:r>
          </w:p>
          <w:p>
            <w:pPr>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3、具有高处作业操作证，得2分。</w:t>
            </w:r>
          </w:p>
          <w:p>
            <w:pPr>
              <w:spacing w:line="360" w:lineRule="exact"/>
              <w:jc w:val="left"/>
              <w:rPr>
                <w:rFonts w:ascii="宋体" w:hAnsi="宋体" w:cs="宋体"/>
                <w:color w:val="000000"/>
                <w:kern w:val="0"/>
                <w:sz w:val="24"/>
                <w:szCs w:val="24"/>
              </w:rPr>
            </w:pPr>
            <w:r>
              <w:rPr>
                <w:rFonts w:hint="eastAsia" w:ascii="宋体" w:hAnsi="宋体" w:cs="宋体"/>
                <w:color w:val="000000"/>
                <w:kern w:val="0"/>
                <w:sz w:val="24"/>
                <w:szCs w:val="24"/>
              </w:rPr>
              <w:t>满分</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分。</w:t>
            </w:r>
          </w:p>
          <w:p>
            <w:pPr>
              <w:pStyle w:val="12"/>
              <w:rPr>
                <w:rFonts w:ascii="宋体" w:hAnsi="宋体" w:cs="宋体"/>
                <w:sz w:val="24"/>
                <w:szCs w:val="24"/>
                <w:lang w:bidi="zh-CN"/>
              </w:rPr>
            </w:pPr>
            <w:r>
              <w:rPr>
                <w:rFonts w:hint="eastAsia" w:ascii="宋体" w:hAnsi="宋体" w:cs="宋体"/>
                <w:b/>
                <w:bCs/>
                <w:color w:val="000000"/>
                <w:kern w:val="0"/>
                <w:sz w:val="24"/>
                <w:szCs w:val="24"/>
              </w:rPr>
              <w:t>备注：</w:t>
            </w:r>
            <w:r>
              <w:rPr>
                <w:rFonts w:hint="eastAsia" w:ascii="宋体" w:hAnsi="宋体" w:cs="宋体"/>
                <w:color w:val="000000"/>
                <w:kern w:val="0"/>
                <w:sz w:val="24"/>
                <w:szCs w:val="24"/>
              </w:rPr>
              <w:t>提供相关证书扫描件或影印件；并提供相关人员</w:t>
            </w:r>
            <w:r>
              <w:rPr>
                <w:rFonts w:hint="eastAsia"/>
                <w:sz w:val="24"/>
                <w:szCs w:val="24"/>
              </w:rPr>
              <w:t>近三个月（任意1个月）社保证明材料扫描件。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98" w:hRule="atLeast"/>
        </w:trPr>
        <w:tc>
          <w:tcPr>
            <w:tcW w:w="870" w:type="dxa"/>
            <w:tcBorders>
              <w:left w:val="single" w:color="auto" w:sz="4" w:space="0"/>
              <w:right w:val="single" w:color="auto" w:sz="4" w:space="0"/>
            </w:tcBorders>
            <w:vAlign w:val="center"/>
          </w:tcPr>
          <w:p>
            <w:pPr>
              <w:rPr>
                <w:rFonts w:ascii="宋体" w:hAnsi="宋体" w:cs="宋体"/>
                <w:sz w:val="24"/>
                <w:szCs w:val="24"/>
                <w:lang w:bidi="zh-CN"/>
              </w:rPr>
            </w:pPr>
          </w:p>
        </w:tc>
        <w:tc>
          <w:tcPr>
            <w:tcW w:w="1109" w:type="dxa"/>
            <w:vMerge w:val="continue"/>
            <w:tcBorders>
              <w:left w:val="single" w:color="auto" w:sz="4" w:space="0"/>
              <w:right w:val="single" w:color="auto" w:sz="4" w:space="0"/>
            </w:tcBorders>
            <w:vAlign w:val="center"/>
          </w:tcPr>
          <w:p>
            <w:pPr>
              <w:rPr>
                <w:rFonts w:ascii="宋体" w:hAnsi="宋体" w:cs="宋体"/>
                <w:sz w:val="24"/>
                <w:szCs w:val="24"/>
                <w:lang w:bidi="zh-CN"/>
              </w:rPr>
            </w:pPr>
          </w:p>
        </w:tc>
        <w:tc>
          <w:tcPr>
            <w:tcW w:w="1581" w:type="dxa"/>
            <w:tcBorders>
              <w:top w:val="single" w:color="auto" w:sz="4" w:space="0"/>
              <w:left w:val="single" w:color="auto" w:sz="4" w:space="0"/>
              <w:bottom w:val="single" w:color="auto" w:sz="4" w:space="0"/>
              <w:right w:val="single" w:color="auto" w:sz="4" w:space="0"/>
            </w:tcBorders>
            <w:vAlign w:val="center"/>
          </w:tcPr>
          <w:p>
            <w:pPr>
              <w:pStyle w:val="34"/>
              <w:spacing w:line="373" w:lineRule="exact"/>
              <w:jc w:val="center"/>
              <w:rPr>
                <w:sz w:val="24"/>
                <w:szCs w:val="24"/>
                <w:lang w:val="en-US"/>
              </w:rPr>
            </w:pPr>
            <w:r>
              <w:rPr>
                <w:rFonts w:hint="eastAsia"/>
                <w:sz w:val="24"/>
                <w:szCs w:val="24"/>
                <w:lang w:val="en-US"/>
              </w:rPr>
              <w:t>项目安全员</w:t>
            </w:r>
          </w:p>
          <w:p>
            <w:pPr>
              <w:pStyle w:val="34"/>
              <w:spacing w:line="373" w:lineRule="exact"/>
              <w:jc w:val="center"/>
              <w:rPr>
                <w:sz w:val="24"/>
                <w:szCs w:val="24"/>
              </w:rPr>
            </w:pPr>
            <w:r>
              <w:rPr>
                <w:rFonts w:hint="eastAsia"/>
                <w:sz w:val="24"/>
                <w:szCs w:val="24"/>
                <w:lang w:val="en-US"/>
              </w:rPr>
              <w:t>（6分）</w:t>
            </w:r>
          </w:p>
        </w:tc>
        <w:tc>
          <w:tcPr>
            <w:tcW w:w="543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sz w:val="24"/>
                <w:szCs w:val="24"/>
              </w:rPr>
            </w:pPr>
            <w:r>
              <w:rPr>
                <w:rFonts w:hint="eastAsia"/>
                <w:sz w:val="24"/>
                <w:szCs w:val="24"/>
              </w:rPr>
              <w:t>1、具有城乡住房建设厅颁发的安全生产考核证书C证，</w:t>
            </w:r>
            <w:r>
              <w:rPr>
                <w:rFonts w:hint="eastAsia"/>
                <w:sz w:val="24"/>
                <w:szCs w:val="24"/>
                <w:lang w:val="en-US" w:eastAsia="zh-CN"/>
              </w:rPr>
              <w:t>每提供一个，</w:t>
            </w:r>
            <w:r>
              <w:rPr>
                <w:rFonts w:hint="eastAsia"/>
                <w:sz w:val="24"/>
                <w:szCs w:val="24"/>
              </w:rPr>
              <w:t>得2分；</w:t>
            </w:r>
          </w:p>
          <w:p>
            <w:pPr>
              <w:spacing w:line="360" w:lineRule="exact"/>
              <w:jc w:val="left"/>
              <w:rPr>
                <w:sz w:val="24"/>
                <w:szCs w:val="24"/>
              </w:rPr>
            </w:pPr>
            <w:r>
              <w:rPr>
                <w:rFonts w:hint="eastAsia"/>
                <w:sz w:val="24"/>
                <w:szCs w:val="24"/>
              </w:rPr>
              <w:t>满分6分。</w:t>
            </w:r>
          </w:p>
          <w:p>
            <w:pPr>
              <w:spacing w:line="360" w:lineRule="exact"/>
              <w:jc w:val="left"/>
              <w:rPr>
                <w:sz w:val="24"/>
                <w:szCs w:val="24"/>
              </w:rPr>
            </w:pPr>
            <w:r>
              <w:rPr>
                <w:rFonts w:hint="eastAsia"/>
                <w:b/>
                <w:bCs/>
                <w:sz w:val="24"/>
                <w:szCs w:val="24"/>
              </w:rPr>
              <w:t>备注：</w:t>
            </w:r>
            <w:r>
              <w:rPr>
                <w:rFonts w:hint="eastAsia"/>
                <w:sz w:val="24"/>
                <w:szCs w:val="24"/>
              </w:rPr>
              <w:t>提供相关证书扫描件或影印件；证书年限以颁发时间为准，并提供相关人员近三个月（任意1个月）社保证明。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0" w:hRule="atLeast"/>
        </w:trPr>
        <w:tc>
          <w:tcPr>
            <w:tcW w:w="870" w:type="dxa"/>
            <w:tcBorders>
              <w:left w:val="single" w:color="auto" w:sz="4" w:space="0"/>
              <w:right w:val="single" w:color="auto" w:sz="4" w:space="0"/>
            </w:tcBorders>
            <w:vAlign w:val="center"/>
          </w:tcPr>
          <w:p>
            <w:pPr>
              <w:rPr>
                <w:rFonts w:ascii="宋体" w:hAnsi="宋体" w:cs="宋体"/>
                <w:sz w:val="24"/>
                <w:szCs w:val="24"/>
                <w:lang w:bidi="zh-CN"/>
              </w:rPr>
            </w:pPr>
          </w:p>
        </w:tc>
        <w:tc>
          <w:tcPr>
            <w:tcW w:w="1109" w:type="dxa"/>
            <w:vMerge w:val="continue"/>
            <w:tcBorders>
              <w:left w:val="single" w:color="auto" w:sz="4" w:space="0"/>
              <w:right w:val="single" w:color="auto" w:sz="4" w:space="0"/>
            </w:tcBorders>
            <w:vAlign w:val="center"/>
          </w:tcPr>
          <w:p>
            <w:pPr>
              <w:rPr>
                <w:rFonts w:ascii="宋体" w:hAnsi="宋体" w:cs="宋体"/>
                <w:sz w:val="24"/>
                <w:szCs w:val="24"/>
                <w:lang w:bidi="zh-CN"/>
              </w:rPr>
            </w:pPr>
          </w:p>
        </w:tc>
        <w:tc>
          <w:tcPr>
            <w:tcW w:w="1581" w:type="dxa"/>
            <w:tcBorders>
              <w:top w:val="single" w:color="auto" w:sz="4" w:space="0"/>
              <w:left w:val="single" w:color="auto" w:sz="4" w:space="0"/>
              <w:bottom w:val="single" w:color="auto" w:sz="4" w:space="0"/>
              <w:right w:val="single" w:color="auto" w:sz="4" w:space="0"/>
            </w:tcBorders>
            <w:vAlign w:val="center"/>
          </w:tcPr>
          <w:p>
            <w:pPr>
              <w:pStyle w:val="34"/>
              <w:spacing w:before="8"/>
              <w:ind w:left="153" w:right="124"/>
              <w:jc w:val="center"/>
              <w:rPr>
                <w:sz w:val="24"/>
                <w:szCs w:val="24"/>
                <w:lang w:val="en-US"/>
              </w:rPr>
            </w:pPr>
            <w:r>
              <w:rPr>
                <w:rFonts w:hint="eastAsia"/>
                <w:sz w:val="24"/>
                <w:szCs w:val="24"/>
                <w:lang w:val="en-US"/>
              </w:rPr>
              <w:t>其他人员配备（</w:t>
            </w:r>
            <w:r>
              <w:rPr>
                <w:rFonts w:hint="eastAsia"/>
                <w:sz w:val="24"/>
                <w:szCs w:val="24"/>
                <w:lang w:val="en-US" w:eastAsia="zh-CN"/>
              </w:rPr>
              <w:t>3</w:t>
            </w:r>
            <w:r>
              <w:rPr>
                <w:rFonts w:hint="eastAsia"/>
                <w:sz w:val="24"/>
                <w:szCs w:val="24"/>
                <w:lang w:val="en-US"/>
              </w:rPr>
              <w:t>分）</w:t>
            </w:r>
          </w:p>
        </w:tc>
        <w:tc>
          <w:tcPr>
            <w:tcW w:w="5439" w:type="dxa"/>
            <w:tcBorders>
              <w:top w:val="single" w:color="auto" w:sz="4" w:space="0"/>
              <w:left w:val="single" w:color="auto" w:sz="4" w:space="0"/>
              <w:bottom w:val="single" w:color="auto" w:sz="4" w:space="0"/>
              <w:right w:val="single" w:color="auto" w:sz="4" w:space="0"/>
            </w:tcBorders>
            <w:vAlign w:val="center"/>
          </w:tcPr>
          <w:p>
            <w:pPr>
              <w:pStyle w:val="34"/>
              <w:spacing w:line="373" w:lineRule="exact"/>
              <w:rPr>
                <w:sz w:val="24"/>
                <w:szCs w:val="24"/>
                <w:lang w:val="en-US"/>
              </w:rPr>
            </w:pPr>
            <w:r>
              <w:rPr>
                <w:rFonts w:hint="eastAsia"/>
                <w:color w:val="000000"/>
                <w:kern w:val="0"/>
                <w:sz w:val="24"/>
                <w:szCs w:val="24"/>
                <w:lang w:val="en-US"/>
              </w:rPr>
              <w:t>1、具有四级建（构）筑物消防员证，得2分；</w:t>
            </w:r>
          </w:p>
          <w:p>
            <w:pPr>
              <w:pStyle w:val="34"/>
              <w:spacing w:line="373" w:lineRule="exact"/>
              <w:rPr>
                <w:sz w:val="24"/>
                <w:szCs w:val="24"/>
                <w:lang w:val="en-US"/>
              </w:rPr>
            </w:pPr>
            <w:r>
              <w:rPr>
                <w:rFonts w:hint="eastAsia"/>
                <w:sz w:val="24"/>
                <w:szCs w:val="24"/>
                <w:lang w:val="en-US"/>
              </w:rPr>
              <w:t>2、具有应急管理部门或安全生产行业协会安全培训合格证的，得</w:t>
            </w:r>
            <w:r>
              <w:rPr>
                <w:rFonts w:hint="eastAsia"/>
                <w:sz w:val="24"/>
                <w:szCs w:val="24"/>
                <w:lang w:val="en-US" w:eastAsia="zh-CN"/>
              </w:rPr>
              <w:t>1</w:t>
            </w:r>
            <w:r>
              <w:rPr>
                <w:rFonts w:hint="eastAsia"/>
                <w:sz w:val="24"/>
                <w:szCs w:val="24"/>
                <w:lang w:val="en-US"/>
              </w:rPr>
              <w:t>分。</w:t>
            </w:r>
          </w:p>
          <w:p>
            <w:pPr>
              <w:pStyle w:val="34"/>
              <w:spacing w:line="373" w:lineRule="exact"/>
              <w:rPr>
                <w:sz w:val="24"/>
                <w:szCs w:val="24"/>
                <w:lang w:val="en-US"/>
              </w:rPr>
            </w:pPr>
            <w:r>
              <w:rPr>
                <w:rFonts w:hint="eastAsia"/>
                <w:sz w:val="24"/>
                <w:szCs w:val="24"/>
                <w:lang w:val="en-US"/>
              </w:rPr>
              <w:t>满</w:t>
            </w:r>
            <w:r>
              <w:rPr>
                <w:rFonts w:hint="eastAsia"/>
                <w:color w:val="auto"/>
                <w:sz w:val="24"/>
                <w:szCs w:val="24"/>
                <w:lang w:val="en-US"/>
              </w:rPr>
              <w:t>分</w:t>
            </w:r>
            <w:r>
              <w:rPr>
                <w:rFonts w:hint="eastAsia"/>
                <w:color w:val="auto"/>
                <w:sz w:val="24"/>
                <w:szCs w:val="24"/>
                <w:lang w:val="en-US" w:eastAsia="zh-CN"/>
              </w:rPr>
              <w:t>3</w:t>
            </w:r>
            <w:r>
              <w:rPr>
                <w:rFonts w:hint="eastAsia"/>
                <w:color w:val="auto"/>
                <w:sz w:val="24"/>
                <w:szCs w:val="24"/>
                <w:lang w:val="en-US"/>
              </w:rPr>
              <w:t>分。</w:t>
            </w:r>
          </w:p>
          <w:p>
            <w:pPr>
              <w:widowControl/>
              <w:autoSpaceDE w:val="0"/>
              <w:autoSpaceDN w:val="0"/>
              <w:spacing w:line="360" w:lineRule="auto"/>
              <w:jc w:val="left"/>
              <w:rPr>
                <w:b/>
                <w:bCs/>
                <w:sz w:val="24"/>
                <w:szCs w:val="24"/>
              </w:rPr>
            </w:pPr>
            <w:r>
              <w:rPr>
                <w:rFonts w:hint="eastAsia"/>
                <w:b/>
                <w:bCs/>
                <w:sz w:val="24"/>
                <w:szCs w:val="24"/>
              </w:rPr>
              <w:t>备注：</w:t>
            </w:r>
            <w:r>
              <w:rPr>
                <w:rFonts w:hint="eastAsia"/>
                <w:sz w:val="24"/>
                <w:szCs w:val="24"/>
              </w:rPr>
              <w:t>（1）提供相关证书扫描件或影印件；证书年限以颁发时间为准，并提供相关人员近三个月（任意1个月）社保证明。</w:t>
            </w:r>
          </w:p>
          <w:p>
            <w:pPr>
              <w:widowControl/>
              <w:autoSpaceDE w:val="0"/>
              <w:autoSpaceDN w:val="0"/>
              <w:spacing w:line="360" w:lineRule="auto"/>
              <w:jc w:val="left"/>
              <w:rPr>
                <w:b/>
                <w:bCs/>
                <w:sz w:val="24"/>
                <w:szCs w:val="24"/>
              </w:rPr>
            </w:pPr>
            <w:r>
              <w:rPr>
                <w:rFonts w:hint="eastAsia"/>
                <w:b/>
                <w:bCs/>
                <w:sz w:val="24"/>
                <w:szCs w:val="24"/>
              </w:rPr>
              <w:t>（2）“国内依法登记注册”以全国社会组织信用信息公示平台查询结果为准，响应文件中须提供全国社会组织信用信息公示平台的协（学）会查询截图，未提供的不得分。民政部公布的“离岸社团”“山寨社团”或全国社会组织信用信息公示平台公示的“涉嫌非法社会组织”颁发的荣誉、奖励均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6" w:hRule="atLeast"/>
        </w:trPr>
        <w:tc>
          <w:tcPr>
            <w:tcW w:w="8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s="宋体"/>
                <w:sz w:val="24"/>
                <w:szCs w:val="24"/>
                <w:lang w:bidi="zh-CN"/>
              </w:rPr>
            </w:pPr>
          </w:p>
        </w:tc>
        <w:tc>
          <w:tcPr>
            <w:tcW w:w="1109"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highlight w:val="none"/>
                <w:lang w:bidi="zh-CN"/>
              </w:rPr>
            </w:pPr>
            <w:r>
              <w:rPr>
                <w:rFonts w:hint="eastAsia" w:ascii="宋体" w:hAnsi="宋体" w:cs="宋体"/>
                <w:sz w:val="24"/>
                <w:szCs w:val="24"/>
                <w:highlight w:val="none"/>
                <w:lang w:bidi="zh-CN"/>
              </w:rPr>
              <w:t>组织管理（22分）</w:t>
            </w:r>
          </w:p>
        </w:tc>
        <w:tc>
          <w:tcPr>
            <w:tcW w:w="1581"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jc w:val="center"/>
              <w:rPr>
                <w:sz w:val="24"/>
                <w:szCs w:val="24"/>
                <w:highlight w:val="none"/>
                <w:lang w:val="en-US"/>
              </w:rPr>
            </w:pPr>
            <w:r>
              <w:rPr>
                <w:rFonts w:hint="eastAsia"/>
                <w:sz w:val="24"/>
                <w:szCs w:val="24"/>
                <w:highlight w:val="none"/>
                <w:lang w:val="en-US"/>
              </w:rPr>
              <w:t>项目维保方案（10分）</w:t>
            </w:r>
          </w:p>
        </w:tc>
        <w:tc>
          <w:tcPr>
            <w:tcW w:w="5439"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
              <w:rPr>
                <w:rFonts w:ascii="宋体" w:hAnsi="宋体" w:cs="宋体"/>
                <w:sz w:val="24"/>
                <w:szCs w:val="24"/>
                <w:highlight w:val="none"/>
              </w:rPr>
            </w:pPr>
            <w:r>
              <w:rPr>
                <w:rFonts w:hint="eastAsia" w:ascii="宋体" w:hAnsi="宋体" w:cs="宋体"/>
                <w:sz w:val="24"/>
                <w:szCs w:val="24"/>
                <w:highlight w:val="none"/>
              </w:rPr>
              <w:t>根据投标人投标文件中提供的服务方案进行综合评审、综合评分：</w:t>
            </w:r>
          </w:p>
          <w:p>
            <w:pPr>
              <w:adjustRightInd w:val="0"/>
              <w:snapToGrid w:val="0"/>
              <w:ind w:right="-10"/>
              <w:rPr>
                <w:rFonts w:ascii="宋体" w:hAnsi="宋体" w:cs="宋体"/>
                <w:sz w:val="24"/>
                <w:szCs w:val="24"/>
                <w:highlight w:val="none"/>
              </w:rPr>
            </w:pPr>
            <w:r>
              <w:rPr>
                <w:rFonts w:hint="eastAsia" w:ascii="宋体" w:hAnsi="宋体" w:cs="宋体"/>
                <w:sz w:val="24"/>
                <w:szCs w:val="24"/>
                <w:highlight w:val="none"/>
              </w:rPr>
              <w:t>1、服务方案完整、措施得当、针对性强、合理可行、对完成项目有保障的，得8</w:t>
            </w:r>
            <w:r>
              <w:rPr>
                <w:rFonts w:hint="eastAsia" w:hAnsi="宋体" w:cs="宋体"/>
                <w:color w:val="000000"/>
                <w:szCs w:val="24"/>
                <w:lang w:bidi="ar"/>
              </w:rPr>
              <w:t>≤F≤</w:t>
            </w:r>
            <w:r>
              <w:rPr>
                <w:rFonts w:hint="eastAsia" w:hAnsi="宋体" w:cs="宋体"/>
                <w:color w:val="000000"/>
                <w:szCs w:val="24"/>
                <w:lang w:val="en-US" w:eastAsia="zh-CN" w:bidi="ar"/>
              </w:rPr>
              <w:t>10</w:t>
            </w:r>
            <w:r>
              <w:rPr>
                <w:rFonts w:hint="eastAsia" w:ascii="宋体" w:hAnsi="宋体" w:cs="宋体"/>
                <w:sz w:val="24"/>
                <w:szCs w:val="24"/>
                <w:highlight w:val="none"/>
              </w:rPr>
              <w:t xml:space="preserve">分； </w:t>
            </w:r>
          </w:p>
          <w:p>
            <w:pPr>
              <w:adjustRightInd w:val="0"/>
              <w:snapToGrid w:val="0"/>
              <w:ind w:right="-10"/>
              <w:rPr>
                <w:rFonts w:ascii="宋体" w:hAnsi="宋体" w:cs="宋体"/>
                <w:sz w:val="24"/>
                <w:szCs w:val="24"/>
                <w:highlight w:val="none"/>
              </w:rPr>
            </w:pPr>
            <w:r>
              <w:rPr>
                <w:rFonts w:hint="eastAsia" w:ascii="宋体" w:hAnsi="宋体" w:cs="宋体"/>
                <w:sz w:val="24"/>
                <w:szCs w:val="24"/>
                <w:highlight w:val="none"/>
              </w:rPr>
              <w:t>2、服务方案基本完整、措施基本得当、具有针对性、基本合理可行、对完成项目基本有保障的，得</w:t>
            </w:r>
            <w:r>
              <w:rPr>
                <w:rFonts w:hint="eastAsia" w:hAnsi="宋体" w:cs="宋体"/>
                <w:color w:val="000000"/>
                <w:szCs w:val="24"/>
                <w:lang w:val="en-US" w:eastAsia="zh-CN" w:bidi="ar"/>
              </w:rPr>
              <w:t>4</w:t>
            </w:r>
            <w:r>
              <w:rPr>
                <w:rFonts w:hint="eastAsia" w:hAnsi="宋体" w:cs="宋体"/>
                <w:color w:val="000000"/>
                <w:szCs w:val="24"/>
                <w:lang w:bidi="ar"/>
              </w:rPr>
              <w:t>≤F＜</w:t>
            </w:r>
            <w:r>
              <w:rPr>
                <w:rFonts w:hint="eastAsia" w:hAnsi="宋体" w:cs="宋体"/>
                <w:color w:val="000000"/>
                <w:szCs w:val="24"/>
                <w:lang w:val="en-US" w:eastAsia="zh-CN" w:bidi="ar"/>
              </w:rPr>
              <w:t>8</w:t>
            </w:r>
            <w:r>
              <w:rPr>
                <w:rFonts w:hint="eastAsia" w:ascii="宋体" w:hAnsi="宋体" w:cs="宋体"/>
                <w:sz w:val="24"/>
                <w:szCs w:val="24"/>
                <w:highlight w:val="none"/>
              </w:rPr>
              <w:t>分；</w:t>
            </w:r>
          </w:p>
          <w:p>
            <w:pPr>
              <w:adjustRightInd w:val="0"/>
              <w:snapToGrid w:val="0"/>
              <w:ind w:right="-10"/>
              <w:rPr>
                <w:rFonts w:ascii="宋体" w:hAnsi="宋体" w:cs="宋体"/>
                <w:sz w:val="24"/>
                <w:szCs w:val="24"/>
                <w:highlight w:val="none"/>
              </w:rPr>
            </w:pPr>
            <w:r>
              <w:rPr>
                <w:rFonts w:hint="eastAsia" w:ascii="宋体" w:hAnsi="宋体" w:cs="宋体"/>
                <w:sz w:val="24"/>
                <w:szCs w:val="24"/>
                <w:highlight w:val="none"/>
              </w:rPr>
              <w:t>3、服务方案不完整、措施不全面、针对性不强、可行性不强、对完成项目保障不足的，得</w:t>
            </w:r>
            <w:r>
              <w:rPr>
                <w:rFonts w:hint="eastAsia" w:hAnsi="宋体" w:cs="宋体"/>
                <w:color w:val="000000"/>
                <w:szCs w:val="24"/>
                <w:lang w:val="en-US" w:eastAsia="zh-CN" w:bidi="ar"/>
              </w:rPr>
              <w:t>1</w:t>
            </w:r>
            <w:r>
              <w:rPr>
                <w:rFonts w:hint="eastAsia" w:hAnsi="宋体" w:cs="宋体"/>
                <w:color w:val="000000"/>
                <w:szCs w:val="24"/>
                <w:lang w:bidi="ar"/>
              </w:rPr>
              <w:t>≤F＜</w:t>
            </w:r>
            <w:r>
              <w:rPr>
                <w:rFonts w:hint="eastAsia" w:hAnsi="宋体" w:cs="宋体"/>
                <w:color w:val="000000"/>
                <w:szCs w:val="24"/>
                <w:lang w:val="en-US" w:eastAsia="zh-CN" w:bidi="ar"/>
              </w:rPr>
              <w:t>4</w:t>
            </w:r>
            <w:r>
              <w:rPr>
                <w:rFonts w:hint="eastAsia" w:ascii="宋体" w:hAnsi="宋体" w:cs="宋体"/>
                <w:sz w:val="24"/>
                <w:szCs w:val="24"/>
                <w:highlight w:val="none"/>
              </w:rPr>
              <w:t>分。</w:t>
            </w:r>
          </w:p>
          <w:p>
            <w:pPr>
              <w:pStyle w:val="34"/>
              <w:tabs>
                <w:tab w:val="left" w:pos="368"/>
              </w:tabs>
              <w:spacing w:line="360" w:lineRule="exact"/>
              <w:rPr>
                <w:bCs/>
                <w:sz w:val="24"/>
                <w:szCs w:val="24"/>
                <w:highlight w:val="none"/>
              </w:rPr>
            </w:pPr>
            <w:r>
              <w:rPr>
                <w:rFonts w:hint="eastAsia"/>
                <w:bCs/>
                <w:sz w:val="24"/>
                <w:szCs w:val="24"/>
                <w:highlight w:val="none"/>
                <w:lang w:val="en-US"/>
              </w:rPr>
              <w:t>满分10分。</w:t>
            </w:r>
          </w:p>
          <w:p>
            <w:pPr>
              <w:pStyle w:val="34"/>
              <w:tabs>
                <w:tab w:val="left" w:pos="368"/>
              </w:tabs>
              <w:spacing w:line="360" w:lineRule="exact"/>
              <w:rPr>
                <w:b/>
                <w:sz w:val="24"/>
                <w:szCs w:val="24"/>
                <w:highlight w:val="none"/>
                <w:lang w:val="en-US"/>
              </w:rPr>
            </w:pPr>
            <w:r>
              <w:rPr>
                <w:rFonts w:hint="eastAsia"/>
                <w:b/>
                <w:sz w:val="24"/>
                <w:szCs w:val="24"/>
                <w:highlight w:val="none"/>
              </w:rPr>
              <w:t>注：未提供的不得分。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2" w:hRule="atLeast"/>
        </w:trPr>
        <w:tc>
          <w:tcPr>
            <w:tcW w:w="8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s="宋体"/>
                <w:sz w:val="24"/>
                <w:szCs w:val="24"/>
                <w:lang w:bidi="zh-CN"/>
              </w:rPr>
            </w:pPr>
          </w:p>
        </w:tc>
        <w:tc>
          <w:tcPr>
            <w:tcW w:w="1109" w:type="dxa"/>
            <w:vMerge w:val="continue"/>
            <w:tcBorders>
              <w:left w:val="single" w:color="auto" w:sz="4" w:space="0"/>
              <w:right w:val="single" w:color="auto" w:sz="4" w:space="0"/>
            </w:tcBorders>
            <w:vAlign w:val="center"/>
          </w:tcPr>
          <w:p>
            <w:pPr>
              <w:jc w:val="center"/>
              <w:rPr>
                <w:rFonts w:ascii="宋体" w:hAnsi="宋体" w:cs="宋体"/>
                <w:sz w:val="24"/>
                <w:szCs w:val="24"/>
                <w:highlight w:val="none"/>
                <w:lang w:bidi="zh-CN"/>
              </w:rPr>
            </w:pPr>
          </w:p>
        </w:tc>
        <w:tc>
          <w:tcPr>
            <w:tcW w:w="1581"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jc w:val="center"/>
              <w:rPr>
                <w:sz w:val="24"/>
                <w:szCs w:val="24"/>
                <w:highlight w:val="none"/>
                <w:lang w:val="en-US"/>
              </w:rPr>
            </w:pPr>
            <w:r>
              <w:rPr>
                <w:rFonts w:hint="eastAsia"/>
                <w:sz w:val="24"/>
                <w:szCs w:val="24"/>
                <w:highlight w:val="none"/>
                <w:lang w:val="en-US"/>
              </w:rPr>
              <w:t>企业培训方案 （5分）</w:t>
            </w:r>
          </w:p>
        </w:tc>
        <w:tc>
          <w:tcPr>
            <w:tcW w:w="5439" w:type="dxa"/>
            <w:tcBorders>
              <w:top w:val="single" w:color="auto" w:sz="4" w:space="0"/>
              <w:left w:val="single" w:color="auto" w:sz="4" w:space="0"/>
              <w:bottom w:val="single" w:color="auto" w:sz="4" w:space="0"/>
              <w:right w:val="single" w:color="auto" w:sz="4" w:space="0"/>
            </w:tcBorders>
            <w:vAlign w:val="center"/>
          </w:tcPr>
          <w:p>
            <w:pPr>
              <w:pStyle w:val="34"/>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投标人的培训能力：</w:t>
            </w:r>
          </w:p>
          <w:p>
            <w:pPr>
              <w:pStyle w:val="34"/>
              <w:numPr>
                <w:ilvl w:val="0"/>
                <w:numId w:val="5"/>
              </w:numPr>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提供全年度完整、完善的培训方案及培训计划，得</w:t>
            </w:r>
            <w:r>
              <w:rPr>
                <w:rFonts w:hint="eastAsia"/>
                <w:color w:val="000000"/>
                <w:kern w:val="0"/>
                <w:sz w:val="24"/>
                <w:szCs w:val="24"/>
                <w:highlight w:val="none"/>
                <w:lang w:val="en-US" w:eastAsia="zh-CN"/>
              </w:rPr>
              <w:t>3</w:t>
            </w:r>
            <w:r>
              <w:rPr>
                <w:rFonts w:hint="eastAsia" w:hAnsi="宋体" w:cs="宋体"/>
                <w:color w:val="000000"/>
                <w:szCs w:val="24"/>
                <w:lang w:bidi="ar"/>
              </w:rPr>
              <w:t>≤F≤</w:t>
            </w:r>
            <w:r>
              <w:rPr>
                <w:rFonts w:hint="eastAsia" w:hAnsi="宋体" w:cs="宋体"/>
                <w:color w:val="000000"/>
                <w:szCs w:val="24"/>
                <w:lang w:val="en-US" w:eastAsia="zh-CN" w:bidi="ar"/>
              </w:rPr>
              <w:t>5</w:t>
            </w:r>
            <w:r>
              <w:rPr>
                <w:rFonts w:hint="eastAsia"/>
                <w:color w:val="000000"/>
                <w:kern w:val="0"/>
                <w:sz w:val="24"/>
                <w:szCs w:val="24"/>
                <w:highlight w:val="none"/>
                <w:lang w:val="en-US"/>
              </w:rPr>
              <w:t>分；</w:t>
            </w:r>
          </w:p>
          <w:p>
            <w:pPr>
              <w:pStyle w:val="34"/>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2、有培训计划及方案，但不完善的，得</w:t>
            </w:r>
            <w:r>
              <w:rPr>
                <w:rFonts w:hint="eastAsia" w:hAnsi="宋体" w:cs="宋体"/>
                <w:color w:val="000000"/>
                <w:szCs w:val="24"/>
                <w:lang w:val="en-US" w:eastAsia="zh-CN" w:bidi="ar"/>
              </w:rPr>
              <w:t>1</w:t>
            </w:r>
            <w:r>
              <w:rPr>
                <w:rFonts w:hint="eastAsia" w:hAnsi="宋体" w:cs="宋体"/>
                <w:color w:val="000000"/>
                <w:szCs w:val="24"/>
                <w:lang w:bidi="ar"/>
              </w:rPr>
              <w:t>≤F＜</w:t>
            </w:r>
            <w:r>
              <w:rPr>
                <w:rFonts w:hint="eastAsia" w:hAnsi="宋体" w:cs="宋体"/>
                <w:color w:val="000000"/>
                <w:szCs w:val="24"/>
                <w:lang w:val="en-US" w:eastAsia="zh-CN" w:bidi="ar"/>
              </w:rPr>
              <w:t>3</w:t>
            </w:r>
            <w:r>
              <w:rPr>
                <w:rFonts w:hint="eastAsia" w:ascii="宋体" w:hAnsi="宋体" w:cs="宋体"/>
                <w:sz w:val="24"/>
                <w:szCs w:val="24"/>
                <w:highlight w:val="none"/>
              </w:rPr>
              <w:t>分</w:t>
            </w:r>
            <w:r>
              <w:rPr>
                <w:rFonts w:hint="eastAsia"/>
                <w:color w:val="000000"/>
                <w:kern w:val="0"/>
                <w:sz w:val="24"/>
                <w:szCs w:val="24"/>
                <w:highlight w:val="none"/>
                <w:lang w:val="en-US"/>
              </w:rPr>
              <w:t>分；</w:t>
            </w:r>
          </w:p>
          <w:p>
            <w:pPr>
              <w:pStyle w:val="34"/>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3、无培训计划及培训方案，不得分。</w:t>
            </w:r>
          </w:p>
          <w:p>
            <w:pPr>
              <w:pStyle w:val="34"/>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满分5分。</w:t>
            </w:r>
          </w:p>
          <w:p>
            <w:pPr>
              <w:pStyle w:val="34"/>
              <w:tabs>
                <w:tab w:val="left" w:pos="368"/>
              </w:tabs>
              <w:spacing w:line="360" w:lineRule="exact"/>
              <w:rPr>
                <w:color w:val="000000"/>
                <w:kern w:val="0"/>
                <w:sz w:val="24"/>
                <w:szCs w:val="24"/>
                <w:highlight w:val="none"/>
                <w:lang w:val="en-US"/>
              </w:rPr>
            </w:pPr>
            <w:r>
              <w:rPr>
                <w:rFonts w:hint="eastAsia"/>
                <w:b/>
                <w:sz w:val="24"/>
                <w:szCs w:val="24"/>
                <w:highlight w:val="none"/>
              </w:rPr>
              <w:t>注：未提供的不得分。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6" w:hRule="atLeast"/>
        </w:trPr>
        <w:tc>
          <w:tcPr>
            <w:tcW w:w="87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s="宋体"/>
                <w:sz w:val="24"/>
                <w:szCs w:val="24"/>
                <w:lang w:bidi="zh-CN"/>
              </w:rPr>
            </w:pPr>
          </w:p>
        </w:tc>
        <w:tc>
          <w:tcPr>
            <w:tcW w:w="1109"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4"/>
                <w:highlight w:val="none"/>
                <w:lang w:bidi="zh-CN"/>
              </w:rPr>
            </w:pPr>
          </w:p>
        </w:tc>
        <w:tc>
          <w:tcPr>
            <w:tcW w:w="1581"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jc w:val="center"/>
              <w:rPr>
                <w:sz w:val="24"/>
                <w:szCs w:val="24"/>
                <w:highlight w:val="none"/>
                <w:lang w:val="en-US"/>
              </w:rPr>
            </w:pPr>
            <w:r>
              <w:rPr>
                <w:rFonts w:hint="eastAsia"/>
                <w:sz w:val="24"/>
                <w:szCs w:val="24"/>
                <w:highlight w:val="none"/>
                <w:lang w:val="en-US"/>
              </w:rPr>
              <w:t>消防维保应急预案（7分）</w:t>
            </w:r>
          </w:p>
        </w:tc>
        <w:tc>
          <w:tcPr>
            <w:tcW w:w="5439" w:type="dxa"/>
            <w:tcBorders>
              <w:top w:val="single" w:color="auto" w:sz="4" w:space="0"/>
              <w:left w:val="single" w:color="auto" w:sz="4" w:space="0"/>
              <w:bottom w:val="single" w:color="auto" w:sz="4" w:space="0"/>
              <w:right w:val="single" w:color="auto" w:sz="4" w:space="0"/>
            </w:tcBorders>
            <w:vAlign w:val="center"/>
          </w:tcPr>
          <w:p>
            <w:pPr>
              <w:pStyle w:val="34"/>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投标人具备风险管控能力：</w:t>
            </w:r>
          </w:p>
          <w:p>
            <w:pPr>
              <w:pStyle w:val="34"/>
              <w:numPr>
                <w:ilvl w:val="0"/>
                <w:numId w:val="6"/>
              </w:numPr>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提供公司各类详尽的应急预案，具有针对性、可行性的，得</w:t>
            </w:r>
            <w:r>
              <w:rPr>
                <w:rFonts w:hint="eastAsia"/>
                <w:color w:val="000000"/>
                <w:kern w:val="0"/>
                <w:sz w:val="24"/>
                <w:szCs w:val="24"/>
                <w:highlight w:val="none"/>
                <w:lang w:val="en-US" w:eastAsia="zh-CN"/>
              </w:rPr>
              <w:t>5</w:t>
            </w:r>
            <w:r>
              <w:rPr>
                <w:rFonts w:hint="eastAsia" w:hAnsi="宋体" w:cs="宋体"/>
                <w:color w:val="000000"/>
                <w:szCs w:val="24"/>
                <w:lang w:bidi="ar"/>
              </w:rPr>
              <w:t>≤F≤</w:t>
            </w:r>
            <w:r>
              <w:rPr>
                <w:rFonts w:hint="eastAsia" w:hAnsi="宋体" w:cs="宋体"/>
                <w:color w:val="000000"/>
                <w:szCs w:val="24"/>
                <w:lang w:val="en-US" w:eastAsia="zh-CN" w:bidi="ar"/>
              </w:rPr>
              <w:t>7</w:t>
            </w:r>
            <w:r>
              <w:rPr>
                <w:rFonts w:hint="eastAsia"/>
                <w:color w:val="000000"/>
                <w:kern w:val="0"/>
                <w:sz w:val="24"/>
                <w:szCs w:val="24"/>
                <w:highlight w:val="none"/>
                <w:lang w:val="en-US"/>
              </w:rPr>
              <w:t>分；</w:t>
            </w:r>
          </w:p>
          <w:p>
            <w:pPr>
              <w:pStyle w:val="34"/>
              <w:numPr>
                <w:ilvl w:val="0"/>
                <w:numId w:val="6"/>
              </w:numPr>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提供应急预案，但不完善，针对性、可行性不强，得</w:t>
            </w:r>
            <w:r>
              <w:rPr>
                <w:rFonts w:hint="eastAsia" w:hAnsi="宋体" w:cs="宋体"/>
                <w:color w:val="000000"/>
                <w:szCs w:val="24"/>
                <w:lang w:val="en-US" w:eastAsia="zh-CN" w:bidi="ar"/>
              </w:rPr>
              <w:t>1</w:t>
            </w:r>
            <w:r>
              <w:rPr>
                <w:rFonts w:hint="eastAsia" w:hAnsi="宋体" w:cs="宋体"/>
                <w:color w:val="000000"/>
                <w:szCs w:val="24"/>
                <w:lang w:bidi="ar"/>
              </w:rPr>
              <w:t>≤F＜</w:t>
            </w:r>
            <w:r>
              <w:rPr>
                <w:rFonts w:hint="eastAsia" w:hAnsi="宋体" w:cs="宋体"/>
                <w:color w:val="000000"/>
                <w:szCs w:val="24"/>
                <w:lang w:val="en-US" w:eastAsia="zh-CN" w:bidi="ar"/>
              </w:rPr>
              <w:t>5</w:t>
            </w:r>
            <w:r>
              <w:rPr>
                <w:rFonts w:hint="eastAsia"/>
                <w:color w:val="000000"/>
                <w:kern w:val="0"/>
                <w:sz w:val="24"/>
                <w:szCs w:val="24"/>
                <w:highlight w:val="none"/>
                <w:lang w:val="en-US"/>
              </w:rPr>
              <w:t>分；</w:t>
            </w:r>
          </w:p>
          <w:p>
            <w:pPr>
              <w:pStyle w:val="34"/>
              <w:numPr>
                <w:ilvl w:val="0"/>
                <w:numId w:val="6"/>
              </w:numPr>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投标人公司无相关应急预案，不得分。</w:t>
            </w:r>
          </w:p>
          <w:p>
            <w:pPr>
              <w:pStyle w:val="34"/>
              <w:tabs>
                <w:tab w:val="left" w:pos="368"/>
              </w:tabs>
              <w:spacing w:line="360" w:lineRule="exact"/>
              <w:rPr>
                <w:color w:val="000000"/>
                <w:kern w:val="0"/>
                <w:sz w:val="24"/>
                <w:szCs w:val="24"/>
                <w:highlight w:val="none"/>
                <w:lang w:val="en-US"/>
              </w:rPr>
            </w:pPr>
            <w:r>
              <w:rPr>
                <w:rFonts w:hint="eastAsia"/>
                <w:color w:val="000000"/>
                <w:kern w:val="0"/>
                <w:sz w:val="24"/>
                <w:szCs w:val="24"/>
                <w:highlight w:val="none"/>
                <w:lang w:val="en-US"/>
              </w:rPr>
              <w:t>满分7分。</w:t>
            </w:r>
          </w:p>
          <w:p>
            <w:pPr>
              <w:pStyle w:val="34"/>
              <w:tabs>
                <w:tab w:val="left" w:pos="368"/>
              </w:tabs>
              <w:spacing w:line="360" w:lineRule="exact"/>
              <w:rPr>
                <w:color w:val="000000"/>
                <w:kern w:val="0"/>
                <w:sz w:val="24"/>
                <w:szCs w:val="24"/>
                <w:highlight w:val="none"/>
                <w:lang w:val="en-US"/>
              </w:rPr>
            </w:pPr>
            <w:r>
              <w:rPr>
                <w:rFonts w:hint="eastAsia"/>
                <w:b/>
                <w:bCs/>
                <w:color w:val="000000"/>
                <w:kern w:val="0"/>
                <w:sz w:val="24"/>
                <w:szCs w:val="24"/>
                <w:highlight w:val="none"/>
                <w:lang w:val="en-US"/>
              </w:rPr>
              <w:t>注：未提供不得分。</w:t>
            </w:r>
          </w:p>
        </w:tc>
      </w:tr>
    </w:tbl>
    <w:p>
      <w:pPr>
        <w:pStyle w:val="13"/>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0"/>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2</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2</w:t>
            </w:r>
            <w:r>
              <w:rPr>
                <w:rFonts w:hint="eastAsia" w:hAnsi="宋体" w:cs="宋体"/>
                <w:u w:val="single"/>
              </w:rPr>
              <w:t xml:space="preserve">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2</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7"/>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7"/>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5"/>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8"/>
        <w:ind w:left="240" w:firstLine="480"/>
        <w:rPr>
          <w:b/>
          <w:color w:val="000000"/>
        </w:rPr>
      </w:pPr>
    </w:p>
    <w:p>
      <w:pPr>
        <w:pStyle w:val="28"/>
        <w:ind w:left="240" w:firstLine="480"/>
        <w:rPr>
          <w:b/>
          <w:color w:val="000000"/>
        </w:rPr>
      </w:pPr>
    </w:p>
    <w:p>
      <w:pPr>
        <w:pStyle w:val="5"/>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8"/>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8"/>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0"/>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9"/>
        <w:jc w:val="center"/>
        <w:rPr>
          <w:rFonts w:ascii="宋体" w:hAnsi="Times New Roman" w:eastAsia="宋体"/>
          <w:bCs w:val="0"/>
        </w:rPr>
      </w:pPr>
      <w:bookmarkStart w:id="55" w:name="_Toc665"/>
      <w:bookmarkStart w:id="56" w:name="_Toc390411621"/>
      <w:bookmarkStart w:id="57" w:name="_Toc224103496"/>
      <w:bookmarkStart w:id="58" w:name="_Toc421917001"/>
      <w:bookmarkStart w:id="59" w:name="_Toc460227108"/>
      <w:bookmarkStart w:id="60" w:name="_Toc460660223"/>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660225"/>
      <w:bookmarkStart w:id="62" w:name="_Toc460227110"/>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227"/>
      <w:bookmarkStart w:id="64" w:name="_Toc535241130"/>
      <w:bookmarkStart w:id="65" w:name="_Toc535241084"/>
      <w:bookmarkStart w:id="66" w:name="_Toc224103498"/>
      <w:bookmarkStart w:id="67" w:name="_Toc224103497"/>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3"/>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3"/>
          <w:rFonts w:hint="default"/>
          <w:b/>
          <w:bCs/>
          <w:color w:val="auto"/>
        </w:rPr>
        <w:t>法定代表人身份证明</w:t>
      </w:r>
    </w:p>
    <w:p>
      <w:pPr>
        <w:pStyle w:val="2"/>
        <w:rPr>
          <w:rStyle w:val="33"/>
          <w:rFonts w:hint="default"/>
          <w:b/>
          <w:bCs/>
          <w:color w:val="auto"/>
        </w:rPr>
      </w:pPr>
    </w:p>
    <w:p>
      <w:pPr>
        <w:pStyle w:val="2"/>
        <w:rPr>
          <w:rStyle w:val="33"/>
          <w:rFonts w:hint="default"/>
          <w:b/>
          <w:bCs/>
          <w:color w:val="auto"/>
        </w:rPr>
      </w:pPr>
    </w:p>
    <w:p>
      <w:pPr>
        <w:pStyle w:val="2"/>
        <w:rPr>
          <w:rStyle w:val="33"/>
          <w:rFonts w:hint="default"/>
          <w:b/>
          <w:bCs/>
          <w:color w:val="auto"/>
        </w:rPr>
      </w:pPr>
    </w:p>
    <w:p>
      <w:pPr>
        <w:pStyle w:val="2"/>
        <w:rPr>
          <w:rStyle w:val="33"/>
          <w:rFonts w:hint="default"/>
          <w:b/>
          <w:bCs/>
          <w:color w:val="auto"/>
        </w:rPr>
      </w:pPr>
    </w:p>
    <w:p>
      <w:pPr>
        <w:pStyle w:val="2"/>
        <w:rPr>
          <w:rStyle w:val="33"/>
          <w:rFonts w:hint="default"/>
          <w:b/>
          <w:bCs/>
          <w:color w:val="auto"/>
        </w:rPr>
      </w:pPr>
    </w:p>
    <w:p>
      <w:pPr>
        <w:rPr>
          <w:rStyle w:val="33"/>
          <w:rFonts w:hint="default"/>
          <w:b/>
          <w:bCs/>
          <w:color w:val="auto"/>
        </w:rPr>
      </w:pPr>
    </w:p>
    <w:p>
      <w:pPr>
        <w:pStyle w:val="2"/>
        <w:rPr>
          <w:rStyle w:val="33"/>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2"/>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2"/>
        <w:rPr>
          <w:rFonts w:hint="eastAsia" w:hAnsi="宋体"/>
          <w:b/>
          <w:bCs/>
          <w:szCs w:val="21"/>
        </w:rPr>
      </w:pPr>
    </w:p>
    <w:p>
      <w:pPr>
        <w:rPr>
          <w:rFonts w:hint="eastAsia" w:hAnsi="宋体"/>
          <w:b/>
          <w:bCs/>
          <w:szCs w:val="21"/>
        </w:rPr>
      </w:pPr>
    </w:p>
    <w:p>
      <w:pPr>
        <w:pStyle w:val="2"/>
        <w:rPr>
          <w:rFonts w:hint="eastAsia" w:hAnsi="宋体"/>
          <w:b/>
          <w:bCs/>
          <w:szCs w:val="21"/>
        </w:rPr>
      </w:pPr>
    </w:p>
    <w:p>
      <w:pPr>
        <w:pStyle w:val="2"/>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232"/>
      <w:bookmarkStart w:id="70" w:name="_Toc535241089"/>
      <w:bookmarkStart w:id="71" w:name="_Toc535241135"/>
      <w:bookmarkStart w:id="72" w:name="_Toc535241229"/>
      <w:bookmarkStart w:id="73" w:name="_Toc535241086"/>
      <w:bookmarkStart w:id="74" w:name="_Toc535241132"/>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0"/>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0"/>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300835232"/>
      <w:bookmarkStart w:id="79" w:name="_Toc144974873"/>
      <w:bookmarkStart w:id="80" w:name="_Toc385943079"/>
      <w:bookmarkStart w:id="81" w:name="_Toc152045805"/>
      <w:bookmarkStart w:id="82" w:name="_Toc359594249"/>
      <w:bookmarkStart w:id="83" w:name="_Toc370676440"/>
      <w:bookmarkStart w:id="84" w:name="_Toc391394125"/>
      <w:bookmarkStart w:id="85" w:name="_Toc492300541"/>
      <w:bookmarkStart w:id="86" w:name="_Toc482188668"/>
      <w:bookmarkStart w:id="87" w:name="_Toc384308390"/>
      <w:bookmarkStart w:id="88" w:name="_Toc152042594"/>
      <w:bookmarkStart w:id="89" w:name="_Toc179632825"/>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sz w:val="21"/>
        <w:szCs w:val="21"/>
      </w:rPr>
    </w:pPr>
    <w:r>
      <w:rPr>
        <w:rFonts w:hint="eastAsia" w:ascii="仿宋_GB2312" w:eastAsia="仿宋_GB2312"/>
        <w:sz w:val="21"/>
        <w:szCs w:val="21"/>
      </w:rPr>
      <w:fldChar w:fldCharType="begin"/>
    </w:r>
    <w:r>
      <w:rPr>
        <w:rStyle w:val="23"/>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3"/>
        <w:rFonts w:ascii="仿宋_GB2312" w:eastAsia="仿宋_GB2312"/>
        <w:sz w:val="21"/>
        <w:szCs w:val="21"/>
      </w:rPr>
      <w:t>7</w:t>
    </w:r>
    <w:r>
      <w:rPr>
        <w:rFonts w:hint="eastAsia" w:ascii="仿宋_GB2312" w:eastAsia="仿宋_GB2312"/>
        <w:sz w:val="21"/>
        <w:szCs w:val="21"/>
      </w:rP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Fonts w:ascii="仿宋_GB2312" w:eastAsia="仿宋_GB2312"/>
      </w:rPr>
    </w:pPr>
    <w:r>
      <w:rPr>
        <w:rFonts w:hint="eastAsia" w:ascii="仿宋_GB2312" w:eastAsia="仿宋_GB2312"/>
      </w:rPr>
      <w:fldChar w:fldCharType="begin"/>
    </w:r>
    <w:r>
      <w:rPr>
        <w:rStyle w:val="23"/>
        <w:rFonts w:hint="eastAsia" w:ascii="仿宋_GB2312" w:eastAsia="仿宋_GB2312"/>
      </w:rPr>
      <w:instrText xml:space="preserve">PAGE  </w:instrText>
    </w:r>
    <w:r>
      <w:rPr>
        <w:rFonts w:hint="eastAsia" w:ascii="仿宋_GB2312" w:eastAsia="仿宋_GB2312"/>
      </w:rPr>
      <w:fldChar w:fldCharType="separate"/>
    </w:r>
    <w:r>
      <w:rPr>
        <w:rStyle w:val="23"/>
        <w:rFonts w:ascii="仿宋_GB2312" w:eastAsia="仿宋_GB2312"/>
      </w:rPr>
      <w:t>39</w:t>
    </w:r>
    <w:r>
      <w:rPr>
        <w:rFonts w:hint="eastAsia" w:ascii="仿宋_GB2312" w:eastAsia="仿宋_GB2312"/>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3"/>
      </w:rPr>
    </w:pPr>
    <w:r>
      <w:fldChar w:fldCharType="begin"/>
    </w:r>
    <w:r>
      <w:rPr>
        <w:rStyle w:val="23"/>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D25C764B"/>
    <w:multiLevelType w:val="singleLevel"/>
    <w:tmpl w:val="D25C764B"/>
    <w:lvl w:ilvl="0" w:tentative="0">
      <w:start w:val="1"/>
      <w:numFmt w:val="decimal"/>
      <w:suff w:val="nothing"/>
      <w:lvlText w:val="%1、"/>
      <w:lvlJc w:val="left"/>
    </w:lvl>
  </w:abstractNum>
  <w:abstractNum w:abstractNumId="3">
    <w:nsid w:val="14AF497A"/>
    <w:multiLevelType w:val="singleLevel"/>
    <w:tmpl w:val="14AF497A"/>
    <w:lvl w:ilvl="0" w:tentative="0">
      <w:start w:val="1"/>
      <w:numFmt w:val="chineseCounting"/>
      <w:suff w:val="space"/>
      <w:lvlText w:val="第%1章"/>
      <w:lvlJc w:val="left"/>
      <w:rPr>
        <w:rFonts w:hint="eastAsia"/>
      </w:rPr>
    </w:lvl>
  </w:abstractNum>
  <w:abstractNum w:abstractNumId="4">
    <w:nsid w:val="56F03993"/>
    <w:multiLevelType w:val="singleLevel"/>
    <w:tmpl w:val="56F03993"/>
    <w:lvl w:ilvl="0" w:tentative="0">
      <w:start w:val="1"/>
      <w:numFmt w:val="decimal"/>
      <w:suff w:val="nothing"/>
      <w:lvlText w:val="%1、"/>
      <w:lvlJc w:val="left"/>
    </w:lvl>
  </w:abstractNum>
  <w:abstractNum w:abstractNumId="5">
    <w:nsid w:val="691CE164"/>
    <w:multiLevelType w:val="singleLevel"/>
    <w:tmpl w:val="691CE164"/>
    <w:lvl w:ilvl="0" w:tentative="0">
      <w:start w:val="2"/>
      <w:numFmt w:val="decimal"/>
      <w:suff w:val="nothing"/>
      <w:lvlText w:val="（%1）"/>
      <w:lvlJc w:val="left"/>
    </w:lvl>
  </w:abstractNum>
  <w:abstractNum w:abstractNumId="6">
    <w:nsid w:val="7A55F52D"/>
    <w:multiLevelType w:val="singleLevel"/>
    <w:tmpl w:val="7A55F52D"/>
    <w:lvl w:ilvl="0" w:tentative="0">
      <w:start w:val="1"/>
      <w:numFmt w:val="decimal"/>
      <w:suff w:val="nothing"/>
      <w:lvlText w:val="（%1）"/>
      <w:lvlJc w:val="left"/>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86A0C6A"/>
    <w:rsid w:val="097C7B0E"/>
    <w:rsid w:val="1D535C2D"/>
    <w:rsid w:val="1F232979"/>
    <w:rsid w:val="21476AA8"/>
    <w:rsid w:val="232B619C"/>
    <w:rsid w:val="3DE4476A"/>
    <w:rsid w:val="44F55484"/>
    <w:rsid w:val="51680684"/>
    <w:rsid w:val="530507C0"/>
    <w:rsid w:val="57D231C1"/>
    <w:rsid w:val="6E4F60A8"/>
    <w:rsid w:val="7AC14AF6"/>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qFormat/>
    <w:uiPriority w:val="0"/>
    <w:pPr>
      <w:keepNext/>
      <w:keepLines/>
      <w:outlineLvl w:val="0"/>
    </w:pPr>
    <w:rPr>
      <w:b/>
      <w:bCs w:val="0"/>
      <w:kern w:val="44"/>
      <w:sz w:val="32"/>
      <w:szCs w:val="44"/>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hAnsi="宋体"/>
      <w:bCs/>
      <w:sz w:val="28"/>
      <w:szCs w:val="32"/>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line="360" w:lineRule="auto"/>
      <w:jc w:val="center"/>
    </w:pPr>
    <w:rPr>
      <w:rFonts w:hAnsi="宋体" w:eastAsia="黑体"/>
      <w:bCs/>
      <w:smallCaps/>
      <w:snapToGrid w:val="0"/>
      <w:sz w:val="44"/>
      <w:szCs w:val="24"/>
    </w:rPr>
  </w:style>
  <w:style w:type="paragraph" w:styleId="7">
    <w:name w:val="Plain Text"/>
    <w:basedOn w:val="1"/>
    <w:qFormat/>
    <w:uiPriority w:val="0"/>
    <w:rPr>
      <w:rFonts w:ascii="Courier New" w:hAnsi="Courier New"/>
    </w:rPr>
  </w:style>
  <w:style w:type="paragraph" w:styleId="11">
    <w:name w:val="table of authorities"/>
    <w:basedOn w:val="1"/>
    <w:next w:val="1"/>
    <w:qFormat/>
    <w:uiPriority w:val="0"/>
    <w:pPr>
      <w:ind w:left="420" w:leftChars="200"/>
    </w:pPr>
  </w:style>
  <w:style w:type="paragraph" w:styleId="12">
    <w:name w:val="annotation text"/>
    <w:basedOn w:val="1"/>
    <w:qFormat/>
    <w:uiPriority w:val="0"/>
    <w:pPr>
      <w:jc w:val="left"/>
    </w:pPr>
  </w:style>
  <w:style w:type="paragraph" w:styleId="13">
    <w:name w:val="Body Text"/>
    <w:basedOn w:val="1"/>
    <w:next w:val="14"/>
    <w:qFormat/>
    <w:uiPriority w:val="0"/>
    <w:pPr>
      <w:spacing w:after="120"/>
    </w:pPr>
  </w:style>
  <w:style w:type="paragraph" w:customStyle="1" w:styleId="14">
    <w:name w:val="目录 71"/>
    <w:basedOn w:val="1"/>
    <w:next w:val="1"/>
    <w:qFormat/>
    <w:uiPriority w:val="0"/>
    <w:pPr>
      <w:ind w:left="252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rPr>
  </w:style>
  <w:style w:type="paragraph" w:styleId="18">
    <w:name w:val="toc 2"/>
    <w:basedOn w:val="1"/>
    <w:next w:val="1"/>
    <w:qFormat/>
    <w:uiPriority w:val="39"/>
    <w:pPr>
      <w:ind w:left="210"/>
      <w:jc w:val="left"/>
    </w:pPr>
    <w:rPr>
      <w:rFonts w:ascii="Calibri" w:hAnsi="Calibri" w:cs="Calibri"/>
      <w:smallCaps/>
      <w:sz w:val="20"/>
    </w:rPr>
  </w:style>
  <w:style w:type="paragraph" w:styleId="19">
    <w:name w:val="Body Text First Indent"/>
    <w:basedOn w:val="13"/>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1"/>
    <w:next w:val="10"/>
    <w:qFormat/>
    <w:uiPriority w:val="0"/>
    <w:pPr>
      <w:spacing w:line="360" w:lineRule="auto"/>
      <w:ind w:firstLine="420" w:firstLineChars="200"/>
    </w:pPr>
    <w:rPr>
      <w:rFonts w:hAnsi="宋体"/>
      <w:szCs w:val="21"/>
    </w:rPr>
  </w:style>
  <w:style w:type="paragraph" w:customStyle="1" w:styleId="28">
    <w:name w:val="首行缩进"/>
    <w:basedOn w:val="1"/>
    <w:qFormat/>
    <w:uiPriority w:val="0"/>
    <w:pPr>
      <w:spacing w:line="360" w:lineRule="auto"/>
      <w:ind w:left="210" w:leftChars="100" w:firstLine="420" w:firstLineChars="200"/>
    </w:pPr>
    <w:rPr>
      <w:rFonts w:hAnsi="宋体"/>
      <w:szCs w:val="24"/>
    </w:rPr>
  </w:style>
  <w:style w:type="character" w:customStyle="1" w:styleId="29">
    <w:name w:val="font71"/>
    <w:basedOn w:val="22"/>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0">
    <w:name w:val="font101"/>
    <w:basedOn w:val="22"/>
    <w:qFormat/>
    <w:uiPriority w:val="0"/>
    <w:rPr>
      <w:rFonts w:hint="eastAsia" w:ascii="宋体" w:hAnsi="宋体" w:eastAsia="宋体" w:cs="宋体"/>
      <w:color w:val="000000"/>
      <w:sz w:val="18"/>
      <w:szCs w:val="18"/>
      <w:u w:val="none"/>
    </w:rPr>
  </w:style>
  <w:style w:type="character" w:customStyle="1" w:styleId="31">
    <w:name w:val="font01"/>
    <w:basedOn w:val="22"/>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2">
    <w:name w:val="D&amp;L"/>
    <w:basedOn w:val="16"/>
    <w:qFormat/>
    <w:uiPriority w:val="99"/>
    <w:pPr>
      <w:pBdr>
        <w:bottom w:val="thinThickSmallGap" w:color="auto" w:sz="18" w:space="1"/>
      </w:pBdr>
      <w:adjustRightInd w:val="0"/>
      <w:snapToGrid/>
      <w:spacing w:line="240" w:lineRule="atLeast"/>
      <w:textAlignment w:val="baseline"/>
    </w:pPr>
    <w:rPr>
      <w:sz w:val="24"/>
    </w:rPr>
  </w:style>
  <w:style w:type="character" w:customStyle="1" w:styleId="33">
    <w:name w:val="fontstyle01"/>
    <w:qFormat/>
    <w:uiPriority w:val="0"/>
    <w:rPr>
      <w:rFonts w:hint="eastAsia" w:ascii="宋体" w:hAnsi="宋体" w:eastAsia="宋体"/>
      <w:color w:val="000000"/>
      <w:sz w:val="22"/>
      <w:szCs w:val="22"/>
    </w:rPr>
  </w:style>
  <w:style w:type="paragraph" w:customStyle="1" w:styleId="3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23785</Words>
  <Characters>24916</Characters>
  <Lines>0</Lines>
  <Paragraphs>0</Paragraphs>
  <TotalTime>30</TotalTime>
  <ScaleCrop>false</ScaleCrop>
  <LinksUpToDate>false</LinksUpToDate>
  <CharactersWithSpaces>26201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2023-09-20T07:33:50Z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A7D3A38BDDE24FC9BFD1D097EA5CCB0F_13</vt:lpwstr>
  </property>
</Properties>
</file>