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城隍庙街区高压预防性试验检测项目</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项目编号：2023GW002</w:t>
      </w:r>
      <w:r>
        <w:rPr>
          <w:rFonts w:hint="eastAsia" w:hAnsi="DotumChe" w:cs="宋体"/>
          <w:b/>
          <w:spacing w:val="20"/>
          <w:kern w:val="0"/>
          <w:sz w:val="32"/>
          <w:szCs w:val="32"/>
          <w:highlight w:val="none"/>
          <w:u w:val="none"/>
          <w:lang w:val="en-US" w:eastAsia="zh-CN"/>
        </w:rPr>
        <w:t xml:space="preserve">8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10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32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34</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40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41</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城隍庙街区高压预防性试验检测项目</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1.项目编号：2023GW0028</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城隍庙街区高压预防性试验检测项目</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选择一家单位对城隍庙街区高压配电房完成高压预防性试验一次，配电房位于城隍庙街区大庙东侧百味园内，于2015年启用，主体为地上式独立建筑，GCS柜柜型。配电房主用电源：接大西门变32#开关线路蒙城路17#杆“T”接，备用电源：接东怡变32#开关线路霍邱路03#杆“T”接；设计总安装容量5950KVA。配电房设备设施情况：室内干式变压器5台（1600KVA两台；1250KVA两台、250KVA一台）、出线柜6台、PT柜2台、隔离柜1台、电容柜7台、低压柜17台。</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1.5万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投标人须具备以下资质：具有投标人具有承装（修、试）电力设施许可证，其中承装、承修和承试类均为四级及以上</w:t>
      </w:r>
      <w:r>
        <w:rPr>
          <w:rFonts w:hint="eastAsia" w:hAnsi="宋体"/>
          <w:sz w:val="24"/>
          <w:szCs w:val="18"/>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eastAsia="宋体"/>
          <w:highlight w:val="none"/>
          <w:lang w:val="en-US" w:eastAsia="zh-CN"/>
        </w:rPr>
      </w:pPr>
      <w:r>
        <w:rPr>
          <w:rFonts w:hint="eastAsia" w:hAnsi="宋体"/>
          <w:sz w:val="24"/>
          <w:szCs w:val="18"/>
          <w:highlight w:val="none"/>
          <w:u w:val="none"/>
          <w:lang w:val="en-US" w:eastAsia="zh-CN"/>
        </w:rPr>
        <w:t>3.人员配备：</w:t>
      </w:r>
      <w:r>
        <w:rPr>
          <w:rFonts w:hint="eastAsia" w:ascii="宋体" w:hAnsi="宋体" w:eastAsia="宋体" w:cs="宋体"/>
          <w:b w:val="0"/>
          <w:bCs/>
          <w:sz w:val="24"/>
          <w:szCs w:val="24"/>
          <w:highlight w:val="none"/>
          <w:lang w:val="en-US" w:eastAsia="zh-CN"/>
        </w:rPr>
        <w:t>不少于2人</w:t>
      </w:r>
      <w:r>
        <w:rPr>
          <w:rFonts w:hint="eastAsia" w:hAnsi="宋体"/>
          <w:sz w:val="24"/>
          <w:szCs w:val="18"/>
          <w:highlight w:val="none"/>
          <w:u w:val="none"/>
          <w:lang w:val="en-US" w:eastAsia="zh-CN"/>
        </w:rPr>
        <w:t>具有高压电工作业证特种作业操作证；并提供以上人员距响应文件提交截止时间前近三个月任意一个月社保证明材料；</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4</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5</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26</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17:20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17:20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17:20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1.投标文件由投标人在响应文件递交截止时间前密封递交；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2.本项目仅接受线下凭授权委托书或法人身份证明文件现场递交，不接受邮寄等其他递交方式；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3.递交时须另行单独提交以下证明材料，否则招标人不予接收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（1）法定代表人亲自递交的，应提供法定代表人身份证明和法定代表人的有效身份证件；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widowControl/>
              <w:spacing w:line="360" w:lineRule="auto"/>
              <w:ind w:firstLine="480" w:firstLineChars="200"/>
              <w:rPr>
                <w:rFonts w:hint="eastAsia"/>
                <w:color w:val="auto"/>
                <w:szCs w:val="24"/>
                <w:highlight w:val="none"/>
                <w:u w:val="single"/>
              </w:rPr>
            </w:pPr>
            <w:r>
              <w:rPr>
                <w:rFonts w:hint="eastAsia"/>
                <w:color w:val="auto"/>
                <w:szCs w:val="24"/>
                <w:highlight w:val="none"/>
                <w:u w:val="single"/>
              </w:rPr>
              <w:t>本项目服务期为：合同签订之日起一年。高压预防性试验须在202</w:t>
            </w:r>
            <w:r>
              <w:rPr>
                <w:rFonts w:hint="eastAsia"/>
                <w:color w:val="auto"/>
                <w:szCs w:val="24"/>
                <w:highlight w:val="none"/>
                <w:u w:val="single"/>
                <w:lang w:val="en-US" w:eastAsia="zh-CN"/>
              </w:rPr>
              <w:t>4</w:t>
            </w:r>
            <w:r>
              <w:rPr>
                <w:rFonts w:hint="eastAsia"/>
                <w:color w:val="auto"/>
                <w:szCs w:val="24"/>
                <w:highlight w:val="none"/>
                <w:u w:val="single"/>
              </w:rPr>
              <w:t>年1月之前完成，报告须在完成试验后的15天之内出具。</w:t>
            </w:r>
          </w:p>
          <w:p>
            <w:pPr>
              <w:pStyle w:val="2"/>
              <w:rPr>
                <w:rFonts w:hint="eastAsia"/>
                <w:highlight w:val="none"/>
              </w:rPr>
            </w:pPr>
            <w:r>
              <w:rPr>
                <w:rFonts w:hint="eastAsia"/>
                <w:highlight w:val="none"/>
              </w:rPr>
              <w:t>自合同生效之日起一年。如乙方履约良好，合同到期前，经双方协商无异议，可续签一年，最多申报2次。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8"/>
              <w:ind w:left="0" w:leftChars="0" w:firstLine="0" w:firstLineChars="0"/>
              <w:rPr>
                <w:rFonts w:hint="default" w:eastAsia="宋体"/>
                <w:highlight w:val="none"/>
                <w:lang w:val="en-US" w:eastAsia="zh-CN"/>
              </w:rPr>
            </w:pPr>
            <w:r>
              <w:rPr>
                <w:rFonts w:hint="eastAsia"/>
                <w:szCs w:val="24"/>
                <w:highlight w:val="none"/>
                <w:lang w:val="en-US" w:eastAsia="zh-CN"/>
              </w:rPr>
              <w:t>项目现场负责人： 聂工 联系方式：</w:t>
            </w:r>
            <w:r>
              <w:rPr>
                <w:rFonts w:hint="eastAsia"/>
                <w:szCs w:val="24"/>
                <w:highlight w:val="none"/>
                <w:u w:val="single"/>
                <w:lang w:val="en-US" w:eastAsia="zh-CN"/>
              </w:rPr>
              <w:t xml:space="preserve"> 15056012925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10</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1.5万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6"/>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4"/>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226994"/>
      <w:bookmarkStart w:id="6" w:name="_Toc460660067"/>
      <w:bookmarkStart w:id="7" w:name="_Toc184635071"/>
      <w:bookmarkStart w:id="8" w:name="_Toc460226725"/>
    </w:p>
    <w:bookmarkEnd w:id="5"/>
    <w:bookmarkEnd w:id="6"/>
    <w:bookmarkEnd w:id="7"/>
    <w:bookmarkEnd w:id="8"/>
    <w:p>
      <w:pPr>
        <w:pStyle w:val="5"/>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7"/>
        <w:spacing w:line="500" w:lineRule="exact"/>
        <w:jc w:val="both"/>
        <w:rPr>
          <w:rFonts w:hint="eastAsia" w:hAnsi="宋体"/>
          <w:sz w:val="28"/>
          <w:highlight w:val="none"/>
        </w:rPr>
      </w:pPr>
      <w:bookmarkStart w:id="10" w:name="_Hlt509649722"/>
      <w:bookmarkEnd w:id="10"/>
      <w:bookmarkStart w:id="11" w:name="_Hlt526418143"/>
      <w:bookmarkEnd w:id="11"/>
      <w:bookmarkStart w:id="12" w:name="_Hlt509650955"/>
      <w:bookmarkEnd w:id="12"/>
      <w:bookmarkStart w:id="13" w:name="_Hlt509649998"/>
      <w:bookmarkEnd w:id="13"/>
      <w:bookmarkStart w:id="14" w:name="_Hlt509650686"/>
      <w:bookmarkEnd w:id="14"/>
      <w:bookmarkStart w:id="15" w:name="_Hlt509650126"/>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7"/>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7"/>
        <w:spacing w:line="500" w:lineRule="exact"/>
        <w:jc w:val="both"/>
        <w:rPr>
          <w:rFonts w:hint="eastAsia" w:hAnsi="宋体"/>
          <w:sz w:val="28"/>
          <w:highlight w:val="none"/>
        </w:rPr>
      </w:pPr>
      <w:bookmarkStart w:id="23" w:name="_Hlt509649724"/>
      <w:bookmarkEnd w:id="23"/>
      <w:bookmarkStart w:id="24" w:name="_Hlt510342861"/>
      <w:bookmarkEnd w:id="24"/>
      <w:bookmarkStart w:id="25" w:name="_Hlt509650697"/>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5"/>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7"/>
        <w:spacing w:line="360" w:lineRule="auto"/>
        <w:ind w:firstLine="628"/>
        <w:jc w:val="both"/>
        <w:rPr>
          <w:rFonts w:hint="eastAsia" w:hAnsi="宋体"/>
          <w:sz w:val="28"/>
          <w:highlight w:val="none"/>
        </w:rPr>
      </w:pPr>
      <w:bookmarkStart w:id="28" w:name="_Hlt509650572"/>
      <w:bookmarkEnd w:id="28"/>
      <w:bookmarkStart w:id="29" w:name="_Hlt509649294"/>
      <w:bookmarkEnd w:id="29"/>
      <w:bookmarkStart w:id="30" w:name="_Toc522466826"/>
      <w:bookmarkStart w:id="31" w:name="_Toc50128752"/>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7"/>
        <w:spacing w:line="360" w:lineRule="auto"/>
        <w:ind w:firstLine="628"/>
        <w:jc w:val="both"/>
        <w:rPr>
          <w:rFonts w:hint="eastAsia" w:hAnsi="宋体" w:eastAsia="黑体"/>
          <w:sz w:val="28"/>
          <w:highlight w:val="none"/>
          <w:lang w:eastAsia="zh-CN"/>
        </w:rPr>
      </w:pPr>
      <w:bookmarkStart w:id="33" w:name="_Toc459990140"/>
      <w:bookmarkStart w:id="34" w:name="_Toc522466827"/>
      <w:bookmarkStart w:id="35" w:name="_Toc50128753"/>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7"/>
        <w:spacing w:line="360" w:lineRule="auto"/>
        <w:ind w:firstLine="628"/>
        <w:jc w:val="both"/>
        <w:rPr>
          <w:rFonts w:hint="eastAsia" w:hAnsi="宋体"/>
          <w:sz w:val="28"/>
          <w:highlight w:val="none"/>
        </w:rPr>
      </w:pPr>
      <w:bookmarkStart w:id="36" w:name="_Toc522466828"/>
      <w:bookmarkStart w:id="37" w:name="_Toc50128754"/>
      <w:bookmarkStart w:id="38" w:name="_Toc460487454"/>
      <w:bookmarkStart w:id="39" w:name="_Toc477793061"/>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27.5.1.5投标人之间为谋取中标或者排斥特定投标人而采取的其他联合行动。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numPr>
          <w:ilvl w:val="0"/>
          <w:numId w:val="0"/>
        </w:numPr>
        <w:tabs>
          <w:tab w:val="left" w:pos="6720"/>
        </w:tabs>
        <w:spacing w:line="360" w:lineRule="auto"/>
        <w:ind w:left="-62" w:leftChars="0" w:firstLine="482" w:firstLineChars="0"/>
        <w:rPr>
          <w:rFonts w:hint="eastAsia" w:ascii="宋体" w:hAnsi="宋体" w:eastAsia="宋体" w:cs="宋体"/>
          <w:b/>
          <w:sz w:val="24"/>
          <w:szCs w:val="24"/>
          <w:highlight w:val="none"/>
          <w:lang w:val="en-US" w:eastAsia="zh-CN"/>
        </w:rPr>
      </w:pPr>
      <w:bookmarkStart w:id="41" w:name="_Toc63412030"/>
      <w:bookmarkStart w:id="42" w:name="_Toc38879335"/>
      <w:r>
        <w:rPr>
          <w:rFonts w:hint="eastAsia" w:ascii="宋体" w:hAnsi="宋体" w:eastAsia="宋体" w:cs="宋体"/>
          <w:b/>
          <w:sz w:val="24"/>
          <w:szCs w:val="24"/>
          <w:highlight w:val="none"/>
          <w:lang w:val="en-US" w:eastAsia="zh-CN" w:bidi="ar-SA"/>
        </w:rPr>
        <w:t>一、</w:t>
      </w:r>
      <w:r>
        <w:rPr>
          <w:rFonts w:hint="eastAsia" w:ascii="宋体" w:hAnsi="宋体" w:eastAsia="宋体" w:cs="宋体"/>
          <w:b/>
          <w:sz w:val="24"/>
          <w:szCs w:val="24"/>
          <w:highlight w:val="none"/>
          <w:lang w:val="en-US" w:eastAsia="zh-CN"/>
        </w:rPr>
        <w:t>配电房基本情况</w:t>
      </w:r>
    </w:p>
    <w:p>
      <w:pPr>
        <w:widowControl/>
        <w:numPr>
          <w:ilvl w:val="0"/>
          <w:numId w:val="0"/>
        </w:numPr>
        <w:tabs>
          <w:tab w:val="left" w:pos="6720"/>
        </w:tabs>
        <w:spacing w:line="360" w:lineRule="auto"/>
        <w:ind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对城隍庙街区高压配电房完成高压预防性试验一次</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位置：位于城隍庙街区大庙东侧百味园内。</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配电房启用时间：2015年</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主体为地上式独立建筑</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3、配电房柜型：GCS柜。</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4、配电</w:t>
      </w:r>
      <w:r>
        <w:rPr>
          <w:rFonts w:hint="eastAsia" w:ascii="宋体" w:hAnsi="宋体" w:eastAsia="宋体" w:cs="宋体"/>
          <w:b w:val="0"/>
          <w:bCs/>
          <w:sz w:val="24"/>
          <w:szCs w:val="24"/>
          <w:highlight w:val="none"/>
          <w:lang w:val="en-US" w:eastAsia="zh-CN"/>
        </w:rPr>
        <w:t>房电源：</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主用电源，接大西门变32#开关线路蒙城路17#杆“T”接</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备用电源，接东怡变32#开关线路霍邱路03#杆“T”接</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设计总安装容量：5950KVA</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en-US" w:eastAsia="zh-CN"/>
        </w:rPr>
        <w:t>配电房设备设施情况：</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室内干式变压器</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台（1600KVA两台；1250KVA两台、250KVA一台）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出线柜</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PT柜2台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en-US" w:eastAsia="zh-CN"/>
        </w:rPr>
        <w:t>隔离柜</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电容柜</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低压柜</w:t>
      </w:r>
      <w:r>
        <w:rPr>
          <w:rFonts w:hint="eastAsia" w:ascii="宋体" w:hAnsi="宋体" w:cs="宋体"/>
          <w:b w:val="0"/>
          <w:bCs/>
          <w:sz w:val="24"/>
          <w:szCs w:val="24"/>
          <w:highlight w:val="none"/>
          <w:lang w:val="en-US" w:eastAsia="zh-CN"/>
        </w:rPr>
        <w:t>17</w:t>
      </w:r>
      <w:r>
        <w:rPr>
          <w:rFonts w:hint="eastAsia" w:ascii="宋体" w:hAnsi="宋体" w:eastAsia="宋体" w:cs="宋体"/>
          <w:b w:val="0"/>
          <w:bCs/>
          <w:sz w:val="24"/>
          <w:szCs w:val="24"/>
          <w:highlight w:val="none"/>
          <w:lang w:val="en-US" w:eastAsia="zh-CN"/>
        </w:rPr>
        <w:t>台。</w:t>
      </w:r>
    </w:p>
    <w:p>
      <w:pPr>
        <w:widowControl/>
        <w:spacing w:line="360" w:lineRule="auto"/>
        <w:ind w:firstLine="482" w:firstLineChars="200"/>
        <w:rPr>
          <w:rFonts w:ascii="宋体" w:hAnsi="宋体" w:eastAsia="宋体" w:cs="宋体"/>
          <w:b w:val="0"/>
          <w:bCs/>
          <w:sz w:val="24"/>
          <w:szCs w:val="24"/>
          <w:highlight w:val="none"/>
        </w:rPr>
      </w:pP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rPr>
        <w:t>项目预算：</w:t>
      </w:r>
      <w:r>
        <w:rPr>
          <w:rFonts w:hint="eastAsia" w:ascii="宋体" w:hAnsi="宋体" w:cs="宋体"/>
          <w:b w:val="0"/>
          <w:bCs/>
          <w:sz w:val="24"/>
          <w:szCs w:val="24"/>
          <w:highlight w:val="none"/>
          <w:lang w:val="en-US" w:eastAsia="zh-CN"/>
        </w:rPr>
        <w:t>1.5</w:t>
      </w:r>
      <w:r>
        <w:rPr>
          <w:rFonts w:hint="eastAsia" w:ascii="宋体" w:hAnsi="宋体" w:eastAsia="宋体" w:cs="宋体"/>
          <w:b w:val="0"/>
          <w:bCs/>
          <w:sz w:val="24"/>
          <w:szCs w:val="24"/>
          <w:highlight w:val="none"/>
        </w:rPr>
        <w:t>万元。</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三、项目报价方式</w:t>
      </w:r>
    </w:p>
    <w:p>
      <w:pPr>
        <w:widowControl/>
        <w:tabs>
          <w:tab w:val="left" w:pos="6720"/>
        </w:tabs>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本项目采用总价报价，报价包含完成本项目所产生的一切费用，投标人报价时综合考虑报价风险。报价须包含（但不仅限于）项目的人工费、</w:t>
      </w:r>
      <w:r>
        <w:rPr>
          <w:rFonts w:hint="eastAsia" w:ascii="宋体" w:hAnsi="宋体" w:cs="宋体"/>
          <w:b w:val="0"/>
          <w:bCs/>
          <w:sz w:val="24"/>
          <w:szCs w:val="24"/>
          <w:highlight w:val="none"/>
          <w:lang w:val="en-US" w:eastAsia="zh-CN"/>
        </w:rPr>
        <w:t>材料费、安装费、</w:t>
      </w:r>
      <w:r>
        <w:rPr>
          <w:rFonts w:hint="eastAsia" w:ascii="宋体" w:hAnsi="宋体" w:eastAsia="宋体" w:cs="宋体"/>
          <w:b w:val="0"/>
          <w:bCs/>
          <w:sz w:val="24"/>
          <w:szCs w:val="24"/>
          <w:highlight w:val="none"/>
          <w:lang w:val="en-US" w:eastAsia="zh-CN"/>
        </w:rPr>
        <w:t>运输费、机械费、管理费、保险费、维护保养费、</w:t>
      </w:r>
      <w:r>
        <w:rPr>
          <w:rFonts w:hint="eastAsia" w:ascii="宋体" w:hAnsi="宋体" w:cs="宋体"/>
          <w:b w:val="0"/>
          <w:bCs/>
          <w:sz w:val="24"/>
          <w:szCs w:val="24"/>
          <w:highlight w:val="none"/>
          <w:lang w:val="en-US" w:eastAsia="zh-CN"/>
        </w:rPr>
        <w:t>维修费、安全措施费、耗材费、工具及使用费、高空作业费、</w:t>
      </w:r>
      <w:r>
        <w:rPr>
          <w:rFonts w:hint="eastAsia" w:ascii="宋体" w:hAnsi="宋体" w:cs="宋体"/>
          <w:b w:val="0"/>
          <w:bCs/>
          <w:color w:val="auto"/>
          <w:sz w:val="24"/>
          <w:szCs w:val="24"/>
          <w:highlight w:val="none"/>
          <w:lang w:val="en-US" w:eastAsia="zh-CN"/>
        </w:rPr>
        <w:t>年检费、场地清理费、垃圾清运费(包括临时生产设施)、</w:t>
      </w:r>
      <w:r>
        <w:rPr>
          <w:rFonts w:hint="eastAsia" w:ascii="宋体" w:hAnsi="宋体" w:eastAsia="宋体" w:cs="宋体"/>
          <w:b w:val="0"/>
          <w:bCs/>
          <w:sz w:val="24"/>
          <w:szCs w:val="24"/>
          <w:highlight w:val="none"/>
          <w:lang w:val="en-US" w:eastAsia="zh-CN"/>
        </w:rPr>
        <w:t>利润、规费、税费及一定范围内的风险等为完成本项目全部费用。试验所需电源由成交人自行解决</w:t>
      </w:r>
      <w:r>
        <w:rPr>
          <w:rFonts w:hint="eastAsia" w:ascii="宋体" w:hAnsi="宋体" w:eastAsia="宋体" w:cs="宋体"/>
          <w:b/>
          <w:bCs w:val="0"/>
          <w:sz w:val="24"/>
          <w:szCs w:val="24"/>
          <w:highlight w:val="none"/>
          <w:lang w:val="en-US" w:eastAsia="zh-CN"/>
        </w:rPr>
        <w:t>。投标人报价不得超过项目预算价，否则做无效标处理。</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四、服务期限</w:t>
      </w:r>
    </w:p>
    <w:p>
      <w:pPr>
        <w:widowControl/>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本项目服务期为：合同签订之日起一年。</w:t>
      </w:r>
    </w:p>
    <w:p>
      <w:pPr>
        <w:widowControl/>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高压预防性</w:t>
      </w:r>
      <w:r>
        <w:rPr>
          <w:rFonts w:hint="eastAsia" w:ascii="宋体" w:hAnsi="宋体" w:cs="宋体"/>
          <w:b w:val="0"/>
          <w:bCs/>
          <w:sz w:val="24"/>
          <w:szCs w:val="24"/>
          <w:highlight w:val="none"/>
          <w:lang w:val="en-US" w:eastAsia="zh-CN"/>
        </w:rPr>
        <w:t>试验须在202</w:t>
      </w:r>
      <w:r>
        <w:rPr>
          <w:rFonts w:hint="eastAsia" w:hAnsi="宋体" w:cs="宋体"/>
          <w:b w:val="0"/>
          <w:bCs/>
          <w:sz w:val="24"/>
          <w:szCs w:val="24"/>
          <w:highlight w:val="none"/>
          <w:lang w:val="en-US" w:eastAsia="zh-CN"/>
        </w:rPr>
        <w:t>4</w:t>
      </w:r>
      <w:r>
        <w:rPr>
          <w:rFonts w:hint="eastAsia" w:ascii="宋体" w:hAnsi="宋体" w:cs="宋体"/>
          <w:b w:val="0"/>
          <w:bCs/>
          <w:sz w:val="24"/>
          <w:szCs w:val="24"/>
          <w:highlight w:val="none"/>
          <w:lang w:val="en-US" w:eastAsia="zh-CN"/>
        </w:rPr>
        <w:t>年1月之前完成，报告须在完成试验后的15天之内出具。</w:t>
      </w:r>
    </w:p>
    <w:p>
      <w:pPr>
        <w:widowControl/>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自合同生效之日起一年。如乙方履约良好，合同到期前，经双方协商无异议，可续签一年，最多申报2次。</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五、</w:t>
      </w:r>
      <w:r>
        <w:rPr>
          <w:rFonts w:hint="eastAsia" w:ascii="宋体" w:hAnsi="宋体" w:eastAsia="宋体" w:cs="宋体"/>
          <w:b/>
          <w:sz w:val="24"/>
          <w:szCs w:val="24"/>
          <w:highlight w:val="none"/>
          <w:lang w:val="en-US" w:eastAsia="zh-CN"/>
        </w:rPr>
        <w:t>付款方式</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中标人在完成全部预防性试验项目后，提交招标人试验报告（由国家电力部门认可的）招标人核对无误后，在服务期满后一次性支付合同价款</w:t>
      </w:r>
      <w:r>
        <w:rPr>
          <w:rFonts w:hint="eastAsia" w:ascii="宋体" w:hAnsi="宋体" w:eastAsia="宋体" w:cs="宋体"/>
          <w:b w:val="0"/>
          <w:bCs/>
          <w:sz w:val="24"/>
          <w:szCs w:val="24"/>
          <w:highlight w:val="none"/>
          <w:lang w:val="en-US" w:eastAsia="zh-CN"/>
        </w:rPr>
        <w:t>。</w:t>
      </w:r>
    </w:p>
    <w:p>
      <w:pPr>
        <w:widowControl/>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六、项目需求</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人员要求</w:t>
      </w:r>
    </w:p>
    <w:p>
      <w:pPr>
        <w:widowControl/>
        <w:spacing w:line="360" w:lineRule="auto"/>
        <w:ind w:firstLine="480" w:firstLineChars="200"/>
        <w:rPr>
          <w:rFonts w:hint="eastAsia"/>
          <w:highlight w:val="none"/>
          <w:lang w:val="en-US" w:eastAsia="zh-CN"/>
        </w:rPr>
      </w:pPr>
      <w:r>
        <w:rPr>
          <w:rFonts w:hint="eastAsia" w:ascii="宋体" w:hAnsi="宋体" w:eastAsia="宋体" w:cs="宋体"/>
          <w:b w:val="0"/>
          <w:bCs/>
          <w:sz w:val="24"/>
          <w:szCs w:val="24"/>
          <w:highlight w:val="none"/>
          <w:lang w:val="en-US" w:eastAsia="zh-CN"/>
        </w:rPr>
        <w:t>人员配备（含项目负责人）不少于2人</w:t>
      </w:r>
      <w:r>
        <w:rPr>
          <w:rFonts w:hint="eastAsia" w:ascii="宋体" w:hAnsi="宋体" w:cs="宋体"/>
          <w:b w:val="0"/>
          <w:bCs/>
          <w:sz w:val="24"/>
          <w:szCs w:val="24"/>
          <w:highlight w:val="none"/>
          <w:lang w:val="en-US" w:eastAsia="zh-CN"/>
        </w:rPr>
        <w:t>，均须持有</w:t>
      </w:r>
      <w:r>
        <w:rPr>
          <w:rFonts w:hint="eastAsia" w:hAnsi="宋体"/>
          <w:sz w:val="24"/>
          <w:szCs w:val="18"/>
          <w:highlight w:val="none"/>
          <w:u w:val="none"/>
          <w:lang w:val="en-US" w:eastAsia="zh-CN"/>
        </w:rPr>
        <w:t>高压电工作业证特种作业操作证；并提供以上人员距响应文件提交截止时间前近三个月任意一个月社保证明材料。</w:t>
      </w:r>
    </w:p>
    <w:p>
      <w:pPr>
        <w:widowControl/>
        <w:spacing w:line="360" w:lineRule="auto"/>
        <w:ind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w:t>
      </w:r>
      <w:r>
        <w:rPr>
          <w:rFonts w:hint="eastAsia" w:ascii="宋体" w:hAnsi="宋体" w:cs="宋体"/>
          <w:b w:val="0"/>
          <w:bCs/>
          <w:sz w:val="24"/>
          <w:szCs w:val="24"/>
          <w:highlight w:val="none"/>
          <w:lang w:val="en-US" w:eastAsia="zh-CN"/>
        </w:rPr>
        <w:t>服务内容</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highlight w:val="none"/>
          <w:lang w:val="en-US" w:eastAsia="zh-CN"/>
        </w:rPr>
        <w:t>（1）指派一人（需持有高压电工操作证）为现场管理代表，保证24小时可以有效联系，负责履行合同期间的相关工作，保证负责工作期间的质量、安全等</w:t>
      </w:r>
      <w:r>
        <w:rPr>
          <w:rFonts w:hint="eastAsia" w:ascii="宋体" w:hAnsi="宋体" w:cs="宋体"/>
          <w:b w:val="0"/>
          <w:bCs/>
          <w:sz w:val="24"/>
          <w:szCs w:val="24"/>
          <w:lang w:val="en-US" w:eastAsia="zh-CN"/>
        </w:rPr>
        <w:t>相关事宜。</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2、工作开展前提供试验维护及检查方案，依照方案定期对现场配电房的设备设施检查，保证合同有效期内项目现场配电房设备设施的</w:t>
      </w:r>
      <w:r>
        <w:rPr>
          <w:rFonts w:hint="eastAsia" w:cs="宋体"/>
          <w:b w:val="0"/>
          <w:bCs/>
          <w:sz w:val="24"/>
          <w:szCs w:val="24"/>
          <w:u w:val="none"/>
          <w:lang w:val="en-US" w:eastAsia="zh-CN"/>
        </w:rPr>
        <w:t>安全运作及正常使用，</w:t>
      </w:r>
      <w:r>
        <w:rPr>
          <w:rFonts w:hint="eastAsia" w:cs="宋体"/>
          <w:b w:val="0"/>
          <w:bCs/>
          <w:sz w:val="24"/>
          <w:szCs w:val="24"/>
          <w:lang w:val="en-US" w:eastAsia="zh-CN"/>
        </w:rPr>
        <w:t>检查项目包括不限于：</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（1）变压器运行情况变压器风机是否能运行；</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（2）变压器柜内温感探测器是否正常；</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（3）电容柜控制面板及柜内电容及柜内其余零部件的情况；</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（4）高压柜中电源、空开等零部件运行情况；</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（5）其余柜体是否变形、其余柜体接地是否正常；电压电流显示器是否正常；指示灯是否正常；进出车是否顺畅、卡壳；</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（6）配电房内是否存在安全隐患；</w:t>
      </w:r>
    </w:p>
    <w:p>
      <w:pPr>
        <w:pStyle w:val="28"/>
        <w:ind w:left="0" w:leftChars="0" w:firstLine="480" w:firstLineChars="200"/>
        <w:rPr>
          <w:rFonts w:hint="default" w:cs="宋体"/>
          <w:b w:val="0"/>
          <w:bCs/>
          <w:sz w:val="24"/>
          <w:szCs w:val="24"/>
          <w:lang w:val="en-US" w:eastAsia="zh-CN"/>
        </w:rPr>
      </w:pPr>
      <w:r>
        <w:rPr>
          <w:rFonts w:hint="eastAsia" w:cs="宋体"/>
          <w:b w:val="0"/>
          <w:bCs/>
          <w:sz w:val="24"/>
          <w:szCs w:val="24"/>
          <w:lang w:val="en-US" w:eastAsia="zh-CN"/>
        </w:rPr>
        <w:t>（7）配电房相关辅助工具、基础工具、操作杆、钥匙等物是否齐全。</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3、现场出现问题时，能安排有操作资质及经验的人员对问题进行排查并提出合理处理意见，配合项目现场电工做好应急处理及后相关维修工作。</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4、合同有效期内，能于2023年底对现场配电房设备设施做一次维护工作，对必要设备设施进行检测出具相关检验报告，内容包括：</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（1）变压器直流电阻，绝缘电阻，铁芯绝缘电阻，耐压试验，维保；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（2）出线柜回路电阻，绝缘电阻，耐压试验，继电保护测试，维保；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（3）PT柜绝缘电阻，耐压试验、维保；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（6）低压柜绝缘电阻、红外检测、维保；</w:t>
      </w:r>
    </w:p>
    <w:p>
      <w:pPr>
        <w:pStyle w:val="28"/>
        <w:ind w:left="0" w:leftChars="0" w:firstLine="480" w:firstLineChars="200"/>
        <w:rPr>
          <w:rFonts w:hint="default" w:cs="宋体"/>
          <w:b w:val="0"/>
          <w:bCs/>
          <w:sz w:val="24"/>
          <w:szCs w:val="24"/>
          <w:lang w:val="en-US" w:eastAsia="zh-CN"/>
        </w:rPr>
      </w:pPr>
      <w:r>
        <w:rPr>
          <w:rFonts w:hint="eastAsia" w:cs="宋体"/>
          <w:b w:val="0"/>
          <w:bCs/>
          <w:sz w:val="24"/>
          <w:szCs w:val="24"/>
          <w:lang w:val="en-US" w:eastAsia="zh-CN"/>
        </w:rPr>
        <w:t>（8）验电笔、绝缘垫、接地杆一年一检。</w:t>
      </w:r>
    </w:p>
    <w:p>
      <w:pPr>
        <w:pStyle w:val="28"/>
        <w:numPr>
          <w:ilvl w:val="0"/>
          <w:numId w:val="3"/>
        </w:numPr>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项目现场出现紧急情况(全场停电、重大安全问题等）时，能第一时间安排技术人员到达现场配合甲方，原则一小时到达现场，如发生交通堵塞、交通管制需提前告知。</w:t>
      </w:r>
    </w:p>
    <w:p>
      <w:pPr>
        <w:pStyle w:val="28"/>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default" w:cs="宋体"/>
          <w:b w:val="0"/>
          <w:bCs/>
          <w:sz w:val="24"/>
          <w:szCs w:val="24"/>
          <w:lang w:val="en-US" w:eastAsia="zh-CN"/>
        </w:rPr>
      </w:pPr>
      <w:r>
        <w:rPr>
          <w:rFonts w:hint="eastAsia" w:cs="宋体"/>
          <w:b w:val="0"/>
          <w:bCs/>
          <w:sz w:val="24"/>
          <w:szCs w:val="24"/>
          <w:lang w:val="en-US" w:eastAsia="zh-CN"/>
        </w:rPr>
        <w:t>服务质量标准：</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（1）须达到国家电力行业相关标准，同时满足甲方要求，能合格通过验收。</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（2）试验完成后，向甲方出具由国家电力部门认可的合格试验报告。</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cs="宋体"/>
          <w:b w:val="0"/>
          <w:bCs/>
          <w:sz w:val="24"/>
          <w:szCs w:val="24"/>
          <w:lang w:val="en-US" w:eastAsia="zh-CN"/>
        </w:rPr>
      </w:pPr>
      <w:r>
        <w:rPr>
          <w:rFonts w:hint="eastAsia" w:cs="宋体"/>
          <w:b w:val="0"/>
          <w:bCs/>
          <w:sz w:val="24"/>
          <w:szCs w:val="24"/>
          <w:lang w:val="en-US" w:eastAsia="zh-CN"/>
        </w:rPr>
        <w:t>（3）试验报告需合法有效，且内容完整、准确，能真实翻译设备现有状。</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（4）操作所需的停电时间，由甲乙双方根据项目实际运营情况协商决定。</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（5）现场停电需按照国家规范，乙方需填写电气作业票交由甲方保管存档</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cs="宋体"/>
          <w:b w:val="0"/>
          <w:bCs/>
          <w:sz w:val="24"/>
          <w:szCs w:val="24"/>
          <w:highlight w:val="none"/>
          <w:lang w:val="en-US" w:eastAsia="zh-CN"/>
        </w:rPr>
      </w:pPr>
      <w:r>
        <w:rPr>
          <w:rFonts w:hint="eastAsia" w:cs="宋体"/>
          <w:b w:val="0"/>
          <w:bCs/>
          <w:sz w:val="24"/>
          <w:szCs w:val="24"/>
          <w:highlight w:val="none"/>
          <w:lang w:val="en-US" w:eastAsia="zh-CN"/>
        </w:rPr>
        <w:t>7、服务期内根据招标人指定时间，完成一次高压性预防试验，具体试验内容及方法执行《DLT 596-2021 电力设备预防性试验规程要求》</w:t>
      </w:r>
    </w:p>
    <w:p>
      <w:pPr>
        <w:widowControl/>
        <w:spacing w:line="360" w:lineRule="auto"/>
        <w:ind w:firstLine="482" w:firstLineChars="200"/>
        <w:rPr>
          <w:rFonts w:hint="eastAsia" w:ascii="宋体" w:hAnsi="宋体" w:eastAsia="宋体" w:cs="宋体"/>
          <w:b/>
          <w:bCs w:val="0"/>
          <w:sz w:val="24"/>
          <w:szCs w:val="24"/>
          <w:lang w:val="en-US" w:eastAsia="zh-CN"/>
        </w:rPr>
      </w:pPr>
      <w:bookmarkStart w:id="43" w:name="_Toc2314"/>
      <w:r>
        <w:rPr>
          <w:rFonts w:hint="eastAsia" w:ascii="宋体" w:hAnsi="宋体" w:eastAsia="宋体" w:cs="宋体"/>
          <w:b/>
          <w:bCs w:val="0"/>
          <w:sz w:val="24"/>
          <w:szCs w:val="24"/>
          <w:lang w:val="en-US" w:eastAsia="zh-CN"/>
        </w:rPr>
        <w:t>七、其他要求：</w:t>
      </w:r>
      <w:bookmarkEnd w:id="43"/>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人应自行对服务现场及周围环境进行踏勘，以获取编制投标文件和签署合同所需的资料；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2、成交供应商进场服务前需根据本项目特点及要求制定有针对性的维保方案。维保方案需按照年维保方案制定，方案需经招标人审核同意方可实施。成交供应商需对配电房所有设备</w:t>
      </w:r>
      <w:r>
        <w:rPr>
          <w:rFonts w:hint="eastAsia" w:ascii="宋体" w:hAnsi="宋体" w:cs="宋体"/>
          <w:b w:val="0"/>
          <w:bCs/>
          <w:sz w:val="24"/>
          <w:szCs w:val="24"/>
          <w:lang w:val="en-US" w:eastAsia="zh-CN"/>
        </w:rPr>
        <w:t>设施</w:t>
      </w:r>
      <w:r>
        <w:rPr>
          <w:rFonts w:hint="eastAsia" w:ascii="宋体" w:hAnsi="宋体" w:eastAsia="宋体" w:cs="宋体"/>
          <w:b w:val="0"/>
          <w:bCs/>
          <w:sz w:val="24"/>
          <w:szCs w:val="24"/>
          <w:lang w:val="en-US" w:eastAsia="zh-CN"/>
        </w:rPr>
        <w:t>进行一次免费检查和维修</w:t>
      </w:r>
      <w:r>
        <w:rPr>
          <w:rFonts w:hint="eastAsia" w:ascii="宋体" w:hAnsi="宋体" w:cs="宋体"/>
          <w:b w:val="0"/>
          <w:bCs/>
          <w:sz w:val="24"/>
          <w:szCs w:val="24"/>
          <w:lang w:val="en-US" w:eastAsia="zh-CN"/>
        </w:rPr>
        <w:t>（维修不包含材料费），</w:t>
      </w:r>
      <w:r>
        <w:rPr>
          <w:rFonts w:hint="eastAsia" w:ascii="宋体" w:hAnsi="宋体" w:eastAsia="宋体" w:cs="宋体"/>
          <w:b w:val="0"/>
          <w:bCs/>
          <w:sz w:val="24"/>
          <w:szCs w:val="24"/>
          <w:lang w:val="en-US" w:eastAsia="zh-CN"/>
        </w:rPr>
        <w:t>确保设备正常工作后进行日常维保。</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3、维保工作必须按照有关规章制度及要求进行，因维保工作不到位所致一切后果由维保单位承担</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并赔偿由此造成的损失。</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4、在节假日及有重大活动前做好配电房的检查及安全预案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确保配电房系统安全可靠运行。</w:t>
      </w:r>
    </w:p>
    <w:p>
      <w:pPr>
        <w:widowControl/>
        <w:spacing w:line="360" w:lineRule="auto"/>
        <w:ind w:firstLine="480" w:firstLineChars="200"/>
        <w:rPr>
          <w:rFonts w:hint="default" w:ascii="宋体" w:hAnsi="宋体" w:eastAsia="宋体" w:cs="宋体"/>
          <w:b/>
          <w:bCs w:val="0"/>
          <w:sz w:val="24"/>
          <w:szCs w:val="24"/>
          <w:lang w:val="en-US" w:eastAsia="zh-CN"/>
        </w:rPr>
      </w:pPr>
      <w:r>
        <w:rPr>
          <w:rFonts w:hint="eastAsia" w:ascii="宋体" w:hAnsi="宋体" w:cs="宋体"/>
          <w:b w:val="0"/>
          <w:bCs/>
          <w:sz w:val="24"/>
          <w:szCs w:val="24"/>
          <w:lang w:val="en-US" w:eastAsia="zh-CN"/>
        </w:rPr>
        <w:t>5、</w:t>
      </w:r>
      <w:r>
        <w:rPr>
          <w:rFonts w:hint="eastAsia" w:cs="宋体"/>
          <w:b w:val="0"/>
          <w:bCs/>
          <w:sz w:val="24"/>
          <w:szCs w:val="24"/>
          <w:lang w:val="en-US" w:eastAsia="zh-CN"/>
        </w:rPr>
        <w:t>配电房相关设备设施中常用的易损、易耗件。成交供应商应提供相关零件价目表作为合同有效期内的更换维修参考。</w:t>
      </w:r>
    </w:p>
    <w:p>
      <w:pPr>
        <w:rPr>
          <w:rFonts w:hint="eastAsia" w:ascii="黑体" w:hAnsi="黑体" w:eastAsia="黑体"/>
          <w:b w:val="0"/>
          <w:highlight w:val="none"/>
        </w:rPr>
      </w:pPr>
      <w:r>
        <w:rPr>
          <w:rFonts w:hint="eastAsia" w:ascii="黑体" w:hAnsi="黑体" w:eastAsia="黑体"/>
          <w:b w:val="0"/>
          <w:highlight w:val="none"/>
        </w:rPr>
        <w:br w:type="page"/>
      </w:r>
    </w:p>
    <w:p>
      <w:pPr>
        <w:pStyle w:val="4"/>
        <w:jc w:val="center"/>
        <w:rPr>
          <w:rFonts w:hint="eastAsia" w:hAnsi="宋体"/>
          <w:szCs w:val="22"/>
          <w:highlight w:val="none"/>
        </w:rPr>
      </w:pPr>
      <w:bookmarkStart w:id="44"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4"/>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5"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城隍庙街区高压预防性试验检测项目</w:t>
      </w:r>
      <w:r>
        <w:rPr>
          <w:rFonts w:hint="eastAsia" w:ascii="宋体" w:hAnsi="Times New Roman" w:eastAsia="宋体" w:cs="Times New Roman"/>
          <w:b w:val="0"/>
          <w:bCs w:val="0"/>
          <w:kern w:val="0"/>
          <w:sz w:val="24"/>
          <w:szCs w:val="20"/>
          <w:lang w:val="en-US" w:eastAsia="zh-CN" w:bidi="ar-SA"/>
        </w:rPr>
        <w:t>（项目编号：</w:t>
      </w:r>
      <w:r>
        <w:rPr>
          <w:rFonts w:hint="eastAsia" w:ascii="宋体" w:hAnsi="宋体"/>
          <w:sz w:val="24"/>
          <w:szCs w:val="24"/>
          <w:highlight w:val="none"/>
          <w:u w:val="none"/>
        </w:rPr>
        <w:t>2023GW0028</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7"/>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7"/>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w:t>
            </w:r>
            <w:bookmarkStart w:id="93" w:name="_GoBack"/>
            <w:bookmarkEnd w:id="93"/>
            <w:r>
              <w:rPr>
                <w:rFonts w:hint="eastAsia" w:ascii="宋体" w:hAnsi="宋体"/>
                <w:color w:val="auto"/>
                <w:sz w:val="24"/>
                <w:szCs w:val="24"/>
                <w:highlight w:val="none"/>
              </w:rPr>
              <w:t>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utoSpaceDE w:val="0"/>
              <w:autoSpaceDN w:val="0"/>
              <w:adjustRightInd w:val="0"/>
              <w:spacing w:line="360" w:lineRule="auto"/>
              <w:ind w:firstLine="200"/>
              <w:jc w:val="left"/>
              <w:rPr>
                <w:rFonts w:hint="eastAsia" w:ascii="宋体" w:hAnsi="宋体" w:eastAsia="宋体"/>
                <w:color w:val="auto"/>
                <w:sz w:val="24"/>
                <w:szCs w:val="24"/>
                <w:highlight w:val="none"/>
                <w:lang w:eastAsia="zh-CN"/>
              </w:rPr>
            </w:pPr>
            <w:r>
              <w:rPr>
                <w:rFonts w:hint="eastAsia" w:ascii="宋体" w:hAnsi="宋体"/>
                <w:sz w:val="24"/>
                <w:szCs w:val="18"/>
                <w:highlight w:val="none"/>
                <w:u w:val="none"/>
              </w:rPr>
              <w:t>投标人须具备以下资质：具有投标人具有承装（修、试）电力设施许可证，其中承装、承修和承试类均为四级及以上</w:t>
            </w:r>
            <w:r>
              <w:rPr>
                <w:rFonts w:hint="eastAsia" w:hAnsi="宋体"/>
                <w:sz w:val="24"/>
                <w:szCs w:val="1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hAnsi="宋体"/>
                <w:color w:val="auto"/>
                <w:sz w:val="24"/>
                <w:szCs w:val="24"/>
                <w:highlight w:val="none"/>
                <w:lang w:val="en-US" w:eastAsia="zh-CN"/>
              </w:rPr>
              <w:t>人员</w:t>
            </w:r>
            <w:r>
              <w:rPr>
                <w:rFonts w:hint="eastAsia" w:ascii="宋体" w:hAnsi="宋体"/>
                <w:color w:val="auto"/>
                <w:sz w:val="24"/>
                <w:szCs w:val="24"/>
                <w:highlight w:val="none"/>
              </w:rPr>
              <w:t>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hAnsi="宋体"/>
                <w:sz w:val="24"/>
                <w:szCs w:val="18"/>
                <w:highlight w:val="none"/>
                <w:u w:val="none"/>
                <w:lang w:val="en-US" w:eastAsia="zh-CN"/>
              </w:rPr>
            </w:pPr>
            <w:r>
              <w:rPr>
                <w:rFonts w:hint="eastAsia" w:ascii="宋体" w:hAnsi="宋体" w:eastAsia="宋体" w:cs="宋体"/>
                <w:b w:val="0"/>
                <w:bCs/>
                <w:sz w:val="24"/>
                <w:szCs w:val="24"/>
                <w:lang w:val="en-US" w:eastAsia="zh-CN"/>
              </w:rPr>
              <w:t>不少于2人</w:t>
            </w:r>
            <w:r>
              <w:rPr>
                <w:rFonts w:hint="eastAsia" w:hAnsi="宋体"/>
                <w:sz w:val="24"/>
                <w:szCs w:val="18"/>
                <w:highlight w:val="none"/>
                <w:u w:val="none"/>
                <w:lang w:val="en-US" w:eastAsia="zh-CN"/>
              </w:rPr>
              <w:t>具有高压电工作业证特种作业操作证；</w:t>
            </w:r>
          </w:p>
          <w:p>
            <w:pPr>
              <w:adjustRightInd w:val="0"/>
              <w:snapToGrid w:val="0"/>
              <w:spacing w:line="420" w:lineRule="exact"/>
              <w:ind w:right="-11"/>
              <w:jc w:val="center"/>
              <w:rPr>
                <w:rFonts w:hint="eastAsia" w:ascii="宋体" w:hAnsi="宋体"/>
                <w:color w:val="auto"/>
                <w:sz w:val="24"/>
                <w:szCs w:val="24"/>
                <w:highlight w:val="none"/>
              </w:rPr>
            </w:pPr>
            <w:r>
              <w:rPr>
                <w:rFonts w:hint="eastAsia" w:hAnsi="宋体"/>
                <w:sz w:val="24"/>
                <w:szCs w:val="18"/>
                <w:highlight w:val="none"/>
                <w:u w:val="none"/>
                <w:lang w:val="en-US" w:eastAsia="zh-CN"/>
              </w:rPr>
              <w:t>并提供以上人员距响应文件提交截止时间前近三个月任意一个月社保证明材料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7"/>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bidi="ar-SA"/>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6" w:name="_Hlk514734618"/>
    </w:p>
    <w:p>
      <w:pPr>
        <w:adjustRightInd w:val="0"/>
        <w:snapToGrid w:val="0"/>
        <w:spacing w:line="360" w:lineRule="auto"/>
        <w:ind w:right="-10" w:firstLine="422" w:firstLineChars="175"/>
        <w:rPr>
          <w:rFonts w:hint="eastAsia" w:ascii="宋体" w:hAnsi="宋体"/>
          <w:b/>
          <w:bCs w:val="0"/>
          <w:sz w:val="24"/>
        </w:rPr>
      </w:pPr>
      <w:bookmarkStart w:id="47" w:name="_Hlk514734883"/>
      <w:r>
        <w:rPr>
          <w:rFonts w:hint="eastAsia" w:ascii="宋体" w:hAnsi="宋体"/>
          <w:b/>
          <w:bCs w:val="0"/>
          <w:sz w:val="24"/>
        </w:rPr>
        <w:t>9.2 谈判</w:t>
      </w:r>
    </w:p>
    <w:bookmarkEnd w:id="46"/>
    <w:bookmarkEnd w:id="47"/>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5"/>
    <w:p>
      <w:pPr>
        <w:adjustRightInd w:val="0"/>
        <w:snapToGrid w:val="0"/>
        <w:spacing w:line="360" w:lineRule="auto"/>
        <w:ind w:right="-10" w:firstLine="480" w:firstLineChars="200"/>
        <w:rPr>
          <w:rFonts w:hint="eastAsia" w:ascii="宋体" w:hAnsi="宋体"/>
          <w:bCs/>
          <w:color w:val="auto"/>
          <w:sz w:val="24"/>
          <w:highlight w:val="none"/>
        </w:rPr>
      </w:pPr>
      <w:bookmarkStart w:id="48"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9" w:name="_Toc17620"/>
      <w:r>
        <w:rPr>
          <w:rFonts w:hint="eastAsia" w:ascii="宋体" w:hAnsi="Times New Roman" w:eastAsia="宋体" w:cs="Times New Roman"/>
          <w:b/>
          <w:bCs/>
          <w:lang w:val="en-US" w:eastAsia="zh-CN"/>
        </w:rPr>
        <w:t>第五章 合同条款及格式</w:t>
      </w:r>
      <w:bookmarkEnd w:id="48"/>
      <w:r>
        <w:rPr>
          <w:rFonts w:hint="eastAsia" w:ascii="宋体" w:hAnsi="Times New Roman" w:eastAsia="宋体" w:cs="Times New Roman"/>
          <w:b/>
          <w:bCs/>
          <w:lang w:val="en-US" w:eastAsia="zh-CN"/>
        </w:rPr>
        <w:t>（另行拟定）</w:t>
      </w:r>
      <w:bookmarkEnd w:id="49"/>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rPr>
          <w:rFonts w:hint="eastAsia" w:ascii="宋体" w:hAnsi="Times New Roman" w:eastAsia="宋体" w:cs="Times New Roman"/>
          <w:b/>
          <w:bCs/>
          <w:lang w:val="en-US" w:eastAsia="zh-CN"/>
        </w:rPr>
      </w:pPr>
    </w:p>
    <w:p>
      <w:pPr>
        <w:pStyle w:val="4"/>
        <w:numPr>
          <w:ilvl w:val="0"/>
          <w:numId w:val="0"/>
        </w:numPr>
        <w:jc w:val="center"/>
        <w:rPr>
          <w:rFonts w:hint="eastAsia" w:ascii="宋体" w:hAnsi="Times New Roman" w:eastAsia="宋体" w:cs="Times New Roman"/>
          <w:b/>
          <w:bCs/>
          <w:lang w:val="en-US" w:eastAsia="zh-CN"/>
        </w:rPr>
      </w:pPr>
      <w:bookmarkStart w:id="50" w:name="_Toc31102"/>
      <w:r>
        <w:rPr>
          <w:rFonts w:hint="eastAsia" w:ascii="宋体" w:hAnsi="Times New Roman" w:eastAsia="宋体" w:cs="Times New Roman"/>
          <w:b/>
          <w:bCs/>
          <w:lang w:val="en-US" w:eastAsia="zh-CN"/>
        </w:rPr>
        <w:t>第六章 响应文件格式</w:t>
      </w:r>
      <w:bookmarkEnd w:id="50"/>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1" w:name="_Toc8272"/>
      <w:bookmarkStart w:id="52"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1"/>
    </w:p>
    <w:bookmarkEnd w:id="52"/>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3" w:name="_Toc28895"/>
      <w:r>
        <w:rPr>
          <w:rFonts w:hint="eastAsia" w:ascii="黑体" w:eastAsia="黑体"/>
          <w:sz w:val="28"/>
          <w:szCs w:val="28"/>
          <w:highlight w:val="none"/>
        </w:rPr>
        <w:t>目  录</w:t>
      </w:r>
      <w:bookmarkEnd w:id="53"/>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4"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5" w:name="_Toc13777"/>
      <w:r>
        <w:rPr>
          <w:rFonts w:hint="eastAsia" w:ascii="宋体" w:hAnsi="Times New Roman" w:eastAsia="宋体" w:cs="Times New Roman"/>
          <w:b/>
          <w:bCs/>
          <w:sz w:val="24"/>
          <w:highlight w:val="none"/>
          <w:lang w:val="en-US" w:eastAsia="zh-CN" w:bidi="ar-SA"/>
        </w:rPr>
        <w:t>一、报价表</w:t>
      </w:r>
      <w:bookmarkEnd w:id="55"/>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6" w:name="_Toc29196"/>
      <w:r>
        <w:rPr>
          <w:rFonts w:hint="eastAsia" w:ascii="宋体" w:hAnsi="Times New Roman" w:eastAsia="宋体" w:cs="Times New Roman"/>
          <w:bCs w:val="0"/>
          <w:sz w:val="24"/>
          <w:highlight w:val="none"/>
          <w:lang w:val="en-US" w:eastAsia="zh-CN" w:bidi="ar-SA"/>
        </w:rPr>
        <w:t>二、投标人基本情况表</w:t>
      </w:r>
      <w:bookmarkEnd w:id="56"/>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4"/>
    <w:p>
      <w:pPr>
        <w:pStyle w:val="6"/>
        <w:jc w:val="center"/>
        <w:outlineLvl w:val="1"/>
        <w:rPr>
          <w:rFonts w:hint="eastAsia" w:ascii="宋体" w:hAnsi="Times New Roman" w:eastAsia="宋体" w:cs="Times New Roman"/>
          <w:bCs w:val="0"/>
          <w:sz w:val="24"/>
          <w:highlight w:val="none"/>
          <w:lang w:val="en-US" w:eastAsia="zh-CN" w:bidi="ar-SA"/>
        </w:rPr>
      </w:pPr>
      <w:bookmarkStart w:id="57" w:name="_Toc20306"/>
      <w:bookmarkStart w:id="58" w:name="_Toc390411621"/>
      <w:bookmarkStart w:id="59" w:name="_Toc421917001"/>
      <w:bookmarkStart w:id="60" w:name="_Toc460660223"/>
      <w:bookmarkStart w:id="61" w:name="_Toc460227108"/>
      <w:bookmarkStart w:id="62" w:name="_Toc224103496"/>
      <w:r>
        <w:rPr>
          <w:rFonts w:hint="eastAsia" w:ascii="宋体" w:hAnsi="Times New Roman" w:eastAsia="宋体" w:cs="Times New Roman"/>
          <w:bCs w:val="0"/>
          <w:sz w:val="24"/>
          <w:highlight w:val="none"/>
          <w:lang w:val="en-US" w:eastAsia="zh-CN" w:bidi="ar-SA"/>
        </w:rPr>
        <w:t>三、投标函</w:t>
      </w:r>
      <w:bookmarkEnd w:id="57"/>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rPr>
        <w:t>（项目名称）</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u w:val="single"/>
        </w:rPr>
        <w:t>（项目名称）</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3" w:name="_Toc10252"/>
      <w:r>
        <w:rPr>
          <w:rFonts w:hint="eastAsia" w:ascii="宋体" w:hAnsi="Times New Roman" w:eastAsia="宋体" w:cs="Times New Roman"/>
          <w:bCs w:val="0"/>
          <w:sz w:val="24"/>
          <w:highlight w:val="none"/>
          <w:lang w:val="en-US" w:eastAsia="zh-CN" w:bidi="ar-SA"/>
        </w:rPr>
        <w:t>四、法定代表人身份证明或授权委托书</w:t>
      </w:r>
      <w:bookmarkEnd w:id="58"/>
      <w:bookmarkEnd w:id="59"/>
      <w:bookmarkEnd w:id="60"/>
      <w:bookmarkEnd w:id="61"/>
      <w:bookmarkEnd w:id="63"/>
    </w:p>
    <w:bookmarkEnd w:id="62"/>
    <w:p>
      <w:pPr>
        <w:spacing w:line="360" w:lineRule="auto"/>
        <w:ind w:firstLine="1164" w:firstLineChars="414"/>
        <w:rPr>
          <w:rFonts w:hAnsi="宋体"/>
          <w:b/>
          <w:bCs/>
          <w:sz w:val="28"/>
          <w:szCs w:val="22"/>
        </w:rPr>
      </w:pPr>
      <w:bookmarkStart w:id="64" w:name="_Toc460660225"/>
      <w:bookmarkStart w:id="65" w:name="_Toc460227110"/>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6" w:name="_Toc535241130"/>
      <w:bookmarkStart w:id="67" w:name="_Toc535241227"/>
      <w:bookmarkStart w:id="68" w:name="_Toc535241084"/>
      <w:bookmarkStart w:id="69" w:name="_Toc224103497"/>
      <w:bookmarkStart w:id="70" w:name="_Toc224103498"/>
      <w:r>
        <w:rPr>
          <w:sz w:val="32"/>
          <w:szCs w:val="32"/>
        </w:rPr>
        <w:br w:type="page"/>
      </w:r>
      <w:r>
        <w:rPr>
          <w:rFonts w:hint="eastAsia" w:ascii="黑体" w:hAnsi="黑体" w:eastAsia="黑体"/>
          <w:bCs/>
        </w:rPr>
        <w:t>授权委托书</w:t>
      </w:r>
      <w:bookmarkEnd w:id="66"/>
      <w:bookmarkEnd w:id="67"/>
      <w:bookmarkEnd w:id="68"/>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9"/>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9"/>
          <w:rFonts w:hint="default"/>
          <w:b/>
          <w:bCs/>
          <w:color w:val="auto"/>
        </w:rPr>
        <w:t>法定代表人身份证明</w:t>
      </w: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9"/>
      <w:bookmarkEnd w:id="70"/>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1" w:name="_Toc6381"/>
      <w:bookmarkStart w:id="72" w:name="_Toc535241135"/>
      <w:bookmarkStart w:id="73" w:name="_Toc535241089"/>
      <w:bookmarkStart w:id="74" w:name="_Toc535241232"/>
      <w:bookmarkStart w:id="75" w:name="_Toc535241132"/>
      <w:bookmarkStart w:id="76" w:name="_Toc535241086"/>
      <w:bookmarkStart w:id="77" w:name="_Toc535241229"/>
      <w:r>
        <w:rPr>
          <w:rFonts w:hint="eastAsia" w:ascii="宋体" w:hAnsi="Times New Roman" w:eastAsia="宋体" w:cs="Times New Roman"/>
          <w:bCs w:val="0"/>
          <w:sz w:val="24"/>
          <w:highlight w:val="none"/>
          <w:lang w:val="en-US" w:eastAsia="zh-CN" w:bidi="ar-SA"/>
        </w:rPr>
        <w:t>五、投标人信用承诺</w:t>
      </w:r>
      <w:bookmarkEnd w:id="71"/>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12048"/>
      <w:r>
        <w:rPr>
          <w:rFonts w:hint="eastAsia" w:ascii="宋体" w:hAnsi="Times New Roman" w:eastAsia="宋体" w:cs="Times New Roman"/>
          <w:bCs w:val="0"/>
          <w:sz w:val="24"/>
          <w:highlight w:val="none"/>
          <w:lang w:val="en-US" w:eastAsia="zh-CN" w:bidi="ar-SA"/>
        </w:rPr>
        <w:t>六、投标人业绩（如有）</w:t>
      </w:r>
      <w:bookmarkEnd w:id="78"/>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9"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9"/>
    </w:p>
    <w:bookmarkEnd w:id="72"/>
    <w:bookmarkEnd w:id="73"/>
    <w:bookmarkEnd w:id="74"/>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0" w:name="_Toc492300541"/>
      <w:bookmarkStart w:id="81" w:name="_Toc179632825"/>
      <w:bookmarkStart w:id="82" w:name="_Toc152045805"/>
      <w:bookmarkStart w:id="83" w:name="_Toc482188668"/>
      <w:bookmarkStart w:id="84" w:name="_Toc144974873"/>
      <w:bookmarkStart w:id="85" w:name="_Toc391394125"/>
      <w:bookmarkStart w:id="86" w:name="_Toc384308390"/>
      <w:bookmarkStart w:id="87" w:name="_Toc385943079"/>
      <w:bookmarkStart w:id="88" w:name="_Toc300835232"/>
      <w:bookmarkStart w:id="89" w:name="_Toc152042594"/>
      <w:bookmarkStart w:id="90" w:name="_Toc359594249"/>
      <w:bookmarkStart w:id="91" w:name="_Toc370676440"/>
      <w:r>
        <w:rPr>
          <w:rFonts w:hint="eastAsia" w:ascii="宋体" w:hAnsi="宋体"/>
          <w:b/>
          <w:bCs/>
          <w:color w:val="auto"/>
          <w:sz w:val="24"/>
          <w:szCs w:val="24"/>
          <w:highlight w:val="none"/>
        </w:rPr>
        <w:t>（二）主要人员简历表</w:t>
      </w:r>
      <w:bookmarkEnd w:id="80"/>
      <w:bookmarkEnd w:id="81"/>
      <w:bookmarkEnd w:id="82"/>
      <w:bookmarkEnd w:id="83"/>
      <w:bookmarkEnd w:id="84"/>
      <w:bookmarkEnd w:id="85"/>
      <w:bookmarkEnd w:id="86"/>
      <w:bookmarkEnd w:id="87"/>
      <w:bookmarkEnd w:id="88"/>
      <w:bookmarkEnd w:id="89"/>
      <w:bookmarkEnd w:id="90"/>
      <w:bookmarkEnd w:id="91"/>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4"/>
      <w:bookmarkEnd w:id="65"/>
      <w:bookmarkEnd w:id="75"/>
      <w:bookmarkEnd w:id="76"/>
      <w:bookmarkEnd w:id="77"/>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2"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2"/>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hint="eastAsia"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rPr>
      <w:t>14</w:t>
    </w:r>
    <w:r>
      <w:rPr>
        <w:rFonts w:hint="eastAsia" w:ascii="仿宋_GB2312" w:eastAsia="仿宋_GB2312"/>
        <w:sz w:val="21"/>
        <w:szCs w:val="21"/>
      </w:rPr>
      <w:fldChar w:fldCharType="end"/>
    </w:r>
  </w:p>
  <w:p>
    <w:pPr>
      <w:pStyle w:val="12"/>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hint="eastAsia" w:ascii="仿宋_GB2312" w:eastAsia="仿宋_GB2312"/>
      </w:rPr>
    </w:pPr>
    <w:r>
      <w:rPr>
        <w:rFonts w:hint="eastAsia" w:ascii="仿宋_GB2312" w:eastAsia="仿宋_GB2312"/>
      </w:rPr>
      <w:fldChar w:fldCharType="begin"/>
    </w:r>
    <w:r>
      <w:rPr>
        <w:rStyle w:val="21"/>
        <w:rFonts w:hint="eastAsia" w:ascii="仿宋_GB2312" w:eastAsia="仿宋_GB2312"/>
      </w:rPr>
      <w:instrText xml:space="preserve">PAGE  </w:instrText>
    </w:r>
    <w:r>
      <w:rPr>
        <w:rFonts w:hint="eastAsia" w:ascii="仿宋_GB2312" w:eastAsia="仿宋_GB2312"/>
      </w:rPr>
      <w:fldChar w:fldCharType="separate"/>
    </w:r>
    <w:r>
      <w:rPr>
        <w:rStyle w:val="21"/>
        <w:rFonts w:ascii="仿宋_GB2312" w:eastAsia="仿宋_GB2312"/>
      </w:rPr>
      <w:t>171</w:t>
    </w:r>
    <w:r>
      <w:rPr>
        <w:rFonts w:hint="eastAsia" w:ascii="仿宋_GB2312" w:eastAsia="仿宋_GB2312"/>
      </w:rPr>
      <w:fldChar w:fldCharType="end"/>
    </w:r>
  </w:p>
  <w:p>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abstractNum w:abstractNumId="3">
    <w:nsid w:val="7FD1ECBB"/>
    <w:multiLevelType w:val="singleLevel"/>
    <w:tmpl w:val="7FD1ECBB"/>
    <w:lvl w:ilvl="0" w:tentative="0">
      <w:start w:val="5"/>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CB35B33"/>
    <w:rsid w:val="0DE4196C"/>
    <w:rsid w:val="0DFC7FB8"/>
    <w:rsid w:val="0E210E6C"/>
    <w:rsid w:val="0F2A1E42"/>
    <w:rsid w:val="15AE1629"/>
    <w:rsid w:val="17DF5033"/>
    <w:rsid w:val="1A0B373B"/>
    <w:rsid w:val="1E651FE2"/>
    <w:rsid w:val="202A4A47"/>
    <w:rsid w:val="26236233"/>
    <w:rsid w:val="2AA7674F"/>
    <w:rsid w:val="2EB32213"/>
    <w:rsid w:val="2F0F4680"/>
    <w:rsid w:val="34394DC6"/>
    <w:rsid w:val="37124D20"/>
    <w:rsid w:val="3A357464"/>
    <w:rsid w:val="3A6B2408"/>
    <w:rsid w:val="433A79DE"/>
    <w:rsid w:val="454F0AB9"/>
    <w:rsid w:val="46652052"/>
    <w:rsid w:val="4B1A5A9D"/>
    <w:rsid w:val="508F2F0F"/>
    <w:rsid w:val="588D3E25"/>
    <w:rsid w:val="5DB46860"/>
    <w:rsid w:val="61156A4D"/>
    <w:rsid w:val="61650392"/>
    <w:rsid w:val="728B3BA6"/>
    <w:rsid w:val="76864343"/>
    <w:rsid w:val="770C1626"/>
    <w:rsid w:val="78D40E32"/>
    <w:rsid w:val="7995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71"/>
    <w:basedOn w:val="1"/>
    <w:next w:val="1"/>
    <w:qFormat/>
    <w:uiPriority w:val="0"/>
    <w:pPr>
      <w:ind w:left="2520"/>
    </w:pPr>
  </w:style>
  <w:style w:type="paragraph" w:styleId="8">
    <w:name w:val="Normal Indent"/>
    <w:basedOn w:val="1"/>
    <w:unhideWhenUsed/>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szCs w:val="20"/>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qFormat/>
    <w:uiPriority w:val="0"/>
    <w:pPr>
      <w:ind w:left="420" w:firstLine="42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qFormat/>
    <w:uiPriority w:val="0"/>
  </w:style>
  <w:style w:type="character" w:styleId="22">
    <w:name w:val="Emphasis"/>
    <w:basedOn w:val="20"/>
    <w:qFormat/>
    <w:uiPriority w:val="0"/>
    <w:rPr>
      <w:i/>
    </w:rPr>
  </w:style>
  <w:style w:type="paragraph" w:customStyle="1" w:styleId="2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7"/>
    <w:qFormat/>
    <w:uiPriority w:val="0"/>
    <w:pPr>
      <w:spacing w:line="360" w:lineRule="auto"/>
      <w:ind w:firstLine="420" w:firstLineChars="200"/>
    </w:pPr>
    <w:rPr>
      <w:rFonts w:ascii="宋体" w:hAnsi="宋体"/>
      <w:szCs w:val="21"/>
    </w:rPr>
  </w:style>
  <w:style w:type="paragraph" w:customStyle="1" w:styleId="27">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8">
    <w:name w:val="首行缩进"/>
    <w:basedOn w:val="1"/>
    <w:qFormat/>
    <w:uiPriority w:val="0"/>
    <w:pPr>
      <w:spacing w:line="360" w:lineRule="auto"/>
      <w:ind w:left="210" w:leftChars="100" w:firstLine="420" w:firstLineChars="200"/>
    </w:pPr>
    <w:rPr>
      <w:rFonts w:ascii="宋体" w:hAnsi="宋体"/>
      <w:szCs w:val="24"/>
    </w:rPr>
  </w:style>
  <w:style w:type="character" w:customStyle="1" w:styleId="29">
    <w:name w:val="fontstyle01"/>
    <w:qFormat/>
    <w:uiPriority w:val="0"/>
    <w:rPr>
      <w:rFonts w:hint="eastAsia" w:ascii="宋体" w:hAnsi="宋体" w:eastAsia="宋体"/>
      <w:color w:val="000000"/>
      <w:sz w:val="22"/>
      <w:szCs w:val="22"/>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2</TotalTime>
  <ScaleCrop>false</ScaleCrop>
  <LinksUpToDate>false</LinksUpToDate>
  <CharactersWithSpaces>19527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2023-10-26T09:14:05Z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837997CEF0AC4732A3BB2130AD8D7994_13</vt:lpwstr>
  </property>
</Properties>
</file>