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highlight w:val="none"/>
        </w:rPr>
      </w:pPr>
      <w:r>
        <w:rPr>
          <w:rFonts w:hint="eastAsia" w:ascii="宋体" w:hAnsi="宋体"/>
          <w:b/>
          <w:bCs/>
          <w:sz w:val="52"/>
          <w:szCs w:val="52"/>
          <w:highlight w:val="none"/>
        </w:rPr>
        <w:t>竞争性磋商文件</w:t>
      </w:r>
    </w:p>
    <w:p>
      <w:pPr>
        <w:tabs>
          <w:tab w:val="left" w:pos="420"/>
        </w:tabs>
        <w:spacing w:line="1700" w:lineRule="exact"/>
        <w:jc w:val="center"/>
        <w:rPr>
          <w:rFonts w:hint="eastAsia" w:ascii="宋体" w:hAnsi="宋体"/>
          <w:b/>
          <w:bCs/>
          <w:sz w:val="52"/>
          <w:szCs w:val="52"/>
          <w:highlight w:val="none"/>
        </w:rPr>
      </w:pPr>
      <w:r>
        <w:rPr>
          <w:rFonts w:hint="eastAsia" w:ascii="宋体" w:hAnsi="宋体"/>
          <w:b/>
          <w:bCs/>
          <w:sz w:val="52"/>
          <w:szCs w:val="52"/>
          <w:highlight w:val="none"/>
          <w:lang w:eastAsia="zh-CN"/>
        </w:rPr>
        <w:t>（工程</w:t>
      </w:r>
      <w:r>
        <w:rPr>
          <w:rFonts w:hint="eastAsia" w:ascii="宋体" w:hAnsi="宋体"/>
          <w:b/>
          <w:bCs/>
          <w:sz w:val="52"/>
          <w:szCs w:val="52"/>
          <w:highlight w:val="none"/>
        </w:rPr>
        <w:t>类）</w:t>
      </w:r>
    </w:p>
    <w:p>
      <w:pPr>
        <w:tabs>
          <w:tab w:val="left" w:pos="315"/>
          <w:tab w:val="left" w:pos="8820"/>
        </w:tabs>
        <w:spacing w:line="500" w:lineRule="exact"/>
        <w:jc w:val="right"/>
        <w:rPr>
          <w:rFonts w:ascii="宋体" w:hAnsi="宋体"/>
          <w:bCs/>
          <w:sz w:val="24"/>
          <w:szCs w:val="24"/>
          <w:highlight w:val="none"/>
        </w:rPr>
      </w:pPr>
    </w:p>
    <w:p>
      <w:pPr>
        <w:spacing w:line="360" w:lineRule="auto"/>
        <w:jc w:val="left"/>
        <w:rPr>
          <w:rFonts w:hint="eastAsia" w:ascii="宋体" w:hAnsi="宋体"/>
          <w:sz w:val="24"/>
          <w:szCs w:val="24"/>
          <w:highlight w:val="none"/>
        </w:rPr>
      </w:pPr>
    </w:p>
    <w:p>
      <w:pPr>
        <w:spacing w:line="360" w:lineRule="auto"/>
        <w:jc w:val="left"/>
        <w:rPr>
          <w:rFonts w:ascii="宋体" w:hAnsi="宋体"/>
          <w:sz w:val="24"/>
          <w:szCs w:val="24"/>
          <w:highlight w:val="none"/>
        </w:rPr>
      </w:pPr>
    </w:p>
    <w:p>
      <w:pPr>
        <w:tabs>
          <w:tab w:val="left" w:pos="315"/>
          <w:tab w:val="left" w:pos="8820"/>
        </w:tabs>
        <w:spacing w:before="240" w:beforeLines="100" w:after="120" w:afterLines="50" w:line="500" w:lineRule="exact"/>
        <w:ind w:right="25" w:rightChars="12"/>
        <w:jc w:val="center"/>
        <w:rPr>
          <w:rFonts w:ascii="宋体" w:hAnsi="宋体"/>
          <w:sz w:val="24"/>
          <w:szCs w:val="24"/>
          <w:highlight w:val="none"/>
        </w:rPr>
      </w:pPr>
    </w:p>
    <w:p>
      <w:pPr>
        <w:tabs>
          <w:tab w:val="left" w:pos="315"/>
          <w:tab w:val="left" w:pos="8820"/>
        </w:tabs>
        <w:spacing w:before="240" w:beforeLines="100" w:after="120" w:afterLines="50" w:line="500" w:lineRule="exact"/>
        <w:ind w:right="25" w:rightChars="12"/>
        <w:jc w:val="center"/>
        <w:rPr>
          <w:rFonts w:ascii="宋体" w:hAnsi="宋体"/>
          <w:sz w:val="24"/>
          <w:szCs w:val="24"/>
          <w:highlight w:val="none"/>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default" w:ascii="黑体" w:hAnsi="黑体" w:eastAsia="黑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ascii="宋体" w:hAnsi="DotumChe" w:cs="宋体"/>
          <w:b/>
          <w:spacing w:val="20"/>
          <w:kern w:val="0"/>
          <w:sz w:val="32"/>
          <w:szCs w:val="32"/>
          <w:highlight w:val="none"/>
          <w:u w:val="none"/>
          <w:lang w:val="en-US" w:eastAsia="zh-CN"/>
        </w:rPr>
        <w:t>庐阳文旅集团零星工程项目</w:t>
      </w:r>
    </w:p>
    <w:p>
      <w:pPr>
        <w:tabs>
          <w:tab w:val="left" w:pos="2410"/>
        </w:tabs>
        <w:autoSpaceDE w:val="0"/>
        <w:autoSpaceDN w:val="0"/>
        <w:adjustRightInd w:val="0"/>
        <w:snapToGrid w:val="0"/>
        <w:spacing w:line="360" w:lineRule="auto"/>
        <w:rPr>
          <w:rFonts w:hint="default" w:ascii="宋体" w:hAnsi="DotumChe" w:cs="宋体"/>
          <w:b/>
          <w:color w:val="0000FF"/>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项目编号：2023GW003</w:t>
      </w:r>
      <w:r>
        <w:rPr>
          <w:rFonts w:hint="eastAsia" w:ascii="宋体" w:hAnsi="DotumChe" w:cs="宋体"/>
          <w:b/>
          <w:spacing w:val="20"/>
          <w:kern w:val="0"/>
          <w:sz w:val="32"/>
          <w:szCs w:val="32"/>
          <w:highlight w:val="none"/>
          <w:u w:val="none"/>
          <w:lang w:val="en-US" w:eastAsia="zh-CN"/>
        </w:rPr>
        <w:t xml:space="preserve">1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eastAsia="zh-CN"/>
        </w:rPr>
      </w:pPr>
      <w:r>
        <w:rPr>
          <w:rFonts w:hint="eastAsia" w:ascii="宋体" w:hAnsi="DotumChe" w:cs="宋体"/>
          <w:b/>
          <w:spacing w:val="20"/>
          <w:kern w:val="0"/>
          <w:sz w:val="32"/>
          <w:szCs w:val="32"/>
          <w:highlight w:val="none"/>
          <w:u w:val="none"/>
        </w:rPr>
        <w:t>招 标 人：</w:t>
      </w:r>
      <w:r>
        <w:rPr>
          <w:rFonts w:hint="eastAsia" w:ascii="宋体" w:hAnsi="DotumChe" w:cs="宋体"/>
          <w:b/>
          <w:spacing w:val="20"/>
          <w:kern w:val="0"/>
          <w:sz w:val="32"/>
          <w:szCs w:val="32"/>
          <w:highlight w:val="none"/>
          <w:u w:val="none"/>
          <w:lang w:val="en-US" w:eastAsia="zh-CN"/>
        </w:rPr>
        <w:t>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highlight w:val="none"/>
          <w:u w:val="none"/>
        </w:rPr>
      </w:pPr>
      <w:r>
        <w:rPr>
          <w:rFonts w:hint="eastAsia" w:ascii="宋体" w:hAnsi="DotumChe" w:cs="宋体"/>
          <w:b/>
          <w:spacing w:val="20"/>
          <w:kern w:val="0"/>
          <w:sz w:val="32"/>
          <w:szCs w:val="32"/>
          <w:highlight w:val="none"/>
          <w:u w:val="none"/>
        </w:rPr>
        <w:t>招标时间：</w:t>
      </w:r>
      <w:r>
        <w:rPr>
          <w:rFonts w:hint="eastAsia" w:ascii="宋体" w:hAnsi="DotumChe" w:cs="宋体"/>
          <w:b/>
          <w:color w:val="auto"/>
          <w:spacing w:val="20"/>
          <w:kern w:val="0"/>
          <w:sz w:val="32"/>
          <w:szCs w:val="32"/>
          <w:highlight w:val="none"/>
          <w:u w:val="none"/>
        </w:rPr>
        <w:t>二〇二</w:t>
      </w:r>
      <w:r>
        <w:rPr>
          <w:rFonts w:hint="eastAsia" w:ascii="宋体" w:hAnsi="DotumChe" w:cs="宋体"/>
          <w:b/>
          <w:color w:val="auto"/>
          <w:spacing w:val="20"/>
          <w:kern w:val="0"/>
          <w:sz w:val="32"/>
          <w:szCs w:val="32"/>
          <w:highlight w:val="none"/>
          <w:u w:val="none"/>
          <w:lang w:val="en-US" w:eastAsia="zh-CN"/>
        </w:rPr>
        <w:t>三</w:t>
      </w:r>
      <w:r>
        <w:rPr>
          <w:rFonts w:hint="eastAsia" w:ascii="宋体" w:hAnsi="DotumChe" w:cs="宋体"/>
          <w:b/>
          <w:color w:val="auto"/>
          <w:spacing w:val="20"/>
          <w:kern w:val="0"/>
          <w:sz w:val="32"/>
          <w:szCs w:val="32"/>
          <w:highlight w:val="none"/>
          <w:u w:val="none"/>
        </w:rPr>
        <w:t>年</w:t>
      </w:r>
      <w:r>
        <w:rPr>
          <w:rFonts w:hint="eastAsia" w:ascii="宋体" w:hAnsi="DotumChe" w:cs="宋体"/>
          <w:b/>
          <w:color w:val="auto"/>
          <w:spacing w:val="20"/>
          <w:kern w:val="0"/>
          <w:sz w:val="32"/>
          <w:szCs w:val="32"/>
          <w:highlight w:val="none"/>
          <w:u w:val="none"/>
          <w:lang w:val="en-US" w:eastAsia="zh-CN"/>
        </w:rPr>
        <w:t>十一</w:t>
      </w:r>
      <w:r>
        <w:rPr>
          <w:rFonts w:hint="eastAsia" w:ascii="宋体" w:hAnsi="DotumChe" w:cs="宋体"/>
          <w:b/>
          <w:color w:val="auto"/>
          <w:spacing w:val="20"/>
          <w:kern w:val="0"/>
          <w:sz w:val="32"/>
          <w:szCs w:val="32"/>
          <w:highlight w:val="none"/>
          <w:u w:val="none"/>
        </w:rPr>
        <w:t>月</w:t>
      </w:r>
    </w:p>
    <w:p>
      <w:pPr>
        <w:spacing w:after="468" w:afterLines="150" w:line="540" w:lineRule="exact"/>
        <w:jc w:val="center"/>
        <w:rPr>
          <w:rFonts w:hint="eastAsia" w:hAnsi="宋体"/>
          <w:b/>
          <w:sz w:val="52"/>
          <w:szCs w:val="52"/>
          <w:highlight w:val="none"/>
        </w:rPr>
      </w:pPr>
    </w:p>
    <w:p>
      <w:pPr>
        <w:pStyle w:val="9"/>
        <w:rPr>
          <w:rFonts w:hint="eastAsia"/>
          <w:highlight w:val="none"/>
        </w:rPr>
      </w:pPr>
    </w:p>
    <w:p>
      <w:pPr>
        <w:tabs>
          <w:tab w:val="left" w:pos="7343"/>
        </w:tabs>
        <w:bidi w:val="0"/>
        <w:jc w:val="left"/>
        <w:rPr>
          <w:rFonts w:hint="eastAsia" w:ascii="宋体"/>
          <w:sz w:val="24"/>
          <w:highlight w:val="none"/>
          <w:lang w:val="en-US" w:eastAsia="zh-CN" w:bidi="ar-SA"/>
        </w:rPr>
      </w:pPr>
      <w:r>
        <w:rPr>
          <w:rFonts w:hint="eastAsia"/>
          <w:sz w:val="24"/>
          <w:highlight w:val="none"/>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6"/>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_Toc12879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_Toc12879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_Toc25897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_Toc25897 \h </w:instrText>
      </w:r>
      <w:r>
        <w:fldChar w:fldCharType="separate"/>
      </w:r>
      <w:r>
        <w:t>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_Toc16565 </w:instrText>
      </w:r>
      <w:r>
        <w:rPr>
          <w:rFonts w:eastAsia="黑体"/>
          <w:szCs w:val="24"/>
          <w:highlight w:val="none"/>
        </w:rPr>
        <w:fldChar w:fldCharType="separate"/>
      </w:r>
      <w:r>
        <w:rPr>
          <w:rFonts w:hint="eastAsia" w:ascii="宋体" w:hAnsi="宋体" w:eastAsia="宋体"/>
          <w:highlight w:val="none"/>
        </w:rPr>
        <w:t>投标人须知</w:t>
      </w:r>
      <w:r>
        <w:rPr>
          <w:rFonts w:hint="eastAsia" w:ascii="宋体" w:hAnsi="宋体" w:eastAsia="宋体"/>
          <w:highlight w:val="none"/>
          <w:lang w:eastAsia="zh-CN"/>
        </w:rPr>
        <w:t>正文</w:t>
      </w:r>
      <w:r>
        <w:tab/>
      </w:r>
      <w:r>
        <w:fldChar w:fldCharType="begin"/>
      </w:r>
      <w:r>
        <w:instrText xml:space="preserve"> PAGEREF _Toc16565 \h </w:instrText>
      </w:r>
      <w:r>
        <w:fldChar w:fldCharType="separate"/>
      </w:r>
      <w:r>
        <w:t>13</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_Toc26163 </w:instrText>
      </w:r>
      <w:r>
        <w:rPr>
          <w:rFonts w:eastAsia="黑体"/>
          <w:szCs w:val="24"/>
          <w:highlight w:val="none"/>
        </w:rPr>
        <w:fldChar w:fldCharType="separate"/>
      </w:r>
      <w:r>
        <w:rPr>
          <w:rFonts w:hint="eastAsia" w:ascii="宋体" w:hAnsi="Times New Roman" w:eastAsia="宋体" w:cs="Times New Roman"/>
          <w:bCs/>
          <w:highlight w:val="none"/>
          <w:lang w:val="en-US" w:eastAsia="zh-CN"/>
        </w:rPr>
        <w:t>第三章 招标</w:t>
      </w:r>
      <w:r>
        <w:rPr>
          <w:rFonts w:hint="eastAsia"/>
          <w:highlight w:val="none"/>
          <w:lang w:val="en-US" w:eastAsia="zh-CN"/>
        </w:rPr>
        <w:t>需求</w:t>
      </w:r>
      <w:r>
        <w:tab/>
      </w:r>
      <w:r>
        <w:fldChar w:fldCharType="begin"/>
      </w:r>
      <w:r>
        <w:instrText xml:space="preserve"> PAGEREF _Toc26163 \h </w:instrText>
      </w:r>
      <w:r>
        <w:fldChar w:fldCharType="separate"/>
      </w:r>
      <w:r>
        <w:t>25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_Toc20488 </w:instrText>
      </w:r>
      <w:r>
        <w:rPr>
          <w:rFonts w:eastAsia="黑体"/>
          <w:szCs w:val="24"/>
          <w:highlight w:val="none"/>
        </w:rPr>
        <w:fldChar w:fldCharType="separate"/>
      </w:r>
      <w:r>
        <w:rPr>
          <w:rFonts w:hint="eastAsia" w:ascii="宋体" w:hAnsi="Times New Roman" w:eastAsia="宋体" w:cs="Times New Roman"/>
          <w:bCs/>
          <w:highlight w:val="none"/>
          <w:lang w:val="en-US" w:eastAsia="zh-CN"/>
        </w:rPr>
        <w:t>第五章 合同条款及格式（另行提供）</w:t>
      </w:r>
      <w:r>
        <w:tab/>
      </w:r>
      <w:r>
        <w:fldChar w:fldCharType="begin"/>
      </w:r>
      <w:r>
        <w:instrText xml:space="preserve"> PAGEREF _Toc20488 \h </w:instrText>
      </w:r>
      <w:r>
        <w:fldChar w:fldCharType="separate"/>
      </w:r>
      <w:r>
        <w:t>42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_Toc15249 </w:instrText>
      </w:r>
      <w:r>
        <w:rPr>
          <w:rFonts w:eastAsia="黑体"/>
          <w:szCs w:val="24"/>
          <w:highlight w:val="none"/>
        </w:rPr>
        <w:fldChar w:fldCharType="separate"/>
      </w:r>
      <w:r>
        <w:rPr>
          <w:rFonts w:hint="eastAsia" w:ascii="宋体" w:hAnsi="Times New Roman" w:eastAsia="宋体" w:cs="Times New Roman"/>
          <w:bCs/>
          <w:highlight w:val="none"/>
          <w:lang w:val="en-US" w:eastAsia="zh-CN"/>
        </w:rPr>
        <w:t>第六章技术标准和要求</w:t>
      </w:r>
      <w:r>
        <w:tab/>
      </w:r>
      <w:r>
        <w:fldChar w:fldCharType="begin"/>
      </w:r>
      <w:r>
        <w:instrText xml:space="preserve"> PAGEREF _Toc15249 \h </w:instrText>
      </w:r>
      <w:r>
        <w:fldChar w:fldCharType="separate"/>
      </w:r>
      <w:r>
        <w:t>42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_Toc5645 </w:instrText>
      </w:r>
      <w:r>
        <w:rPr>
          <w:rFonts w:eastAsia="黑体"/>
          <w:szCs w:val="24"/>
          <w:highlight w:val="none"/>
        </w:rPr>
        <w:fldChar w:fldCharType="separate"/>
      </w:r>
      <w:r>
        <w:rPr>
          <w:rFonts w:hint="eastAsia" w:ascii="宋体" w:hAnsi="Times New Roman" w:eastAsia="宋体" w:cs="Times New Roman"/>
          <w:bCs/>
          <w:highlight w:val="none"/>
          <w:lang w:val="en-US" w:eastAsia="zh-CN"/>
        </w:rPr>
        <w:t>第七章 响应文件格式</w:t>
      </w:r>
      <w:r>
        <w:tab/>
      </w:r>
      <w:r>
        <w:fldChar w:fldCharType="begin"/>
      </w:r>
      <w:r>
        <w:instrText xml:space="preserve"> PAGEREF _Toc5645 \h </w:instrText>
      </w:r>
      <w:r>
        <w:fldChar w:fldCharType="separate"/>
      </w:r>
      <w:r>
        <w:t>43</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_Toc9922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_Toc9922 \h </w:instrText>
      </w:r>
      <w:r>
        <w:fldChar w:fldCharType="separate"/>
      </w:r>
      <w:r>
        <w:t>43</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_Toc28117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_Toc28117 \h </w:instrText>
      </w:r>
      <w:r>
        <w:fldChar w:fldCharType="separate"/>
      </w:r>
      <w:r>
        <w:t>44</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_Toc24571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_Toc24571 \h </w:instrText>
      </w:r>
      <w:r>
        <w:fldChar w:fldCharType="separate"/>
      </w:r>
      <w:r>
        <w:t>45</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_Toc23193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_Toc23193 \h </w:instrText>
      </w:r>
      <w:r>
        <w:fldChar w:fldCharType="separate"/>
      </w:r>
      <w:r>
        <w:t>46</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_Toc16895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_Toc16895 \h </w:instrText>
      </w:r>
      <w:r>
        <w:fldChar w:fldCharType="separate"/>
      </w:r>
      <w:r>
        <w:t>47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_Toc26300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_Toc26300 \h </w:instrText>
      </w:r>
      <w:r>
        <w:fldChar w:fldCharType="separate"/>
      </w:r>
      <w:r>
        <w:t>49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_Toc1450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_Toc1450 \h </w:instrText>
      </w:r>
      <w:r>
        <w:fldChar w:fldCharType="separate"/>
      </w:r>
      <w:r>
        <w:t>51</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_Toc26532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_Toc26532 \h </w:instrText>
      </w:r>
      <w:r>
        <w:fldChar w:fldCharType="separate"/>
      </w:r>
      <w:r>
        <w:t>52</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_Toc4825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_Toc4825 \h </w:instrText>
      </w:r>
      <w:r>
        <w:fldChar w:fldCharType="separate"/>
      </w:r>
      <w:r>
        <w:t>53</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_Toc13699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_Toc13699 \h </w:instrText>
      </w:r>
      <w:r>
        <w:fldChar w:fldCharType="separate"/>
      </w:r>
      <w:r>
        <w:t>54</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_Toc22936 </w:instrText>
      </w:r>
      <w:r>
        <w:rPr>
          <w:rFonts w:eastAsia="黑体"/>
          <w:szCs w:val="24"/>
          <w:highlight w:val="none"/>
        </w:rPr>
        <w:fldChar w:fldCharType="separate"/>
      </w:r>
      <w:r>
        <w:rPr>
          <w:rFonts w:hint="eastAsia" w:ascii="宋体" w:hAnsi="宋体" w:eastAsia="宋体" w:cs="宋体"/>
          <w:spacing w:val="-2"/>
          <w:szCs w:val="24"/>
          <w:highlight w:val="none"/>
          <w:lang w:eastAsia="zh-CN"/>
        </w:rPr>
        <w:t>九、</w:t>
      </w:r>
      <w:r>
        <w:rPr>
          <w:rFonts w:ascii="宋体" w:hAnsi="宋体" w:eastAsia="宋体" w:cs="宋体"/>
          <w:spacing w:val="-2"/>
          <w:szCs w:val="24"/>
          <w:highlight w:val="none"/>
        </w:rPr>
        <w:t>主要施工方案及</w:t>
      </w:r>
      <w:r>
        <w:rPr>
          <w:rFonts w:ascii="宋体" w:hAnsi="宋体" w:eastAsia="宋体" w:cs="宋体"/>
          <w:spacing w:val="-1"/>
          <w:szCs w:val="24"/>
          <w:highlight w:val="none"/>
        </w:rPr>
        <w:t>施</w:t>
      </w:r>
      <w:r>
        <w:rPr>
          <w:rFonts w:ascii="宋体" w:hAnsi="宋体" w:eastAsia="宋体" w:cs="宋体"/>
          <w:spacing w:val="-3"/>
          <w:szCs w:val="24"/>
          <w:highlight w:val="none"/>
        </w:rPr>
        <w:t>工技</w:t>
      </w:r>
      <w:r>
        <w:rPr>
          <w:rFonts w:ascii="宋体" w:hAnsi="宋体" w:eastAsia="宋体" w:cs="宋体"/>
          <w:spacing w:val="-2"/>
          <w:szCs w:val="24"/>
          <w:highlight w:val="none"/>
        </w:rPr>
        <w:t>术</w:t>
      </w:r>
      <w:r>
        <w:tab/>
      </w:r>
      <w:r>
        <w:fldChar w:fldCharType="begin"/>
      </w:r>
      <w:r>
        <w:instrText xml:space="preserve"> PAGEREF _Toc22936 \h </w:instrText>
      </w:r>
      <w:r>
        <w:fldChar w:fldCharType="separate"/>
      </w:r>
      <w:r>
        <w:t>55</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_Toc7757 </w:instrText>
      </w:r>
      <w:r>
        <w:rPr>
          <w:rFonts w:eastAsia="黑体"/>
          <w:szCs w:val="24"/>
          <w:highlight w:val="none"/>
        </w:rPr>
        <w:fldChar w:fldCharType="separate"/>
      </w:r>
      <w:r>
        <w:rPr>
          <w:rFonts w:hint="eastAsia" w:ascii="宋体" w:hAnsi="宋体" w:eastAsia="宋体" w:cs="宋体"/>
          <w:bCs/>
          <w:spacing w:val="-2"/>
          <w:szCs w:val="24"/>
          <w:highlight w:val="none"/>
          <w:lang w:val="en-US" w:eastAsia="zh-CN"/>
        </w:rPr>
        <w:t>十、后期服务方案</w:t>
      </w:r>
      <w:r>
        <w:tab/>
      </w:r>
      <w:r>
        <w:fldChar w:fldCharType="begin"/>
      </w:r>
      <w:r>
        <w:instrText xml:space="preserve"> PAGEREF _Toc7757 \h </w:instrText>
      </w:r>
      <w:r>
        <w:fldChar w:fldCharType="separate"/>
      </w:r>
      <w:r>
        <w:t>56</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_Toc32191 </w:instrText>
      </w:r>
      <w:r>
        <w:rPr>
          <w:rFonts w:eastAsia="黑体"/>
          <w:szCs w:val="24"/>
          <w:highlight w:val="none"/>
        </w:rPr>
        <w:fldChar w:fldCharType="separate"/>
      </w:r>
      <w:r>
        <w:rPr>
          <w:rFonts w:hint="eastAsia" w:ascii="宋体" w:hAnsi="宋体" w:eastAsia="宋体" w:cs="宋体"/>
          <w:bCs/>
          <w:spacing w:val="-2"/>
          <w:szCs w:val="24"/>
          <w:highlight w:val="none"/>
          <w:lang w:val="en-US" w:eastAsia="zh-CN"/>
        </w:rPr>
        <w:t>十一、其他资料</w:t>
      </w:r>
      <w:r>
        <w:tab/>
      </w:r>
      <w:r>
        <w:fldChar w:fldCharType="begin"/>
      </w:r>
      <w:r>
        <w:instrText xml:space="preserve"> PAGEREF _Toc32191 \h </w:instrText>
      </w:r>
      <w:r>
        <w:fldChar w:fldCharType="separate"/>
      </w:r>
      <w:r>
        <w:t>56</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462215727"/>
      <w:bookmarkStart w:id="1" w:name="_Toc50128746"/>
      <w:bookmarkStart w:id="115" w:name="_GoBack"/>
      <w:r>
        <w:rPr>
          <w:rFonts w:hint="eastAsia"/>
          <w:highlight w:val="none"/>
        </w:rPr>
        <w:t xml:space="preserve"> </w:t>
      </w:r>
      <w:bookmarkStart w:id="2" w:name="_Toc12879"/>
      <w:r>
        <w:rPr>
          <w:rFonts w:hint="eastAsia"/>
          <w:highlight w:val="none"/>
        </w:rPr>
        <w:t>磋商邀请（磋商公告）</w:t>
      </w:r>
      <w:bookmarkEnd w:id="0"/>
      <w:bookmarkEnd w:id="1"/>
      <w:bookmarkEnd w:id="2"/>
    </w:p>
    <w:p>
      <w:pPr>
        <w:pStyle w:val="37"/>
        <w:widowControl w:val="0"/>
        <w:autoSpaceDE w:val="0"/>
        <w:autoSpaceDN w:val="0"/>
        <w:adjustRightInd w:val="0"/>
        <w:spacing w:before="0" w:after="0" w:line="360" w:lineRule="auto"/>
        <w:rPr>
          <w:rFonts w:hint="eastAsia" w:ascii="宋体" w:hAnsi="宋体" w:eastAsia="宋体"/>
          <w:kern w:val="2"/>
          <w:highlight w:val="none"/>
          <w:u w:val="none"/>
        </w:rPr>
      </w:pPr>
      <w:r>
        <w:rPr>
          <w:rFonts w:hint="eastAsia" w:ascii="宋体" w:hAnsi="宋体" w:eastAsia="宋体"/>
          <w:kern w:val="2"/>
          <w:highlight w:val="none"/>
          <w:u w:val="none"/>
          <w:lang w:eastAsia="zh-CN"/>
        </w:rPr>
        <w:t>本项目</w:t>
      </w:r>
      <w:r>
        <w:rPr>
          <w:rFonts w:hint="eastAsia" w:ascii="宋体" w:hAnsi="宋体" w:eastAsia="宋体"/>
          <w:color w:val="auto"/>
          <w:kern w:val="2"/>
          <w:highlight w:val="none"/>
          <w:u w:val="single"/>
          <w:lang w:eastAsia="zh-CN"/>
        </w:rPr>
        <w:t>庐阳文旅集团零星工程项目</w:t>
      </w:r>
      <w:r>
        <w:rPr>
          <w:rFonts w:hint="eastAsia" w:ascii="宋体" w:hAnsi="宋体" w:eastAsia="宋体" w:cs="Times New Roman"/>
          <w:kern w:val="2"/>
          <w:highlight w:val="none"/>
          <w:u w:val="none"/>
          <w:lang w:val="en-US" w:eastAsia="zh-CN"/>
        </w:rPr>
        <w:t>已具备竞争性磋商条件，招标人为合肥庐阳文化旅游发展集团有限公司</w:t>
      </w:r>
      <w:r>
        <w:rPr>
          <w:rFonts w:hint="eastAsia" w:ascii="宋体" w:hAnsi="宋体" w:eastAsia="宋体"/>
          <w:kern w:val="2"/>
          <w:highlight w:val="none"/>
          <w:u w:val="none"/>
        </w:rPr>
        <w:t>，现对</w:t>
      </w:r>
      <w:r>
        <w:rPr>
          <w:rFonts w:hint="eastAsia" w:ascii="宋体" w:hAnsi="宋体" w:eastAsia="宋体"/>
          <w:kern w:val="2"/>
          <w:highlight w:val="none"/>
          <w:u w:val="none"/>
          <w:lang w:eastAsia="zh-CN"/>
        </w:rPr>
        <w:t>该项目</w:t>
      </w:r>
      <w:r>
        <w:rPr>
          <w:rFonts w:hint="eastAsia" w:ascii="宋体" w:hAnsi="宋体" w:eastAsia="宋体"/>
          <w:kern w:val="2"/>
          <w:highlight w:val="none"/>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一、项目名称及内容</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highlight w:val="none"/>
          <w:u w:val="none"/>
        </w:rPr>
        <w:t>1.项目编号：2023GW003</w:t>
      </w:r>
      <w:r>
        <w:rPr>
          <w:rFonts w:hint="eastAsia" w:ascii="宋体" w:hAnsi="宋体"/>
          <w:sz w:val="24"/>
          <w:szCs w:val="24"/>
          <w:highlight w:val="none"/>
          <w:u w:val="none"/>
          <w:lang w:val="en-US" w:eastAsia="zh-CN"/>
        </w:rPr>
        <w:t>1</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highlight w:val="none"/>
          <w:u w:val="none"/>
        </w:rPr>
        <w:t>2.项目名称：</w:t>
      </w:r>
      <w:r>
        <w:rPr>
          <w:rFonts w:hint="eastAsia" w:ascii="宋体" w:hAnsi="宋体"/>
          <w:color w:val="auto"/>
          <w:sz w:val="24"/>
          <w:szCs w:val="24"/>
          <w:highlight w:val="none"/>
          <w:u w:val="none"/>
        </w:rPr>
        <w:t>庐阳文旅集团零星工程项目</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3.项目地点：</w:t>
      </w:r>
      <w:r>
        <w:rPr>
          <w:rFonts w:hint="eastAsia" w:ascii="宋体" w:hAnsi="宋体"/>
          <w:sz w:val="24"/>
          <w:szCs w:val="18"/>
          <w:highlight w:val="none"/>
          <w:u w:val="none"/>
        </w:rPr>
        <w:t>安徽省合肥市庐阳区</w:t>
      </w:r>
    </w:p>
    <w:p>
      <w:pPr>
        <w:autoSpaceDE w:val="0"/>
        <w:autoSpaceDN w:val="0"/>
        <w:adjustRightInd w:val="0"/>
        <w:spacing w:line="360" w:lineRule="auto"/>
        <w:ind w:firstLine="200"/>
        <w:jc w:val="left"/>
        <w:rPr>
          <w:rFonts w:hint="eastAsia" w:ascii="宋体" w:hAnsi="宋体"/>
          <w:sz w:val="24"/>
          <w:szCs w:val="24"/>
          <w:highlight w:val="none"/>
          <w:u w:val="none"/>
          <w:lang w:eastAsia="zh-CN"/>
        </w:rPr>
      </w:pPr>
      <w:r>
        <w:rPr>
          <w:rFonts w:hint="eastAsia" w:ascii="宋体" w:hAnsi="宋体"/>
          <w:sz w:val="24"/>
          <w:szCs w:val="24"/>
          <w:highlight w:val="none"/>
          <w:u w:val="none"/>
        </w:rPr>
        <w:t>4.项目单位：</w:t>
      </w:r>
      <w:r>
        <w:rPr>
          <w:rFonts w:hint="eastAsia" w:ascii="宋体" w:hAnsi="宋体"/>
          <w:sz w:val="24"/>
          <w:szCs w:val="24"/>
          <w:highlight w:val="none"/>
          <w:u w:val="none"/>
          <w:lang w:val="en-US" w:eastAsia="zh-CN"/>
        </w:rPr>
        <w:t xml:space="preserve"> </w:t>
      </w:r>
      <w:r>
        <w:rPr>
          <w:rFonts w:hint="eastAsia" w:ascii="宋体" w:hAnsi="宋体"/>
          <w:sz w:val="24"/>
          <w:szCs w:val="18"/>
          <w:highlight w:val="none"/>
          <w:u w:val="none"/>
          <w:lang w:val="en-US" w:eastAsia="zh-CN"/>
        </w:rPr>
        <w:t>合肥庐阳文化旅游发展集团有限公司</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5.项目概况：完成庐阳文旅集团及子公司实施的包括不限于道路、排水管网、路灯等市政设施管养、市政维修、屋面及卫生间渗漏水维修、门窗损坏维修、建筑外墙修复、标识标线更新、侧缘石安砌、树池砌筑制作、道路标线清除及施画、标志标记、架空线及地下线走线安装等、围挡护栏、墙地砖铺贴、地板铺设、门窗工程、园林绿化补植及其养护、外立面维修、铁艺制作安装、零星砌砖、强弱电改造、给排水维修等内容的零星工程</w:t>
      </w:r>
      <w:r>
        <w:rPr>
          <w:rFonts w:hint="eastAsia" w:ascii="宋体" w:hAnsi="宋体"/>
          <w:sz w:val="24"/>
          <w:szCs w:val="24"/>
          <w:highlight w:val="none"/>
          <w:u w:val="none"/>
          <w:lang w:eastAsia="zh-CN"/>
        </w:rPr>
        <w:t>。</w:t>
      </w:r>
      <w:r>
        <w:rPr>
          <w:rFonts w:hint="eastAsia" w:hAnsi="宋体" w:eastAsia="宋体"/>
          <w:sz w:val="24"/>
          <w:szCs w:val="18"/>
          <w:highlight w:val="none"/>
          <w:lang w:val="en-US" w:eastAsia="zh-CN"/>
        </w:rPr>
        <w:t>具体内容详见磋商文件。</w:t>
      </w:r>
    </w:p>
    <w:p>
      <w:pPr>
        <w:autoSpaceDE w:val="0"/>
        <w:autoSpaceDN w:val="0"/>
        <w:adjustRightInd w:val="0"/>
        <w:spacing w:line="360" w:lineRule="auto"/>
        <w:ind w:firstLine="200"/>
        <w:jc w:val="left"/>
        <w:rPr>
          <w:rFonts w:hint="default" w:ascii="宋体" w:hAnsi="宋体" w:eastAsia="宋体"/>
          <w:sz w:val="24"/>
          <w:szCs w:val="24"/>
          <w:highlight w:val="none"/>
          <w:u w:val="none"/>
          <w:lang w:val="en-US" w:eastAsia="zh-CN"/>
        </w:rPr>
      </w:pPr>
      <w:r>
        <w:rPr>
          <w:rFonts w:hint="eastAsia" w:ascii="宋体" w:hAnsi="宋体"/>
          <w:sz w:val="24"/>
          <w:szCs w:val="24"/>
          <w:highlight w:val="none"/>
          <w:u w:val="none"/>
        </w:rPr>
        <w:t>6.资金来源：</w:t>
      </w:r>
      <w:r>
        <w:rPr>
          <w:rFonts w:hint="eastAsia" w:ascii="宋体" w:hAnsi="宋体"/>
          <w:color w:val="auto"/>
          <w:sz w:val="24"/>
          <w:szCs w:val="24"/>
          <w:highlight w:val="none"/>
          <w:u w:val="none"/>
          <w:lang w:val="en-US" w:eastAsia="zh-CN"/>
        </w:rPr>
        <w:t>企业自筹</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ascii="宋体" w:hAnsi="宋体"/>
          <w:sz w:val="24"/>
          <w:szCs w:val="24"/>
          <w:highlight w:val="none"/>
          <w:u w:val="none"/>
          <w:lang w:val="en-US" w:eastAsia="zh-CN"/>
        </w:rPr>
        <w:t xml:space="preserve">55万元  </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8.项目类别：</w:t>
      </w:r>
      <w:r>
        <w:rPr>
          <w:rFonts w:hint="eastAsia" w:ascii="宋体" w:hAnsi="宋体"/>
          <w:sz w:val="24"/>
          <w:szCs w:val="24"/>
          <w:highlight w:val="none"/>
          <w:u w:val="none"/>
          <w:lang w:eastAsia="zh-CN"/>
        </w:rPr>
        <w:t>工程</w:t>
      </w:r>
      <w:r>
        <w:rPr>
          <w:rFonts w:hint="eastAsia" w:ascii="宋体" w:hAnsi="宋体"/>
          <w:sz w:val="24"/>
          <w:szCs w:val="24"/>
          <w:highlight w:val="none"/>
          <w:u w:val="none"/>
        </w:rPr>
        <w:t>类</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highlight w:val="none"/>
          <w:u w:val="none"/>
        </w:rPr>
        <w:t>9.标段（包别）划分：</w:t>
      </w:r>
      <w:r>
        <w:rPr>
          <w:rFonts w:hint="eastAsia" w:ascii="宋体" w:hAnsi="宋体"/>
          <w:sz w:val="24"/>
          <w:szCs w:val="24"/>
          <w:highlight w:val="none"/>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二、投标人资格</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1、符合《中华人民共和国政府采购法》第二十二条规定；</w:t>
      </w:r>
    </w:p>
    <w:p>
      <w:pPr>
        <w:spacing w:line="360" w:lineRule="auto"/>
        <w:ind w:firstLine="435"/>
        <w:rPr>
          <w:rFonts w:hint="eastAsia" w:ascii="宋体" w:hAnsi="宋体" w:eastAsia="宋体"/>
          <w:sz w:val="24"/>
          <w:szCs w:val="18"/>
          <w:highlight w:val="none"/>
          <w:lang w:val="en-US" w:eastAsia="zh-CN"/>
        </w:rPr>
      </w:pPr>
      <w:r>
        <w:rPr>
          <w:rFonts w:hint="eastAsia" w:ascii="宋体" w:hAnsi="宋体" w:eastAsia="宋体"/>
          <w:sz w:val="24"/>
          <w:szCs w:val="18"/>
          <w:highlight w:val="none"/>
        </w:rPr>
        <w:t>2、</w:t>
      </w:r>
      <w:r>
        <w:rPr>
          <w:rFonts w:hint="eastAsia" w:ascii="宋体" w:hAnsi="宋体" w:eastAsia="宋体"/>
          <w:sz w:val="24"/>
          <w:szCs w:val="18"/>
          <w:highlight w:val="none"/>
          <w:lang w:val="en-US" w:eastAsia="zh-CN"/>
        </w:rPr>
        <w:t>具有市政公用工程施工总承包三级及以上资质；</w:t>
      </w:r>
    </w:p>
    <w:p>
      <w:pPr>
        <w:spacing w:line="360" w:lineRule="auto"/>
        <w:ind w:firstLine="435"/>
        <w:rPr>
          <w:rFonts w:hint="eastAsia" w:ascii="宋体" w:hAnsi="宋体" w:eastAsia="宋体"/>
          <w:sz w:val="24"/>
          <w:szCs w:val="18"/>
          <w:highlight w:val="none"/>
          <w:lang w:val="en-US" w:eastAsia="zh-CN"/>
        </w:rPr>
      </w:pPr>
      <w:r>
        <w:rPr>
          <w:rFonts w:hint="eastAsia" w:hAnsi="宋体" w:eastAsia="宋体"/>
          <w:sz w:val="24"/>
          <w:szCs w:val="18"/>
          <w:highlight w:val="none"/>
          <w:lang w:val="en-US" w:eastAsia="zh-CN"/>
        </w:rPr>
        <w:t>3</w:t>
      </w:r>
      <w:r>
        <w:rPr>
          <w:rFonts w:hint="eastAsia" w:ascii="宋体" w:hAnsi="宋体" w:eastAsia="宋体"/>
          <w:sz w:val="24"/>
          <w:szCs w:val="18"/>
          <w:highlight w:val="none"/>
          <w:lang w:val="en-US" w:eastAsia="zh-CN"/>
        </w:rPr>
        <w:t>、具有有效的安全生产许可证；</w:t>
      </w:r>
    </w:p>
    <w:p>
      <w:pPr>
        <w:spacing w:line="360" w:lineRule="auto"/>
        <w:ind w:firstLine="435"/>
        <w:rPr>
          <w:rFonts w:hint="default" w:ascii="宋体" w:hAnsi="宋体" w:eastAsia="宋体" w:cs="Times New Roman"/>
          <w:sz w:val="24"/>
          <w:szCs w:val="18"/>
          <w:highlight w:val="none"/>
          <w:lang w:val="en-US" w:eastAsia="zh-CN"/>
        </w:rPr>
      </w:pPr>
      <w:r>
        <w:rPr>
          <w:rFonts w:hint="eastAsia" w:ascii="宋体" w:hAnsi="宋体" w:eastAsia="宋体" w:cs="Times New Roman"/>
          <w:sz w:val="24"/>
          <w:szCs w:val="18"/>
          <w:highlight w:val="none"/>
          <w:lang w:val="en-US" w:eastAsia="zh-CN"/>
        </w:rPr>
        <w:t>4、项目经理资格要求：投标人拟委任项目经理须具备市政公用工程专业二级及以上注册建造师资格，具备有效的安全生产考核合格证书，且目前未在其他项目上任职或虽在其他项目上任职但本项目中标后能够从该项目撤离</w:t>
      </w:r>
      <w:r>
        <w:rPr>
          <w:rFonts w:hint="eastAsia" w:ascii="宋体" w:hAnsi="宋体" w:cs="Times New Roman"/>
          <w:sz w:val="24"/>
          <w:szCs w:val="18"/>
          <w:highlight w:val="none"/>
          <w:lang w:val="en-US" w:eastAsia="zh-CN"/>
        </w:rPr>
        <w:t>，并提供以上人员近三个月任意一月社保证明材料</w:t>
      </w:r>
      <w:r>
        <w:rPr>
          <w:rFonts w:hint="eastAsia" w:ascii="宋体" w:hAnsi="宋体" w:eastAsia="宋体" w:cs="Times New Roman"/>
          <w:sz w:val="24"/>
          <w:szCs w:val="18"/>
          <w:highlight w:val="none"/>
          <w:lang w:val="en-US" w:eastAsia="zh-CN"/>
        </w:rPr>
        <w:t>。</w:t>
      </w:r>
    </w:p>
    <w:p>
      <w:pPr>
        <w:spacing w:line="360" w:lineRule="auto"/>
        <w:ind w:firstLine="435"/>
        <w:rPr>
          <w:rFonts w:hint="eastAsia" w:ascii="宋体" w:hAnsi="宋体" w:eastAsia="宋体"/>
          <w:sz w:val="24"/>
          <w:szCs w:val="18"/>
          <w:highlight w:val="none"/>
        </w:rPr>
      </w:pPr>
      <w:r>
        <w:rPr>
          <w:rFonts w:hint="eastAsia" w:hAnsi="宋体" w:eastAsia="宋体"/>
          <w:sz w:val="24"/>
          <w:szCs w:val="18"/>
          <w:highlight w:val="none"/>
          <w:lang w:val="en-US" w:eastAsia="zh-CN"/>
        </w:rPr>
        <w:t>5</w:t>
      </w:r>
      <w:r>
        <w:rPr>
          <w:rFonts w:hint="eastAsia" w:ascii="宋体" w:hAnsi="宋体" w:eastAsia="宋体"/>
          <w:sz w:val="24"/>
          <w:szCs w:val="18"/>
          <w:highlight w:val="none"/>
        </w:rPr>
        <w:t>、本项目不接受联合体投标；</w:t>
      </w:r>
    </w:p>
    <w:p>
      <w:pPr>
        <w:spacing w:line="360" w:lineRule="auto"/>
        <w:ind w:firstLine="435"/>
        <w:rPr>
          <w:rFonts w:hint="eastAsia" w:ascii="宋体" w:hAnsi="宋体" w:eastAsia="宋体"/>
          <w:sz w:val="24"/>
          <w:szCs w:val="18"/>
          <w:highlight w:val="none"/>
        </w:rPr>
      </w:pPr>
      <w:r>
        <w:rPr>
          <w:rFonts w:hint="eastAsia" w:ascii="宋体" w:hAnsi="宋体"/>
          <w:sz w:val="24"/>
          <w:szCs w:val="18"/>
          <w:highlight w:val="none"/>
          <w:lang w:val="en-US" w:eastAsia="zh-CN"/>
        </w:rPr>
        <w:t>6</w:t>
      </w:r>
      <w:r>
        <w:rPr>
          <w:rFonts w:hint="eastAsia" w:ascii="宋体" w:hAnsi="宋体" w:eastAsia="宋体"/>
          <w:sz w:val="24"/>
          <w:szCs w:val="18"/>
          <w:highlight w:val="none"/>
        </w:rPr>
        <w:t>、符合下列情形之一：</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1）磋商日前两年内未被合肥市及其所辖县（市）公共资源交易监督管理局记不良行为记录或记不良行为记录累计未满10分的；</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2）最近一次被合肥市及其所辖县（市）公共资源交易监督管理局记不良行为记录累计记分达10分（含10分）到15分且公布日距磋商日超过6个月；</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3）最近一次被合肥市及其所辖县（市）公共资源交易监督管理局记不良行为记录累计记分达15分（含15分）到20分且公布日距磋商日超过12个月；</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4）最近一次被合肥市及其所辖县（市）公共资源交易监督管理局记不良行为记录累计记分达20分（含20分）及以上且公布日距磋商日超过24个月；</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7、供应商存在以下不良信用记录情形之一的，不得推荐为成交候选供应商，不得确定为成交供应商：</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1）供应商被人民法院列入失信被执行人的；</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2）供应商或其法定代表人或拟派项目经理（项目负责人）被人民检察院列入行贿犯罪档案的；</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3）供应商被工商行政管理部门列入企业经营异常名录的；</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4）供应商被税务部门列入重大税收违法案件当事人名单的；</w:t>
      </w:r>
    </w:p>
    <w:p>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rPr>
        <w:t>5）供应商被政府采购监管部门列入政府采购严重违法失信行为记录名单的。</w:t>
      </w:r>
    </w:p>
    <w:p>
      <w:pPr>
        <w:spacing w:line="360" w:lineRule="auto"/>
        <w:ind w:firstLine="435"/>
        <w:rPr>
          <w:rFonts w:hint="eastAsia" w:ascii="宋体" w:hAnsi="宋体" w:eastAsia="宋体"/>
          <w:b/>
          <w:bCs/>
          <w:sz w:val="24"/>
          <w:szCs w:val="18"/>
          <w:highlight w:val="none"/>
        </w:rPr>
      </w:pPr>
      <w:r>
        <w:rPr>
          <w:rFonts w:hint="eastAsia" w:ascii="宋体" w:hAnsi="宋体" w:eastAsia="宋体"/>
          <w:b/>
          <w:bCs/>
          <w:sz w:val="24"/>
          <w:szCs w:val="18"/>
          <w:highlight w:val="none"/>
        </w:rPr>
        <w:t>6）供应商被合肥市城乡建设局因安全生产责任事故限制在合肥行政区域内承接新的工程项目且在限制期内的。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三、磋商文件的获取</w:t>
      </w:r>
    </w:p>
    <w:p>
      <w:pPr>
        <w:spacing w:line="360" w:lineRule="auto"/>
        <w:rPr>
          <w:rFonts w:hint="default" w:ascii="宋体" w:hAnsi="宋体" w:eastAsia="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29</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8:30</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rPr>
        <w:t>磋商</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8:30</w:t>
      </w:r>
      <w:r>
        <w:rPr>
          <w:rFonts w:hint="eastAsia" w:ascii="宋体" w:hAnsi="宋体"/>
          <w:bCs/>
          <w:sz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pPr>
        <w:autoSpaceDE w:val="0"/>
        <w:autoSpaceDN w:val="0"/>
        <w:adjustRightInd w:val="0"/>
        <w:spacing w:line="360" w:lineRule="auto"/>
        <w:ind w:firstLine="200"/>
        <w:jc w:val="left"/>
        <w:rPr>
          <w:rFonts w:hint="default" w:ascii="宋体" w:hAnsi="宋体"/>
          <w:bCs/>
          <w:sz w:val="24"/>
          <w:szCs w:val="18"/>
          <w:highlight w:val="none"/>
          <w:u w:val="none"/>
          <w:lang w:val="en-US"/>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ascii="宋体" w:hAnsi="宋体"/>
          <w:sz w:val="24"/>
          <w:szCs w:val="18"/>
          <w:highlight w:val="none"/>
          <w:u w:val="none"/>
          <w:lang w:val="en-US" w:eastAsia="zh-CN"/>
        </w:rPr>
        <w:t>合肥庐阳文化旅游发展集团有限公司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bCs/>
          <w:sz w:val="24"/>
          <w:szCs w:val="18"/>
          <w:highlight w:val="none"/>
          <w:u w:val="none"/>
          <w:lang w:val="en-US" w:eastAsia="zh-CN"/>
        </w:rPr>
      </w:pPr>
      <w:r>
        <w:rPr>
          <w:rFonts w:hint="eastAsia" w:ascii="宋体" w:hAnsi="宋体"/>
          <w:bCs/>
          <w:sz w:val="24"/>
          <w:szCs w:val="18"/>
          <w:highlight w:val="none"/>
          <w:u w:val="none"/>
        </w:rPr>
        <w:t>地址：</w:t>
      </w:r>
      <w:r>
        <w:rPr>
          <w:rFonts w:hint="eastAsia" w:ascii="宋体" w:hAnsi="宋体"/>
          <w:bCs/>
          <w:sz w:val="24"/>
          <w:szCs w:val="18"/>
          <w:highlight w:val="none"/>
          <w:u w:val="none"/>
          <w:lang w:val="en-US" w:eastAsia="zh-CN"/>
        </w:rPr>
        <w:t xml:space="preserve"> 安徽省合肥市庐阳区红星路省人民政府机关幼儿园北门对面原省政府北楼134办公室</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 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 xml:space="preserve">0551-69115416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七、其他事项说明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bookmarkEnd w:id="115"/>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2589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21"/>
        <w:tblW w:w="0" w:type="auto"/>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ascii="Times New Roman" w:hAnsi="Times New Roman" w:eastAsia="宋体" w:cs="Times New Roman"/>
                <w:szCs w:val="24"/>
                <w:highlight w:val="none"/>
              </w:rPr>
              <w:t>合肥庐阳区，具体以业主单位指定为准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计划工期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计划工期：自合同签订之日起</w:t>
            </w:r>
            <w:r>
              <w:rPr>
                <w:rFonts w:hint="eastAsia"/>
                <w:color w:val="auto"/>
                <w:szCs w:val="24"/>
                <w:highlight w:val="none"/>
                <w:u w:val="single"/>
                <w:lang w:val="en-US" w:eastAsia="zh-CN"/>
              </w:rPr>
              <w:t>一</w:t>
            </w:r>
            <w:r>
              <w:rPr>
                <w:rFonts w:hint="eastAsia"/>
                <w:color w:val="auto"/>
                <w:szCs w:val="24"/>
                <w:highlight w:val="none"/>
                <w:u w:val="single"/>
              </w:rPr>
              <w:t>年（若服务期内项目结算金额达到项目预算金额，则服务截止）。</w:t>
            </w:r>
          </w:p>
          <w:p>
            <w:pPr>
              <w:snapToGrid w:val="0"/>
              <w:rPr>
                <w:rFonts w:hint="eastAsia"/>
                <w:color w:val="auto"/>
                <w:szCs w:val="24"/>
                <w:highlight w:val="none"/>
                <w:u w:val="single"/>
              </w:rPr>
            </w:pPr>
            <w:r>
              <w:rPr>
                <w:rFonts w:hint="eastAsia"/>
                <w:color w:val="auto"/>
                <w:szCs w:val="24"/>
                <w:highlight w:val="none"/>
                <w:u w:val="single"/>
              </w:rPr>
              <w:t>计划开工日期：单个任务单工期以任务单为准。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质量标准：合格。</w:t>
            </w:r>
          </w:p>
          <w:p>
            <w:pPr>
              <w:snapToGrid w:val="0"/>
              <w:rPr>
                <w:rFonts w:hint="eastAsia"/>
                <w:color w:val="auto"/>
                <w:szCs w:val="24"/>
                <w:highlight w:val="none"/>
              </w:rPr>
            </w:pPr>
            <w:r>
              <w:rPr>
                <w:rFonts w:hint="eastAsia"/>
                <w:color w:val="auto"/>
                <w:szCs w:val="24"/>
                <w:highlight w:val="none"/>
              </w:rPr>
              <w:t>质保期：按《建设工程质量管理条例》及有关规定执行，其它未明确的为</w:t>
            </w:r>
            <w:r>
              <w:rPr>
                <w:rFonts w:hint="eastAsia"/>
                <w:color w:val="auto"/>
                <w:szCs w:val="24"/>
                <w:highlight w:val="none"/>
                <w:lang w:val="en-US" w:eastAsia="zh-CN"/>
              </w:rPr>
              <w:t>1</w:t>
            </w:r>
            <w:r>
              <w:rPr>
                <w:rFonts w:hint="eastAsia"/>
                <w:color w:val="auto"/>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的其他资料</w:t>
            </w:r>
          </w:p>
        </w:tc>
        <w:tc>
          <w:tcPr>
            <w:tcW w:w="6051" w:type="dxa"/>
            <w:noWrap w:val="0"/>
            <w:vAlign w:val="center"/>
          </w:tcPr>
          <w:p>
            <w:pPr>
              <w:snapToGrid w:val="0"/>
              <w:rPr>
                <w:rFonts w:hint="eastAsia"/>
                <w:color w:val="000000"/>
                <w:kern w:val="2"/>
                <w:szCs w:val="24"/>
                <w:highlight w:val="none"/>
              </w:rPr>
            </w:pPr>
            <w:r>
              <w:rPr>
                <w:rFonts w:hint="eastAsia" w:ascii="Times New Roman" w:hAnsi="宋体" w:eastAsia="宋体" w:cs="Times New Roman"/>
                <w:color w:val="000000"/>
                <w:szCs w:val="24"/>
                <w:highlight w:val="none"/>
                <w:lang w:val="en-US" w:eastAsia="zh-CN"/>
              </w:rPr>
              <w:t>工程量清单、答疑、补遗、补充通知（如有）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05" w:leftChars="50" w:right="105"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05"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8</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ascii="宋体" w:hAnsi="宋体" w:eastAsia="宋体"/>
                <w:b w:val="0"/>
                <w:sz w:val="24"/>
                <w:highlight w:val="none"/>
              </w:rPr>
              <w:t>本地化服务</w:t>
            </w:r>
          </w:p>
        </w:tc>
        <w:tc>
          <w:tcPr>
            <w:tcW w:w="6051" w:type="dxa"/>
            <w:noWrap w:val="0"/>
            <w:vAlign w:val="center"/>
          </w:tcPr>
          <w:p>
            <w:pPr>
              <w:snapToGrid w:val="0"/>
              <w:rPr>
                <w:rFonts w:hint="default"/>
                <w:bCs/>
                <w:snapToGrid w:val="0"/>
                <w:szCs w:val="24"/>
                <w:highlight w:val="none"/>
                <w:lang w:val="en-US"/>
              </w:rPr>
            </w:pPr>
            <w:r>
              <w:rPr>
                <w:rFonts w:hint="default"/>
                <w:bCs/>
                <w:snapToGrid w:val="0"/>
                <w:szCs w:val="24"/>
                <w:highlight w:val="none"/>
                <w:lang w:val="en-US"/>
              </w:rPr>
              <w:t>本项目是否要求本地化服务能力：</w:t>
            </w:r>
            <w:r>
              <w:rPr>
                <w:rFonts w:hint="eastAsia" w:ascii="宋体" w:hAnsi="宋体" w:eastAsia="宋体"/>
                <w:b w:val="0"/>
                <w:sz w:val="24"/>
                <w:highlight w:val="none"/>
              </w:rPr>
              <w:sym w:font="Wingdings" w:char="F0FE"/>
            </w:r>
            <w:r>
              <w:rPr>
                <w:rFonts w:hint="default"/>
                <w:bCs/>
                <w:snapToGrid w:val="0"/>
                <w:szCs w:val="24"/>
                <w:highlight w:val="none"/>
                <w:lang w:val="en-US"/>
              </w:rPr>
              <w:t xml:space="preserve">要求   </w:t>
            </w:r>
            <w:r>
              <w:rPr>
                <w:rFonts w:hint="default"/>
                <w:bCs/>
                <w:snapToGrid w:val="0"/>
                <w:szCs w:val="24"/>
                <w:highlight w:val="none"/>
                <w:lang w:val="en-US"/>
              </w:rPr>
              <w:sym w:font="Wingdings 2" w:char="00A3"/>
            </w:r>
            <w:r>
              <w:rPr>
                <w:rFonts w:hint="default"/>
                <w:bCs/>
                <w:snapToGrid w:val="0"/>
                <w:szCs w:val="24"/>
                <w:highlight w:val="none"/>
                <w:lang w:val="en-US"/>
              </w:rPr>
              <w:t>不要求</w:t>
            </w:r>
          </w:p>
          <w:p>
            <w:pPr>
              <w:snapToGrid w:val="0"/>
              <w:rPr>
                <w:rFonts w:hint="default"/>
                <w:bCs/>
                <w:snapToGrid w:val="0"/>
                <w:szCs w:val="24"/>
                <w:highlight w:val="none"/>
                <w:lang w:val="en-US"/>
              </w:rPr>
            </w:pPr>
            <w:r>
              <w:rPr>
                <w:rFonts w:hint="default"/>
                <w:bCs/>
                <w:snapToGrid w:val="0"/>
                <w:szCs w:val="24"/>
                <w:highlight w:val="none"/>
                <w:lang w:val="en-US"/>
              </w:rPr>
              <w:t xml:space="preserve">本地化服务的能力是指具有以下条件之一：  </w:t>
            </w:r>
          </w:p>
          <w:p>
            <w:pPr>
              <w:snapToGrid w:val="0"/>
              <w:rPr>
                <w:rFonts w:hint="default"/>
                <w:bCs/>
                <w:snapToGrid w:val="0"/>
                <w:szCs w:val="24"/>
                <w:highlight w:val="none"/>
                <w:lang w:val="en-US"/>
              </w:rPr>
            </w:pPr>
            <w:r>
              <w:rPr>
                <w:rFonts w:hint="default"/>
                <w:bCs/>
                <w:snapToGrid w:val="0"/>
                <w:szCs w:val="24"/>
                <w:highlight w:val="none"/>
                <w:lang w:val="en-US"/>
              </w:rPr>
              <w:t xml:space="preserve">（1）在本地具有固定的办公场所及人员；   </w:t>
            </w:r>
          </w:p>
          <w:p>
            <w:pPr>
              <w:snapToGrid w:val="0"/>
              <w:rPr>
                <w:rFonts w:hint="default"/>
                <w:bCs/>
                <w:snapToGrid w:val="0"/>
                <w:szCs w:val="24"/>
                <w:highlight w:val="none"/>
                <w:lang w:val="en-US"/>
              </w:rPr>
            </w:pPr>
            <w:r>
              <w:rPr>
                <w:rFonts w:hint="default"/>
                <w:bCs/>
                <w:snapToGrid w:val="0"/>
                <w:szCs w:val="24"/>
                <w:highlight w:val="none"/>
                <w:lang w:val="en-US"/>
              </w:rPr>
              <w:t xml:space="preserve">（2）在本地具有固定的合作伙伴；         </w:t>
            </w:r>
          </w:p>
          <w:p>
            <w:pPr>
              <w:snapToGrid w:val="0"/>
              <w:rPr>
                <w:rFonts w:hint="default"/>
                <w:bCs/>
                <w:snapToGrid w:val="0"/>
                <w:szCs w:val="24"/>
                <w:highlight w:val="none"/>
                <w:lang w:val="en-US"/>
              </w:rPr>
            </w:pPr>
            <w:r>
              <w:rPr>
                <w:rFonts w:hint="default"/>
                <w:bCs/>
                <w:snapToGrid w:val="0"/>
                <w:szCs w:val="24"/>
                <w:highlight w:val="none"/>
                <w:lang w:val="en-US"/>
              </w:rPr>
              <w:t xml:space="preserve">（3）在本地注册成立的；                 </w:t>
            </w:r>
          </w:p>
          <w:p>
            <w:pPr>
              <w:snapToGrid w:val="0"/>
              <w:rPr>
                <w:rFonts w:hint="default"/>
                <w:bCs/>
                <w:snapToGrid w:val="0"/>
                <w:szCs w:val="24"/>
                <w:highlight w:val="none"/>
                <w:lang w:val="en-US"/>
              </w:rPr>
            </w:pPr>
            <w:r>
              <w:rPr>
                <w:rFonts w:hint="default"/>
                <w:bCs/>
                <w:snapToGrid w:val="0"/>
                <w:szCs w:val="24"/>
                <w:highlight w:val="none"/>
                <w:lang w:val="en-US"/>
              </w:rPr>
              <w:t xml:space="preserve">（4）承诺成交即设立本地化服务机构。     </w:t>
            </w:r>
          </w:p>
          <w:p>
            <w:pPr>
              <w:snapToGrid w:val="0"/>
              <w:rPr>
                <w:rFonts w:hint="default"/>
                <w:bCs/>
                <w:snapToGrid w:val="0"/>
                <w:szCs w:val="24"/>
                <w:highlight w:val="none"/>
                <w:lang w:val="en-US"/>
              </w:rPr>
            </w:pPr>
            <w:r>
              <w:rPr>
                <w:rFonts w:hint="default"/>
                <w:bCs/>
                <w:snapToGrid w:val="0"/>
                <w:szCs w:val="24"/>
                <w:highlight w:val="none"/>
                <w:lang w:val="en-US"/>
              </w:rPr>
              <w:t xml:space="preserve">备注：“本地”系指：合肥市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ascii="宋体" w:hAnsi="宋体" w:eastAsia="宋体"/>
                <w:b w:val="0"/>
                <w:sz w:val="24"/>
                <w:highlight w:val="none"/>
              </w:rPr>
              <w:t>业绩要求说明</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本项目将对排名第一的成交候选人经磋商小组评审认可的供应商业绩（如要求）、拟任本项目项目经理名称及项目经理业绩（如要求）进行公示。如涉嫌造假，将取消成交资格并上报监督管理部门按有关规定处理。</w:t>
            </w:r>
          </w:p>
          <w:p>
            <w:pPr>
              <w:snapToGrid w:val="0"/>
              <w:rPr>
                <w:rFonts w:hint="eastAsia"/>
                <w:bCs/>
                <w:snapToGrid w:val="0"/>
                <w:szCs w:val="24"/>
                <w:highlight w:val="none"/>
              </w:rPr>
            </w:pPr>
            <w:r>
              <w:rPr>
                <w:rFonts w:hint="eastAsia"/>
                <w:bCs/>
                <w:snapToGrid w:val="0"/>
                <w:szCs w:val="24"/>
                <w:highlight w:val="none"/>
              </w:rPr>
              <w:t>2、业绩要求详见磋商公告（时间以合同日期为准），除非磋商文件另有规定，本项目业绩均指已交/竣工验收合格的业绩，响应文件中提供业绩合同及相应的交/竣工验收证明文件扫描件。</w:t>
            </w:r>
          </w:p>
          <w:p>
            <w:pPr>
              <w:snapToGrid w:val="0"/>
              <w:rPr>
                <w:rFonts w:hint="eastAsia"/>
                <w:bCs/>
                <w:snapToGrid w:val="0"/>
                <w:szCs w:val="24"/>
                <w:highlight w:val="none"/>
              </w:rPr>
            </w:pPr>
            <w:r>
              <w:rPr>
                <w:rFonts w:hint="eastAsia"/>
                <w:bCs/>
                <w:snapToGrid w:val="0"/>
                <w:szCs w:val="24"/>
                <w:highlight w:val="none"/>
              </w:rPr>
              <w:t>3、本项目业绩（包括资审及技术标评分业绩）证明需提供资料要求如下：</w:t>
            </w:r>
          </w:p>
          <w:p>
            <w:pPr>
              <w:snapToGrid w:val="0"/>
              <w:rPr>
                <w:rFonts w:hint="eastAsia"/>
                <w:b/>
                <w:bCs w:val="0"/>
                <w:snapToGrid w:val="0"/>
                <w:szCs w:val="24"/>
                <w:highlight w:val="none"/>
              </w:rPr>
            </w:pPr>
            <w:r>
              <w:rPr>
                <w:rFonts w:hint="eastAsia"/>
                <w:b/>
                <w:bCs w:val="0"/>
                <w:snapToGrid w:val="0"/>
                <w:szCs w:val="24"/>
                <w:highlight w:val="none"/>
              </w:rPr>
              <w:t>（1）合同（投标人所提供合同应与监管部门备案的合同（如有）保持一致，标后若发现不一致的以备案合同为准，并视同提供虚假材料）；</w:t>
            </w:r>
          </w:p>
          <w:p>
            <w:pPr>
              <w:snapToGrid w:val="0"/>
              <w:rPr>
                <w:rFonts w:hint="eastAsia"/>
                <w:b/>
                <w:bCs w:val="0"/>
                <w:snapToGrid w:val="0"/>
                <w:szCs w:val="24"/>
                <w:highlight w:val="none"/>
              </w:rPr>
            </w:pPr>
            <w:r>
              <w:rPr>
                <w:rFonts w:hint="eastAsia"/>
                <w:b/>
                <w:bCs w:val="0"/>
                <w:snapToGrid w:val="0"/>
                <w:szCs w:val="24"/>
                <w:highlight w:val="none"/>
              </w:rPr>
              <w:t>（2）中标查询网址及查询截图，或监管部门网站公布的施工许可证办理查询截图，或信用评价体系查询截图，或无法提供以上截图的可提供行业主管部门证明或备案材料， 及各级公共资源交易中心（招投标中心）出具的中标通知书的扫描件或影印件；</w:t>
            </w:r>
          </w:p>
          <w:p>
            <w:pPr>
              <w:snapToGrid w:val="0"/>
              <w:rPr>
                <w:rFonts w:hint="eastAsia"/>
                <w:b/>
                <w:bCs w:val="0"/>
                <w:snapToGrid w:val="0"/>
                <w:szCs w:val="24"/>
                <w:highlight w:val="none"/>
              </w:rPr>
            </w:pPr>
            <w:r>
              <w:rPr>
                <w:rFonts w:hint="eastAsia"/>
                <w:b/>
                <w:bCs w:val="0"/>
                <w:snapToGrid w:val="0"/>
                <w:szCs w:val="24"/>
                <w:highlight w:val="none"/>
              </w:rPr>
              <w:t>（3）交/竣工验收证明文件（须有建设单位、监理单位、施工单位等盖章确认）。</w:t>
            </w:r>
          </w:p>
          <w:p>
            <w:pPr>
              <w:snapToGrid w:val="0"/>
              <w:rPr>
                <w:rFonts w:hint="eastAsia"/>
                <w:b/>
                <w:bCs w:val="0"/>
                <w:snapToGrid w:val="0"/>
                <w:szCs w:val="24"/>
                <w:highlight w:val="none"/>
              </w:rPr>
            </w:pPr>
            <w:r>
              <w:rPr>
                <w:rFonts w:hint="eastAsia"/>
                <w:b/>
                <w:bCs w:val="0"/>
                <w:snapToGrid w:val="0"/>
                <w:szCs w:val="24"/>
                <w:highlight w:val="none"/>
              </w:rPr>
              <w:t>备注：</w:t>
            </w:r>
          </w:p>
          <w:p>
            <w:pPr>
              <w:snapToGrid w:val="0"/>
              <w:rPr>
                <w:rFonts w:hint="eastAsia"/>
                <w:b/>
                <w:bCs w:val="0"/>
                <w:snapToGrid w:val="0"/>
                <w:szCs w:val="24"/>
                <w:highlight w:val="none"/>
              </w:rPr>
            </w:pPr>
            <w:r>
              <w:rPr>
                <w:rFonts w:hint="eastAsia"/>
                <w:b/>
                <w:bCs w:val="0"/>
                <w:snapToGrid w:val="0"/>
                <w:szCs w:val="24"/>
                <w:highlight w:val="none"/>
              </w:rPr>
              <w:t>1、合同为合同签订时的合同协议书及专用合同条款主要内容，不含中标通知书等其他组成部分。</w:t>
            </w:r>
          </w:p>
          <w:p>
            <w:pPr>
              <w:snapToGrid w:val="0"/>
              <w:rPr>
                <w:rFonts w:hint="eastAsia"/>
                <w:bCs/>
                <w:snapToGrid w:val="0"/>
                <w:szCs w:val="24"/>
                <w:highlight w:val="none"/>
              </w:rPr>
            </w:pPr>
            <w:r>
              <w:rPr>
                <w:rFonts w:hint="eastAsia"/>
                <w:b/>
                <w:bCs w:val="0"/>
                <w:snapToGrid w:val="0"/>
                <w:szCs w:val="24"/>
                <w:highlight w:val="none"/>
              </w:rPr>
              <w:t>2、对于消防项目，交/竣工验收证明文件有以下材料即可：由消防部门出具的消防验收合格证明复印件，并提供消防主管部门备案网址及查询截图（评委会有权现场验证）（非消防项目此条不做要求）。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ascii="宋体" w:hAnsi="宋体" w:eastAsia="宋体"/>
                <w:b w:val="0"/>
                <w:sz w:val="24"/>
                <w:highlight w:val="none"/>
              </w:rPr>
              <w:t>安全文明要求</w:t>
            </w:r>
          </w:p>
        </w:tc>
        <w:tc>
          <w:tcPr>
            <w:tcW w:w="6051" w:type="dxa"/>
            <w:noWrap w:val="0"/>
            <w:vAlign w:val="center"/>
          </w:tcPr>
          <w:p>
            <w:pPr>
              <w:snapToGrid w:val="0"/>
              <w:rPr>
                <w:rFonts w:hint="eastAsia"/>
                <w:bCs/>
                <w:snapToGrid w:val="0"/>
                <w:szCs w:val="24"/>
                <w:highlight w:val="none"/>
              </w:rPr>
            </w:pPr>
            <w:r>
              <w:rPr>
                <w:rFonts w:hint="eastAsia" w:ascii="宋体" w:hAnsi="宋体" w:eastAsia="宋体"/>
                <w:bCs/>
                <w:kern w:val="0"/>
                <w:sz w:val="24"/>
                <w:szCs w:val="28"/>
                <w:highlight w:val="none"/>
              </w:rPr>
              <w:t>必须确保安全文明施工，符合国家和项目所在地现行相关规定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eastAsia="宋体"/>
                <w:bCs/>
                <w:szCs w:val="28"/>
                <w:highlight w:val="none"/>
              </w:rPr>
              <w:t>主要材料要求</w:t>
            </w:r>
          </w:p>
        </w:tc>
        <w:tc>
          <w:tcPr>
            <w:tcW w:w="6051" w:type="dxa"/>
            <w:noWrap w:val="0"/>
            <w:vAlign w:val="center"/>
          </w:tcPr>
          <w:p>
            <w:pPr>
              <w:snapToGrid w:val="0"/>
              <w:rPr>
                <w:rFonts w:hint="eastAsia"/>
                <w:bCs/>
                <w:snapToGrid w:val="0"/>
                <w:szCs w:val="24"/>
                <w:highlight w:val="none"/>
              </w:rPr>
            </w:pPr>
            <w:r>
              <w:rPr>
                <w:rFonts w:hint="eastAsia" w:eastAsia="宋体"/>
                <w:bCs/>
                <w:szCs w:val="28"/>
                <w:highlight w:val="none"/>
              </w:rPr>
              <w:t>因中标供应商自行采购的材料质量引起的工程质量问题由中标供应商承担所造成的一切损失。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ascii="宋体"/>
                <w:sz w:val="24"/>
                <w:szCs w:val="24"/>
                <w:highlight w:val="none"/>
                <w:lang w:val="en-US" w:eastAsia="zh-CN" w:bidi="ar-SA"/>
              </w:rPr>
            </w:pPr>
            <w:r>
              <w:rPr>
                <w:rFonts w:hint="eastAsia"/>
                <w:szCs w:val="24"/>
                <w:highlight w:val="none"/>
              </w:rPr>
              <w:t>最高投标限价（招标控制价）</w:t>
            </w:r>
          </w:p>
        </w:tc>
        <w:tc>
          <w:tcPr>
            <w:tcW w:w="6051" w:type="dxa"/>
            <w:noWrap w:val="0"/>
            <w:vAlign w:val="center"/>
          </w:tcPr>
          <w:p>
            <w:pPr>
              <w:snapToGrid w:val="0"/>
              <w:rPr>
                <w:rFonts w:hint="eastAsia" w:ascii="宋体"/>
                <w:bCs/>
                <w:snapToGrid w:val="0"/>
                <w:sz w:val="24"/>
                <w:szCs w:val="24"/>
                <w:highlight w:val="none"/>
                <w:lang w:val="en-US" w:eastAsia="zh-CN" w:bidi="ar-SA"/>
              </w:rPr>
            </w:pPr>
            <w:r>
              <w:rPr>
                <w:rFonts w:hint="eastAsia"/>
                <w:bCs/>
                <w:snapToGrid w:val="0"/>
                <w:szCs w:val="24"/>
                <w:highlight w:val="none"/>
              </w:rPr>
              <w:sym w:font="Wingdings 2" w:char="0052"/>
            </w:r>
            <w:r>
              <w:rPr>
                <w:rFonts w:hint="eastAsia"/>
                <w:bCs/>
                <w:snapToGrid w:val="0"/>
                <w:szCs w:val="24"/>
                <w:highlight w:val="none"/>
              </w:rPr>
              <w:t>有，</w:t>
            </w:r>
            <w:r>
              <w:rPr>
                <w:rFonts w:hint="eastAsia" w:ascii="宋体" w:hAnsi="宋体" w:cs="宋体"/>
                <w:b w:val="0"/>
                <w:bCs/>
                <w:sz w:val="24"/>
                <w:szCs w:val="24"/>
                <w:highlight w:val="none"/>
                <w:lang w:val="en-US" w:eastAsia="zh-CN"/>
              </w:rPr>
              <w:t>最高投标限价（费率）为：100%</w:t>
            </w:r>
            <w:r>
              <w:rPr>
                <w:rFonts w:hint="eastAsia" w:ascii="宋体" w:hAnsi="宋体" w:cs="宋体"/>
                <w:b w:val="0"/>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6"/>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33</w:t>
            </w:r>
          </w:p>
        </w:tc>
        <w:tc>
          <w:tcPr>
            <w:tcW w:w="2471" w:type="dxa"/>
            <w:noWrap w:val="0"/>
            <w:vAlign w:val="center"/>
          </w:tcPr>
          <w:p>
            <w:pPr>
              <w:snapToGrid w:val="0"/>
              <w:jc w:val="center"/>
              <w:rPr>
                <w:szCs w:val="24"/>
                <w:highlight w:val="none"/>
              </w:rPr>
            </w:pPr>
            <w:r>
              <w:rPr>
                <w:szCs w:val="24"/>
                <w:highlight w:val="none"/>
              </w:rPr>
              <w:t>履约保证金</w:t>
            </w:r>
          </w:p>
        </w:tc>
        <w:tc>
          <w:tcPr>
            <w:tcW w:w="6051" w:type="dxa"/>
            <w:noWrap w:val="0"/>
            <w:vAlign w:val="center"/>
          </w:tcPr>
          <w:tbl>
            <w:tblPr>
              <w:tblStyle w:val="21"/>
              <w:tblW w:w="0" w:type="auto"/>
              <w:tblInd w:w="0" w:type="dxa"/>
              <w:tblLayout w:type="fixed"/>
              <w:tblCellMar>
                <w:top w:w="0" w:type="dxa"/>
                <w:left w:w="108" w:type="dxa"/>
                <w:bottom w:w="0" w:type="dxa"/>
                <w:right w:w="108" w:type="dxa"/>
              </w:tblCellMar>
            </w:tblPr>
            <w:tblGrid>
              <w:gridCol w:w="1361"/>
              <w:gridCol w:w="4474"/>
            </w:tblGrid>
            <w:tr>
              <w:tblPrEx>
                <w:tblCellMar>
                  <w:top w:w="0" w:type="dxa"/>
                  <w:left w:w="108" w:type="dxa"/>
                  <w:bottom w:w="0" w:type="dxa"/>
                  <w:right w:w="108" w:type="dxa"/>
                </w:tblCellMar>
              </w:tblPrEx>
              <w:tc>
                <w:tcPr>
                  <w:tcW w:w="1361" w:type="dxa"/>
                  <w:noWrap w:val="0"/>
                  <w:vAlign w:val="center"/>
                </w:tcPr>
                <w:p>
                  <w:pPr>
                    <w:snapToGrid w:val="0"/>
                    <w:ind w:left="-73" w:leftChars="-35"/>
                    <w:rPr>
                      <w:rFonts w:hint="eastAsia" w:ascii="楷体" w:hAnsi="楷体" w:eastAsia="楷体"/>
                      <w:szCs w:val="24"/>
                      <w:highlight w:val="none"/>
                    </w:rPr>
                  </w:pPr>
                  <w:r>
                    <w:rPr>
                      <w:rFonts w:hint="eastAsia"/>
                      <w:szCs w:val="24"/>
                      <w:highlight w:val="none"/>
                    </w:rPr>
                    <w:t>（1）形式：</w:t>
                  </w:r>
                </w:p>
              </w:tc>
              <w:tc>
                <w:tcPr>
                  <w:tcW w:w="4474" w:type="dxa"/>
                  <w:noWrap w:val="0"/>
                  <w:vAlign w:val="top"/>
                </w:tcPr>
                <w:p>
                  <w:pPr>
                    <w:snapToGrid w:val="0"/>
                    <w:rPr>
                      <w:rFonts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hint="eastAsia" w:cs="楷体"/>
                      <w:b/>
                      <w:snapToGrid w:val="0"/>
                      <w:szCs w:val="24"/>
                      <w:highlight w:val="none"/>
                      <w:lang w:eastAsia="zh-CN"/>
                    </w:rPr>
                    <w:instrText xml:space="preserve">,</w:instrText>
                  </w:r>
                  <w:r>
                    <w:rPr>
                      <w:rFonts w:hint="eastAsia" w:cs="楷体"/>
                      <w:b/>
                      <w:snapToGrid w:val="0"/>
                      <w:position w:val="2"/>
                      <w:sz w:val="13"/>
                      <w:szCs w:val="24"/>
                      <w:highlight w:val="none"/>
                      <w:lang w:eastAsia="zh-CN"/>
                    </w:rPr>
                    <w:instrText xml:space="preserve">√</w:instrText>
                  </w:r>
                  <w:r>
                    <w:rPr>
                      <w:rFonts w:hint="eastAsia" w:cs="楷体"/>
                      <w:b/>
                      <w:snapToGrid w:val="0"/>
                      <w:szCs w:val="24"/>
                      <w:highlight w:val="none"/>
                    </w:rPr>
                    <w:instrText xml:space="preserve">)</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r>
              <w:tblPrEx>
                <w:tblCellMar>
                  <w:top w:w="0" w:type="dxa"/>
                  <w:left w:w="108" w:type="dxa"/>
                  <w:bottom w:w="0" w:type="dxa"/>
                  <w:right w:w="108" w:type="dxa"/>
                </w:tblCellMar>
              </w:tblPrEx>
              <w:tc>
                <w:tcPr>
                  <w:tcW w:w="5835" w:type="dxa"/>
                  <w:gridSpan w:val="2"/>
                  <w:noWrap w:val="0"/>
                  <w:vAlign w:val="top"/>
                </w:tcPr>
                <w:p>
                  <w:pPr>
                    <w:snapToGrid w:val="0"/>
                    <w:ind w:left="-73" w:leftChars="-35"/>
                    <w:rPr>
                      <w:rFonts w:hint="eastAsia"/>
                      <w:szCs w:val="24"/>
                      <w:highlight w:val="none"/>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p>
                <w:p>
                  <w:pPr>
                    <w:snapToGrid w:val="0"/>
                    <w:ind w:left="-73" w:leftChars="-35"/>
                    <w:rPr>
                      <w:rFonts w:hint="eastAsia"/>
                      <w:b/>
                      <w:bCs/>
                      <w:snapToGrid w:val="0"/>
                      <w:szCs w:val="24"/>
                      <w:highlight w:val="none"/>
                    </w:rPr>
                  </w:pPr>
                </w:p>
              </w:tc>
            </w:tr>
          </w:tbl>
          <w:p>
            <w:pPr>
              <w:snapToGrid w:val="0"/>
              <w:rPr>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34</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w:t>
            </w:r>
            <w:r>
              <w:rPr>
                <w:rFonts w:hint="eastAsia" w:cs="Times New Roman"/>
                <w:lang w:val="en-US" w:eastAsia="zh-CN"/>
              </w:rPr>
              <w:t>1</w:t>
            </w:r>
            <w:r>
              <w:rPr>
                <w:rFonts w:hint="eastAsia" w:ascii="宋体" w:hAnsi="Times New Roman" w:eastAsia="宋体" w:cs="Times New Roman"/>
              </w:rPr>
              <w:t>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rPr>
          <w:rFonts w:ascii="黑体" w:eastAsia="黑体"/>
          <w:sz w:val="28"/>
          <w:szCs w:val="28"/>
          <w:highlight w:val="none"/>
        </w:rPr>
      </w:pPr>
    </w:p>
    <w:p>
      <w:pPr>
        <w:jc w:val="center"/>
        <w:rPr>
          <w:rFonts w:hint="eastAsia" w:ascii="黑体" w:hAnsi="黑体" w:eastAsia="黑体"/>
          <w:b/>
          <w:highlight w:val="none"/>
        </w:rPr>
      </w:pPr>
      <w:r>
        <w:rPr>
          <w:rFonts w:ascii="黑体" w:eastAsia="黑体"/>
          <w:sz w:val="28"/>
          <w:szCs w:val="28"/>
          <w:highlight w:val="none"/>
        </w:rPr>
        <w:br w:type="page"/>
      </w:r>
      <w:bookmarkStart w:id="5" w:name="_Toc460226720"/>
      <w:bookmarkStart w:id="6" w:name="_Toc38879316"/>
      <w:bookmarkStart w:id="7" w:name="_Toc460226989"/>
      <w:bookmarkStart w:id="8" w:name="_Toc11078137"/>
      <w:bookmarkStart w:id="9" w:name="_Toc460660062"/>
      <w:bookmarkStart w:id="10" w:name="_Toc421916975"/>
      <w:bookmarkStart w:id="11" w:name="_Toc283798416"/>
      <w:bookmarkStart w:id="12" w:name="_Toc184635071"/>
      <w:r>
        <w:rPr>
          <w:rFonts w:hint="eastAsia" w:ascii="黑体" w:hAnsi="黑体" w:eastAsia="黑体"/>
          <w:b/>
          <w:bCs/>
          <w:kern w:val="2"/>
          <w:sz w:val="32"/>
          <w:szCs w:val="32"/>
          <w:highlight w:val="none"/>
        </w:rPr>
        <w:t xml:space="preserve">附录1  </w:t>
      </w:r>
      <w:r>
        <w:rPr>
          <w:rFonts w:hint="eastAsia" w:ascii="黑体" w:hAnsi="黑体" w:eastAsia="黑体"/>
          <w:b/>
          <w:bCs/>
          <w:kern w:val="2"/>
          <w:sz w:val="32"/>
          <w:szCs w:val="32"/>
          <w:highlight w:val="none"/>
          <w:lang w:eastAsia="zh-CN"/>
        </w:rPr>
        <w:t>初审</w:t>
      </w:r>
      <w:r>
        <w:rPr>
          <w:rFonts w:hint="eastAsia" w:ascii="黑体" w:hAnsi="黑体" w:eastAsia="黑体"/>
          <w:b/>
          <w:bCs/>
          <w:kern w:val="2"/>
          <w:sz w:val="32"/>
          <w:szCs w:val="32"/>
          <w:highlight w:val="none"/>
        </w:rPr>
        <w:t>条件(资质最低条件)</w:t>
      </w:r>
      <w:bookmarkEnd w:id="5"/>
      <w:bookmarkEnd w:id="6"/>
      <w:bookmarkEnd w:id="7"/>
      <w:bookmarkEnd w:id="8"/>
      <w:bookmarkEnd w:id="9"/>
      <w:bookmarkEnd w:id="10"/>
      <w:bookmarkEnd w:id="11"/>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noWrap w:val="0"/>
            <w:vAlign w:val="center"/>
          </w:tcPr>
          <w:p>
            <w:pPr>
              <w:pStyle w:val="38"/>
              <w:adjustRightInd w:val="0"/>
              <w:snapToGrid w:val="0"/>
              <w:jc w:val="center"/>
              <w:rPr>
                <w:rFonts w:ascii="宋体" w:hAnsi="宋体"/>
                <w:b/>
                <w:bCs/>
                <w:sz w:val="24"/>
                <w:szCs w:val="24"/>
                <w:highlight w:val="none"/>
              </w:rPr>
            </w:pPr>
            <w:r>
              <w:rPr>
                <w:rFonts w:hint="eastAsia" w:ascii="宋体" w:hAnsi="宋体"/>
                <w:b/>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noWrap w:val="0"/>
            <w:vAlign w:val="top"/>
          </w:tcPr>
          <w:p>
            <w:pPr>
              <w:pStyle w:val="38"/>
              <w:adjustRightInd w:val="0"/>
              <w:snapToGrid w:val="0"/>
              <w:spacing w:before="156" w:beforeLines="50" w:line="360" w:lineRule="auto"/>
              <w:ind w:firstLine="480" w:firstLineChars="200"/>
              <w:rPr>
                <w:rFonts w:hint="eastAsia"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1. 具备有效的营业执照。</w:t>
            </w:r>
          </w:p>
          <w:p>
            <w:pPr>
              <w:pStyle w:val="38"/>
              <w:adjustRightInd w:val="0"/>
              <w:snapToGrid w:val="0"/>
              <w:spacing w:before="156" w:beforeLines="50" w:line="360" w:lineRule="auto"/>
              <w:ind w:firstLine="480" w:firstLineChars="200"/>
              <w:rPr>
                <w:rFonts w:ascii="Times New Roman" w:hAnsi="Times New Roman"/>
                <w:bCs/>
                <w:snapToGrid w:val="0"/>
                <w:kern w:val="0"/>
                <w:sz w:val="24"/>
                <w:szCs w:val="24"/>
                <w:highlight w:val="none"/>
              </w:rPr>
            </w:pPr>
            <w:r>
              <w:rPr>
                <w:rFonts w:hint="eastAsia"/>
                <w:bCs/>
                <w:snapToGrid w:val="0"/>
                <w:sz w:val="24"/>
                <w:szCs w:val="24"/>
                <w:highlight w:val="none"/>
              </w:rPr>
              <w:t>2. 具备有效的资质证书（见招标公告要求）、具备有效的安全生产许可证。</w:t>
            </w:r>
          </w:p>
        </w:tc>
      </w:tr>
    </w:tbl>
    <w:p>
      <w:pPr>
        <w:pStyle w:val="38"/>
        <w:adjustRightInd w:val="0"/>
        <w:snapToGrid w:val="0"/>
        <w:spacing w:line="300" w:lineRule="exact"/>
        <w:rPr>
          <w:rFonts w:hint="eastAsia" w:ascii="Times New Roman" w:hAnsi="Times New Roman"/>
          <w:bCs/>
          <w:snapToGrid w:val="0"/>
          <w:kern w:val="0"/>
          <w:sz w:val="24"/>
          <w:szCs w:val="24"/>
          <w:highlight w:val="none"/>
        </w:rPr>
      </w:pPr>
      <w:r>
        <w:rPr>
          <w:rFonts w:ascii="Times New Roman" w:hAnsi="Times New Roman"/>
          <w:b/>
          <w:sz w:val="24"/>
          <w:szCs w:val="24"/>
          <w:highlight w:val="none"/>
        </w:rPr>
        <w:t xml:space="preserve"> </w:t>
      </w:r>
      <w:r>
        <w:rPr>
          <w:rFonts w:ascii="Times New Roman" w:hAnsi="Times New Roman"/>
          <w:bCs/>
          <w:snapToGrid w:val="0"/>
          <w:kern w:val="0"/>
          <w:sz w:val="24"/>
          <w:szCs w:val="24"/>
          <w:highlight w:val="none"/>
        </w:rPr>
        <w:t xml:space="preserve"> </w:t>
      </w:r>
      <w:r>
        <w:rPr>
          <w:rFonts w:hint="eastAsia" w:ascii="Times New Roman" w:hAnsi="Times New Roman"/>
          <w:bCs/>
          <w:snapToGrid w:val="0"/>
          <w:kern w:val="0"/>
          <w:sz w:val="24"/>
          <w:szCs w:val="24"/>
          <w:highlight w:val="none"/>
        </w:rPr>
        <w:t>注：投标人应提供营业执照、资质证书、安全生产许可证</w:t>
      </w:r>
      <w:bookmarkStart w:id="13" w:name="_Toc460226990"/>
      <w:bookmarkStart w:id="14" w:name="_Toc283798417"/>
      <w:bookmarkStart w:id="15" w:name="_Toc460660063"/>
      <w:bookmarkStart w:id="16" w:name="_Toc421916976"/>
      <w:bookmarkStart w:id="17" w:name="_Toc460226721"/>
      <w:r>
        <w:rPr>
          <w:rFonts w:hint="eastAsia" w:ascii="Times New Roman" w:hAnsi="Times New Roman"/>
          <w:bCs/>
          <w:snapToGrid w:val="0"/>
          <w:kern w:val="0"/>
          <w:sz w:val="24"/>
          <w:szCs w:val="24"/>
          <w:highlight w:val="none"/>
        </w:rPr>
        <w:t>。</w:t>
      </w:r>
    </w:p>
    <w:p>
      <w:pPr>
        <w:adjustRightInd w:val="0"/>
        <w:snapToGrid w:val="0"/>
        <w:spacing w:line="400" w:lineRule="exact"/>
        <w:ind w:firstLine="422" w:firstLineChars="200"/>
        <w:jc w:val="center"/>
        <w:rPr>
          <w:rFonts w:hint="eastAsia" w:ascii="黑体" w:hAnsi="黑体" w:eastAsia="黑体"/>
          <w:b/>
          <w:highlight w:val="none"/>
        </w:rPr>
      </w:pPr>
      <w:r>
        <w:rPr>
          <w:rFonts w:ascii="仿宋" w:hAnsi="仿宋" w:eastAsia="仿宋"/>
          <w:b/>
          <w:highlight w:val="none"/>
        </w:rPr>
        <w:br w:type="page"/>
      </w:r>
      <w:bookmarkEnd w:id="13"/>
      <w:bookmarkEnd w:id="14"/>
      <w:bookmarkEnd w:id="15"/>
      <w:bookmarkEnd w:id="16"/>
      <w:bookmarkEnd w:id="17"/>
      <w:bookmarkStart w:id="18" w:name="_Toc38879319"/>
      <w:bookmarkStart w:id="19" w:name="_Toc11078140"/>
      <w:bookmarkStart w:id="20" w:name="_Toc460226723"/>
      <w:bookmarkStart w:id="21" w:name="_Toc460226992"/>
      <w:bookmarkStart w:id="22" w:name="_Toc421916978"/>
      <w:r>
        <w:rPr>
          <w:rFonts w:hint="eastAsia" w:ascii="黑体" w:hAnsi="黑体" w:eastAsia="黑体" w:cs="Times New Roman"/>
          <w:b/>
          <w:bCs/>
          <w:kern w:val="2"/>
          <w:sz w:val="32"/>
          <w:szCs w:val="32"/>
          <w:highlight w:val="none"/>
        </w:rPr>
        <w:t>附录</w:t>
      </w:r>
      <w:r>
        <w:rPr>
          <w:rFonts w:hint="eastAsia" w:ascii="黑体" w:hAnsi="黑体" w:eastAsia="黑体" w:cs="Times New Roman"/>
          <w:b/>
          <w:bCs/>
          <w:kern w:val="2"/>
          <w:sz w:val="32"/>
          <w:szCs w:val="32"/>
          <w:highlight w:val="none"/>
          <w:lang w:val="en-US" w:eastAsia="zh-CN"/>
        </w:rPr>
        <w:t>2</w:t>
      </w:r>
      <w:r>
        <w:rPr>
          <w:rFonts w:hint="eastAsia" w:ascii="黑体" w:hAnsi="黑体" w:eastAsia="黑体" w:cs="Times New Roman"/>
          <w:b/>
          <w:bCs/>
          <w:kern w:val="2"/>
          <w:sz w:val="32"/>
          <w:szCs w:val="32"/>
          <w:highlight w:val="none"/>
        </w:rPr>
        <w:t xml:space="preserve">  </w:t>
      </w:r>
      <w:r>
        <w:rPr>
          <w:rFonts w:hint="eastAsia" w:ascii="黑体" w:hAnsi="黑体" w:eastAsia="黑体" w:cs="Times New Roman"/>
          <w:b/>
          <w:bCs/>
          <w:kern w:val="2"/>
          <w:sz w:val="32"/>
          <w:szCs w:val="32"/>
          <w:highlight w:val="none"/>
          <w:lang w:eastAsia="zh-CN"/>
        </w:rPr>
        <w:t>初审</w:t>
      </w:r>
      <w:r>
        <w:rPr>
          <w:rFonts w:hint="eastAsia" w:ascii="黑体" w:hAnsi="黑体" w:eastAsia="黑体" w:cs="Times New Roman"/>
          <w:b/>
          <w:bCs/>
          <w:kern w:val="2"/>
          <w:sz w:val="32"/>
          <w:szCs w:val="32"/>
          <w:highlight w:val="none"/>
        </w:rPr>
        <w:t>条件(信誉最低要求)</w:t>
      </w:r>
      <w:bookmarkEnd w:id="18"/>
      <w:bookmarkEnd w:id="1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720" w:type="dxa"/>
            <w:tcBorders>
              <w:top w:val="single" w:color="auto" w:sz="4" w:space="0"/>
              <w:left w:val="single" w:color="auto" w:sz="4" w:space="0"/>
              <w:bottom w:val="single" w:color="auto" w:sz="4" w:space="0"/>
              <w:right w:val="single" w:color="auto" w:sz="4" w:space="0"/>
            </w:tcBorders>
            <w:noWrap w:val="0"/>
            <w:vAlign w:val="center"/>
          </w:tcPr>
          <w:p>
            <w:pPr>
              <w:pStyle w:val="38"/>
              <w:adjustRightInd w:val="0"/>
              <w:snapToGrid w:val="0"/>
              <w:jc w:val="center"/>
              <w:rPr>
                <w:rFonts w:ascii="宋体" w:hAnsi="宋体"/>
                <w:b/>
                <w:bCs/>
                <w:sz w:val="24"/>
                <w:szCs w:val="24"/>
                <w:highlight w:val="none"/>
              </w:rPr>
            </w:pPr>
            <w:r>
              <w:rPr>
                <w:rFonts w:hint="eastAsia" w:ascii="宋体" w:hAnsi="宋体"/>
                <w:b/>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8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hAnsi="宋体" w:cs="宋体"/>
                <w:szCs w:val="24"/>
                <w:highlight w:val="none"/>
              </w:rPr>
            </w:pPr>
            <w:r>
              <w:rPr>
                <w:rFonts w:hint="eastAsia" w:hAnsi="宋体"/>
                <w:b/>
                <w:szCs w:val="24"/>
                <w:highlight w:val="none"/>
              </w:rPr>
              <w:t>投标人符合下列情形之一：</w:t>
            </w:r>
            <w:r>
              <w:rPr>
                <w:rFonts w:hint="eastAsia" w:hAnsi="宋体" w:cs="宋体"/>
                <w:szCs w:val="24"/>
                <w:highlight w:val="none"/>
              </w:rPr>
              <w:t xml:space="preserve"> </w:t>
            </w:r>
          </w:p>
          <w:p>
            <w:pPr>
              <w:widowControl/>
              <w:spacing w:line="360" w:lineRule="auto"/>
              <w:jc w:val="left"/>
              <w:rPr>
                <w:rFonts w:hAnsi="宋体" w:cs="宋体"/>
                <w:szCs w:val="24"/>
                <w:highlight w:val="none"/>
              </w:rPr>
            </w:pPr>
            <w:r>
              <w:rPr>
                <w:rFonts w:hint="eastAsia" w:hAnsi="宋体" w:cs="宋体"/>
                <w:szCs w:val="24"/>
                <w:highlight w:val="none"/>
              </w:rPr>
              <w:t>（1)开标日前两年内未被合肥市及其所辖</w:t>
            </w:r>
            <w:r>
              <w:rPr>
                <w:rFonts w:hint="eastAsia" w:hAnsi="宋体" w:cs="宋体"/>
                <w:b/>
                <w:szCs w:val="24"/>
                <w:highlight w:val="none"/>
              </w:rPr>
              <w:t>县（市）公共资源交易监督管理部门</w:t>
            </w:r>
            <w:r>
              <w:rPr>
                <w:rFonts w:hint="eastAsia" w:hAnsi="宋体" w:cs="宋体"/>
                <w:szCs w:val="24"/>
                <w:highlight w:val="none"/>
              </w:rPr>
              <w:t xml:space="preserve">记不良行为记录或记不良行为记录累计未满10分的。 </w:t>
            </w:r>
          </w:p>
          <w:p>
            <w:pPr>
              <w:widowControl/>
              <w:spacing w:line="360" w:lineRule="auto"/>
              <w:jc w:val="left"/>
              <w:rPr>
                <w:rFonts w:hAnsi="宋体" w:cs="宋体"/>
                <w:szCs w:val="24"/>
                <w:highlight w:val="none"/>
              </w:rPr>
            </w:pPr>
            <w:r>
              <w:rPr>
                <w:rFonts w:hint="eastAsia" w:hAnsi="宋体" w:cs="宋体"/>
                <w:szCs w:val="24"/>
                <w:highlight w:val="none"/>
              </w:rPr>
              <w:t>（2)最近一次被合肥市及其所辖</w:t>
            </w:r>
            <w:r>
              <w:rPr>
                <w:rFonts w:hint="eastAsia" w:hAnsi="宋体" w:cs="宋体"/>
                <w:b/>
                <w:szCs w:val="24"/>
                <w:highlight w:val="none"/>
              </w:rPr>
              <w:t>县（市）公共资源交易监督管理部门</w:t>
            </w:r>
            <w:r>
              <w:rPr>
                <w:rFonts w:hint="eastAsia" w:hAnsi="宋体" w:cs="宋体"/>
                <w:szCs w:val="24"/>
                <w:highlight w:val="none"/>
              </w:rPr>
              <w:t xml:space="preserve">记不良行为记录累计记分达10分(含10分)到15分且公布日距开标日超过6个月。 </w:t>
            </w:r>
          </w:p>
          <w:p>
            <w:pPr>
              <w:widowControl/>
              <w:spacing w:line="360" w:lineRule="auto"/>
              <w:jc w:val="left"/>
              <w:rPr>
                <w:rFonts w:hAnsi="宋体" w:cs="宋体"/>
                <w:szCs w:val="24"/>
                <w:highlight w:val="none"/>
              </w:rPr>
            </w:pPr>
            <w:r>
              <w:rPr>
                <w:rFonts w:hint="eastAsia" w:hAnsi="宋体" w:cs="宋体"/>
                <w:szCs w:val="24"/>
                <w:highlight w:val="none"/>
              </w:rPr>
              <w:t>（3)最近一次被合肥市及其所辖</w:t>
            </w:r>
            <w:r>
              <w:rPr>
                <w:rFonts w:hint="eastAsia" w:hAnsi="宋体" w:cs="宋体"/>
                <w:b/>
                <w:szCs w:val="24"/>
                <w:highlight w:val="none"/>
              </w:rPr>
              <w:t>县（市）公共资源交易监督管理部门</w:t>
            </w:r>
            <w:r>
              <w:rPr>
                <w:rFonts w:hint="eastAsia" w:hAnsi="宋体" w:cs="宋体"/>
                <w:szCs w:val="24"/>
                <w:highlight w:val="none"/>
              </w:rPr>
              <w:t xml:space="preserve">记不良行为记录累计记分达15分(含15分)到20分且公布日距开标日超过12个月。 </w:t>
            </w:r>
          </w:p>
          <w:p>
            <w:pPr>
              <w:spacing w:line="460" w:lineRule="exact"/>
              <w:rPr>
                <w:bCs/>
                <w:szCs w:val="24"/>
                <w:highlight w:val="none"/>
              </w:rPr>
            </w:pPr>
            <w:r>
              <w:rPr>
                <w:rFonts w:hint="eastAsia" w:hAnsi="宋体" w:cs="宋体"/>
                <w:szCs w:val="24"/>
                <w:highlight w:val="none"/>
              </w:rPr>
              <w:t>（4)最近一次被合肥市及其所辖</w:t>
            </w:r>
            <w:r>
              <w:rPr>
                <w:rFonts w:hint="eastAsia" w:hAnsi="宋体" w:cs="宋体"/>
                <w:b/>
                <w:szCs w:val="24"/>
                <w:highlight w:val="none"/>
              </w:rPr>
              <w:t>县（市）公共资源交易监督管理部门</w:t>
            </w:r>
            <w:r>
              <w:rPr>
                <w:rFonts w:hint="eastAsia" w:hAnsi="宋体" w:cs="宋体"/>
                <w:szCs w:val="24"/>
                <w:highlight w:val="none"/>
              </w:rPr>
              <w:t>记不良行为记录累计记分达20分(含20分)及以上且公布日距开标日超过24个月。</w:t>
            </w:r>
          </w:p>
        </w:tc>
      </w:tr>
    </w:tbl>
    <w:p>
      <w:pPr>
        <w:pStyle w:val="12"/>
        <w:ind w:left="0"/>
        <w:jc w:val="center"/>
        <w:rPr>
          <w:rFonts w:hint="eastAsia" w:ascii="黑体" w:hAnsi="黑体" w:eastAsia="黑体" w:cs="Times New Roman"/>
          <w:b/>
          <w:bCs/>
          <w:kern w:val="2"/>
          <w:sz w:val="32"/>
          <w:szCs w:val="32"/>
          <w:highlight w:val="none"/>
        </w:rPr>
      </w:pPr>
      <w:r>
        <w:rPr>
          <w:rFonts w:hint="eastAsia" w:ascii="宋体" w:hAnsi="宋体" w:cs="宋体"/>
          <w:i w:val="0"/>
          <w:iCs w:val="0"/>
          <w:sz w:val="24"/>
          <w:szCs w:val="24"/>
          <w:highlight w:val="none"/>
        </w:rPr>
        <w:t>注：投标人在投标函中承诺，不需要提供相关证明材料。如投标人承诺与实际不符，招标人有权取消其中标（或中标候选）资格，并将报监管部门处理。</w:t>
      </w:r>
      <w:r>
        <w:rPr>
          <w:sz w:val="24"/>
          <w:szCs w:val="24"/>
          <w:highlight w:val="none"/>
        </w:rPr>
        <w:br w:type="page"/>
      </w:r>
      <w:bookmarkStart w:id="23" w:name="_Toc460660065"/>
      <w:bookmarkStart w:id="24" w:name="_Toc11078141"/>
      <w:bookmarkStart w:id="25" w:name="_Toc38879320"/>
      <w:r>
        <w:rPr>
          <w:rFonts w:hint="eastAsia" w:ascii="黑体" w:hAnsi="黑体" w:eastAsia="黑体" w:cs="Times New Roman"/>
          <w:b/>
          <w:bCs/>
          <w:i w:val="0"/>
          <w:iCs w:val="0"/>
          <w:kern w:val="2"/>
          <w:sz w:val="32"/>
          <w:szCs w:val="32"/>
          <w:highlight w:val="none"/>
          <w:lang w:val="en-US" w:eastAsia="zh-CN" w:bidi="ar-SA"/>
        </w:rPr>
        <w:t>附录3  初审条件（项目经理/项目负责人最低要求）</w:t>
      </w:r>
      <w:bookmarkEnd w:id="20"/>
      <w:bookmarkEnd w:id="21"/>
      <w:bookmarkEnd w:id="22"/>
      <w:bookmarkEnd w:id="23"/>
      <w:bookmarkEnd w:id="24"/>
      <w:bookmarkEnd w:id="25"/>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pStyle w:val="38"/>
              <w:adjustRightInd w:val="0"/>
              <w:snapToGrid w:val="0"/>
              <w:jc w:val="center"/>
              <w:rPr>
                <w:rFonts w:ascii="宋体" w:hAnsi="宋体"/>
                <w:b/>
                <w:sz w:val="24"/>
                <w:szCs w:val="24"/>
                <w:highlight w:val="none"/>
              </w:rPr>
            </w:pPr>
            <w:r>
              <w:rPr>
                <w:rFonts w:hint="eastAsia" w:ascii="宋体" w:hAnsi="宋体"/>
                <w:b/>
                <w:sz w:val="24"/>
                <w:szCs w:val="24"/>
                <w:highlight w:val="none"/>
              </w:rPr>
              <w:t>人</w:t>
            </w:r>
            <w:r>
              <w:rPr>
                <w:rFonts w:ascii="宋体" w:hAnsi="宋体"/>
                <w:b/>
                <w:sz w:val="24"/>
                <w:szCs w:val="24"/>
                <w:highlight w:val="none"/>
              </w:rPr>
              <w:t xml:space="preserve">  </w:t>
            </w:r>
            <w:r>
              <w:rPr>
                <w:rFonts w:hint="eastAsia" w:ascii="宋体" w:hAnsi="宋体"/>
                <w:b/>
                <w:sz w:val="24"/>
                <w:szCs w:val="24"/>
                <w:highlight w:val="none"/>
              </w:rPr>
              <w:t>员</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pStyle w:val="38"/>
              <w:adjustRightInd w:val="0"/>
              <w:snapToGrid w:val="0"/>
              <w:jc w:val="center"/>
              <w:rPr>
                <w:rFonts w:ascii="宋体" w:hAnsi="宋体"/>
                <w:b/>
                <w:sz w:val="24"/>
                <w:szCs w:val="24"/>
                <w:highlight w:val="none"/>
              </w:rPr>
            </w:pPr>
            <w:r>
              <w:rPr>
                <w:rFonts w:hint="eastAsia" w:ascii="宋体" w:hAnsi="宋体"/>
                <w:b/>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0" w:type="dxa"/>
            <w:tcBorders>
              <w:top w:val="single" w:color="auto" w:sz="4" w:space="0"/>
              <w:left w:val="single" w:color="auto" w:sz="4" w:space="0"/>
              <w:bottom w:val="single" w:color="auto" w:sz="4" w:space="0"/>
              <w:right w:val="single" w:color="auto" w:sz="4" w:space="0"/>
            </w:tcBorders>
            <w:noWrap w:val="0"/>
            <w:vAlign w:val="center"/>
          </w:tcPr>
          <w:p>
            <w:pPr>
              <w:pStyle w:val="38"/>
              <w:widowControl/>
              <w:jc w:val="center"/>
              <w:rPr>
                <w:rFonts w:hint="eastAsia" w:ascii="Times New Roman" w:hAnsi="Times New Roman" w:eastAsia="宋体" w:cs="宋体"/>
                <w:bCs/>
                <w:kern w:val="0"/>
                <w:sz w:val="24"/>
                <w:szCs w:val="24"/>
                <w:highlight w:val="none"/>
                <w:lang w:eastAsia="zh-CN"/>
              </w:rPr>
            </w:pPr>
            <w:r>
              <w:rPr>
                <w:rFonts w:hint="eastAsia" w:ascii="Times New Roman" w:hAnsi="Times New Roman" w:cs="楷体"/>
                <w:bCs/>
                <w:snapToGrid w:val="0"/>
                <w:kern w:val="0"/>
                <w:sz w:val="24"/>
                <w:szCs w:val="24"/>
                <w:highlight w:val="none"/>
                <w:lang w:eastAsia="zh-CN"/>
              </w:rPr>
              <w:t>项目经理/项目负责人（如须）</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pStyle w:val="38"/>
              <w:widowControl/>
              <w:jc w:val="left"/>
              <w:rPr>
                <w:rFonts w:hint="eastAsia" w:ascii="Times New Roman" w:hAnsi="Times New Roman" w:cs="楷体"/>
                <w:bCs/>
                <w:snapToGrid w:val="0"/>
                <w:kern w:val="0"/>
                <w:sz w:val="24"/>
                <w:szCs w:val="24"/>
                <w:highlight w:val="none"/>
              </w:rPr>
            </w:pPr>
            <w:r>
              <w:rPr>
                <w:rFonts w:hint="eastAsia" w:ascii="Times New Roman" w:hAnsi="Times New Roman" w:cs="楷体"/>
                <w:bCs/>
                <w:snapToGrid w:val="0"/>
                <w:kern w:val="0"/>
                <w:sz w:val="24"/>
                <w:szCs w:val="24"/>
                <w:highlight w:val="none"/>
              </w:rPr>
              <w:t>（1）</w:t>
            </w:r>
            <w:r>
              <w:rPr>
                <w:rFonts w:hint="eastAsia" w:ascii="Times New Roman" w:hAnsi="Times New Roman" w:cs="楷体"/>
                <w:bCs/>
                <w:snapToGrid w:val="0"/>
                <w:kern w:val="0"/>
                <w:sz w:val="24"/>
                <w:szCs w:val="24"/>
                <w:highlight w:val="none"/>
                <w:lang w:eastAsia="zh-CN"/>
              </w:rPr>
              <w:t>项目经理/项目负责人</w:t>
            </w:r>
            <w:r>
              <w:rPr>
                <w:rFonts w:hint="eastAsia" w:ascii="Times New Roman" w:hAnsi="Times New Roman" w:cs="楷体"/>
                <w:bCs/>
                <w:snapToGrid w:val="0"/>
                <w:kern w:val="0"/>
                <w:sz w:val="24"/>
                <w:szCs w:val="24"/>
                <w:highlight w:val="none"/>
              </w:rPr>
              <w:t>资格条件见招标公告要求，且必须是本单位人员</w:t>
            </w:r>
            <w:r>
              <w:rPr>
                <w:rFonts w:hint="eastAsia" w:ascii="Times New Roman" w:hAnsi="Times New Roman" w:cs="楷体"/>
                <w:b/>
                <w:bCs/>
                <w:snapToGrid w:val="0"/>
                <w:kern w:val="0"/>
                <w:sz w:val="24"/>
                <w:szCs w:val="24"/>
                <w:highlight w:val="none"/>
              </w:rPr>
              <w:t>（招标公告中要求的注册证书注册单位应当与投标人名称一致，</w:t>
            </w:r>
            <w:r>
              <w:rPr>
                <w:rFonts w:hint="eastAsia" w:ascii="Times New Roman" w:hAnsi="Times New Roman" w:cs="楷体"/>
                <w:bCs/>
                <w:snapToGrid w:val="0"/>
                <w:kern w:val="0"/>
                <w:sz w:val="24"/>
                <w:szCs w:val="24"/>
                <w:highlight w:val="none"/>
              </w:rPr>
              <w:t>提供投标人所属社保机构出具的拟委任的</w:t>
            </w:r>
            <w:r>
              <w:rPr>
                <w:rFonts w:hint="eastAsia" w:ascii="Times New Roman" w:hAnsi="Times New Roman" w:cs="楷体"/>
                <w:bCs/>
                <w:snapToGrid w:val="0"/>
                <w:kern w:val="0"/>
                <w:sz w:val="24"/>
                <w:szCs w:val="24"/>
                <w:highlight w:val="none"/>
                <w:lang w:eastAsia="zh-CN"/>
              </w:rPr>
              <w:t>项目经理/项目负责人</w:t>
            </w:r>
            <w:r>
              <w:rPr>
                <w:rFonts w:hint="eastAsia" w:ascii="Times New Roman" w:hAnsi="Times New Roman" w:cs="楷体"/>
                <w:bCs/>
                <w:snapToGrid w:val="0"/>
                <w:kern w:val="0"/>
                <w:sz w:val="24"/>
                <w:szCs w:val="24"/>
                <w:highlight w:val="none"/>
                <w:u w:val="single"/>
              </w:rPr>
              <w:t xml:space="preserve"> </w:t>
            </w:r>
            <w:r>
              <w:rPr>
                <w:rFonts w:hint="eastAsia" w:ascii="Times New Roman" w:hAnsi="Times New Roman" w:cs="楷体"/>
                <w:b/>
                <w:bCs/>
                <w:snapToGrid w:val="0"/>
                <w:color w:val="auto"/>
                <w:kern w:val="0"/>
                <w:sz w:val="24"/>
                <w:szCs w:val="24"/>
                <w:highlight w:val="none"/>
                <w:u w:val="single"/>
              </w:rPr>
              <w:t>开标之日</w:t>
            </w:r>
            <w:r>
              <w:rPr>
                <w:rFonts w:hint="eastAsia" w:ascii="Times New Roman" w:hAnsi="Times New Roman" w:cs="楷体"/>
                <w:b/>
                <w:bCs/>
                <w:snapToGrid w:val="0"/>
                <w:color w:val="auto"/>
                <w:kern w:val="0"/>
                <w:sz w:val="24"/>
                <w:szCs w:val="24"/>
                <w:highlight w:val="none"/>
                <w:u w:val="single"/>
                <w:lang w:val="en-US" w:eastAsia="zh-CN"/>
              </w:rPr>
              <w:t>起近三个月任意一个月</w:t>
            </w:r>
            <w:r>
              <w:rPr>
                <w:rFonts w:hint="eastAsia" w:ascii="Times New Roman" w:hAnsi="Times New Roman" w:cs="楷体"/>
                <w:bCs/>
                <w:snapToGrid w:val="0"/>
                <w:kern w:val="0"/>
                <w:sz w:val="24"/>
                <w:szCs w:val="24"/>
                <w:highlight w:val="none"/>
                <w:u w:val="single"/>
              </w:rPr>
              <w:t xml:space="preserve"> </w:t>
            </w:r>
            <w:r>
              <w:rPr>
                <w:rFonts w:hint="eastAsia" w:ascii="Times New Roman" w:hAnsi="Times New Roman" w:cs="楷体"/>
                <w:bCs/>
                <w:snapToGrid w:val="0"/>
                <w:kern w:val="0"/>
                <w:sz w:val="24"/>
                <w:szCs w:val="24"/>
                <w:highlight w:val="none"/>
              </w:rPr>
              <w:t>（社保时间要求）社保缴费证明或其他能够证明拟委任的</w:t>
            </w:r>
            <w:r>
              <w:rPr>
                <w:rFonts w:hint="eastAsia" w:ascii="Times New Roman" w:hAnsi="Times New Roman" w:cs="楷体"/>
                <w:bCs/>
                <w:snapToGrid w:val="0"/>
                <w:kern w:val="0"/>
                <w:sz w:val="24"/>
                <w:szCs w:val="24"/>
                <w:highlight w:val="none"/>
                <w:lang w:eastAsia="zh-CN"/>
              </w:rPr>
              <w:t>项目经理/项目负责人</w:t>
            </w:r>
            <w:r>
              <w:rPr>
                <w:rFonts w:hint="eastAsia" w:ascii="Times New Roman" w:hAnsi="Times New Roman" w:cs="楷体"/>
                <w:bCs/>
                <w:snapToGrid w:val="0"/>
                <w:kern w:val="0"/>
                <w:sz w:val="24"/>
                <w:szCs w:val="24"/>
                <w:highlight w:val="none"/>
              </w:rPr>
              <w:t>参加社保的有效证明材料，</w:t>
            </w:r>
            <w:r>
              <w:rPr>
                <w:rFonts w:hint="eastAsia" w:ascii="Times New Roman" w:hAnsi="Times New Roman" w:cs="楷体"/>
                <w:bCs/>
                <w:snapToGrid w:val="0"/>
                <w:kern w:val="0"/>
                <w:sz w:val="24"/>
                <w:szCs w:val="24"/>
                <w:highlight w:val="none"/>
                <w:lang w:eastAsia="zh-CN"/>
              </w:rPr>
              <w:t>项目经理/项目负责人</w:t>
            </w:r>
            <w:r>
              <w:rPr>
                <w:rFonts w:hint="eastAsia" w:ascii="Times New Roman" w:hAnsi="Times New Roman" w:cs="楷体"/>
                <w:bCs/>
                <w:snapToGrid w:val="0"/>
                <w:kern w:val="0"/>
                <w:sz w:val="24"/>
                <w:szCs w:val="24"/>
                <w:highlight w:val="none"/>
              </w:rPr>
              <w:t>的社会保险的缴纳单位应当是投标人或者投标人不具备独立法人资格的分支机构。</w:t>
            </w:r>
          </w:p>
          <w:p>
            <w:pPr>
              <w:widowControl/>
              <w:jc w:val="left"/>
              <w:rPr>
                <w:rFonts w:hint="eastAsia" w:cs="楷体"/>
                <w:bCs/>
                <w:snapToGrid w:val="0"/>
                <w:szCs w:val="24"/>
                <w:highlight w:val="none"/>
              </w:rPr>
            </w:pPr>
            <w:r>
              <w:rPr>
                <w:rFonts w:cs="楷体"/>
                <w:bCs/>
                <w:snapToGrid w:val="0"/>
                <w:szCs w:val="24"/>
                <w:highlight w:val="none"/>
              </w:rPr>
              <w:t>（</w:t>
            </w:r>
            <w:r>
              <w:rPr>
                <w:rFonts w:hint="eastAsia" w:cs="楷体"/>
                <w:bCs/>
                <w:snapToGrid w:val="0"/>
                <w:szCs w:val="24"/>
                <w:highlight w:val="none"/>
              </w:rPr>
              <w:t>2</w:t>
            </w:r>
            <w:r>
              <w:rPr>
                <w:rFonts w:cs="楷体"/>
                <w:bCs/>
                <w:snapToGrid w:val="0"/>
                <w:szCs w:val="24"/>
                <w:highlight w:val="none"/>
              </w:rPr>
              <w:t>）</w:t>
            </w:r>
            <w:r>
              <w:rPr>
                <w:rFonts w:hint="eastAsia" w:cs="楷体"/>
                <w:bCs/>
                <w:snapToGrid w:val="0"/>
                <w:szCs w:val="24"/>
                <w:highlight w:val="none"/>
                <w:lang w:eastAsia="zh-CN"/>
              </w:rPr>
              <w:t>项目经理/项目负责人</w:t>
            </w:r>
            <w:r>
              <w:rPr>
                <w:rFonts w:hint="eastAsia" w:cs="楷体"/>
                <w:bCs/>
                <w:snapToGrid w:val="0"/>
                <w:szCs w:val="24"/>
                <w:highlight w:val="none"/>
              </w:rPr>
              <w:t>业绩具体要求见招标公告。</w:t>
            </w:r>
          </w:p>
          <w:p>
            <w:pPr>
              <w:widowControl/>
              <w:jc w:val="left"/>
              <w:rPr>
                <w:rFonts w:hint="eastAsia" w:cs="楷体"/>
                <w:bCs/>
                <w:snapToGrid w:val="0"/>
                <w:szCs w:val="24"/>
                <w:highlight w:val="none"/>
              </w:rPr>
            </w:pPr>
            <w:r>
              <w:rPr>
                <w:rFonts w:hint="eastAsia" w:cs="楷体"/>
                <w:bCs/>
                <w:snapToGrid w:val="0"/>
                <w:szCs w:val="24"/>
                <w:highlight w:val="none"/>
              </w:rPr>
              <w:t>（3）</w:t>
            </w:r>
            <w:r>
              <w:rPr>
                <w:rFonts w:hint="eastAsia" w:cs="楷体"/>
                <w:bCs/>
                <w:snapToGrid w:val="0"/>
                <w:szCs w:val="24"/>
                <w:highlight w:val="none"/>
                <w:lang w:eastAsia="zh-CN"/>
              </w:rPr>
              <w:t>项目经理/项目负责人</w:t>
            </w:r>
            <w:r>
              <w:rPr>
                <w:rFonts w:hint="eastAsia" w:cs="楷体"/>
                <w:bCs/>
                <w:snapToGrid w:val="0"/>
                <w:szCs w:val="24"/>
                <w:highlight w:val="none"/>
              </w:rPr>
              <w:t>不得同时担任两个及以上建设工程施工项目负责人，以下情形除外：</w:t>
            </w:r>
          </w:p>
          <w:p>
            <w:pPr>
              <w:widowControl/>
              <w:jc w:val="left"/>
              <w:rPr>
                <w:rFonts w:hint="eastAsia" w:cs="楷体"/>
                <w:bCs/>
                <w:snapToGrid w:val="0"/>
                <w:szCs w:val="24"/>
                <w:highlight w:val="none"/>
              </w:rPr>
            </w:pPr>
            <w:r>
              <w:rPr>
                <w:rFonts w:hint="eastAsia" w:cs="楷体"/>
                <w:bCs/>
                <w:snapToGrid w:val="0"/>
                <w:szCs w:val="24"/>
                <w:highlight w:val="none"/>
              </w:rPr>
              <w:t>①法定情形；</w:t>
            </w:r>
          </w:p>
          <w:p>
            <w:pPr>
              <w:widowControl/>
              <w:jc w:val="left"/>
              <w:rPr>
                <w:rFonts w:cs="楷体"/>
                <w:bCs/>
                <w:snapToGrid w:val="0"/>
                <w:szCs w:val="24"/>
                <w:highlight w:val="none"/>
              </w:rPr>
            </w:pPr>
            <w:r>
              <w:rPr>
                <w:rFonts w:hint="eastAsia" w:cs="楷体"/>
                <w:bCs/>
                <w:snapToGrid w:val="0"/>
                <w:szCs w:val="24"/>
                <w:highlight w:val="none"/>
              </w:rPr>
              <w:t>②虽在其他项目上担任</w:t>
            </w:r>
            <w:r>
              <w:rPr>
                <w:rFonts w:hint="eastAsia" w:cs="楷体"/>
                <w:bCs/>
                <w:snapToGrid w:val="0"/>
                <w:szCs w:val="24"/>
                <w:highlight w:val="none"/>
                <w:lang w:eastAsia="zh-CN"/>
              </w:rPr>
              <w:t>项目经理/项目负责人</w:t>
            </w:r>
            <w:r>
              <w:rPr>
                <w:rFonts w:hint="eastAsia" w:cs="楷体"/>
                <w:bCs/>
                <w:snapToGrid w:val="0"/>
                <w:szCs w:val="24"/>
                <w:highlight w:val="none"/>
              </w:rPr>
              <w:t>岗位，但承诺在本项目中标后合同签订前能够从其他项目变更至本项目并全面履约。</w:t>
            </w:r>
          </w:p>
        </w:tc>
      </w:tr>
    </w:tbl>
    <w:p>
      <w:pPr>
        <w:pStyle w:val="38"/>
        <w:adjustRightInd w:val="0"/>
        <w:snapToGrid w:val="0"/>
        <w:spacing w:line="400" w:lineRule="exact"/>
        <w:jc w:val="left"/>
        <w:rPr>
          <w:rFonts w:hint="eastAsia" w:ascii="黑体" w:eastAsia="黑体"/>
          <w:sz w:val="24"/>
          <w:highlight w:val="none"/>
        </w:rPr>
      </w:pPr>
      <w:bookmarkStart w:id="26" w:name="_Toc460226725"/>
      <w:bookmarkStart w:id="27" w:name="_Toc460660067"/>
      <w:bookmarkStart w:id="28" w:name="_Toc460226994"/>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pStyle w:val="38"/>
        <w:adjustRightInd w:val="0"/>
        <w:snapToGrid w:val="0"/>
        <w:spacing w:line="400" w:lineRule="exact"/>
        <w:jc w:val="left"/>
        <w:rPr>
          <w:rFonts w:hint="eastAsia" w:ascii="黑体" w:eastAsia="黑体"/>
          <w:sz w:val="24"/>
          <w:highlight w:val="none"/>
        </w:rPr>
      </w:pPr>
    </w:p>
    <w:p>
      <w:pPr>
        <w:spacing w:line="360" w:lineRule="auto"/>
        <w:rPr>
          <w:rFonts w:hint="eastAsia" w:hAnsi="宋体"/>
          <w:b/>
          <w:szCs w:val="21"/>
          <w:highlight w:val="none"/>
        </w:rPr>
      </w:pPr>
    </w:p>
    <w:p>
      <w:pPr>
        <w:pStyle w:val="38"/>
        <w:adjustRightInd w:val="0"/>
        <w:snapToGrid w:val="0"/>
        <w:spacing w:line="400" w:lineRule="exact"/>
        <w:jc w:val="left"/>
        <w:rPr>
          <w:rFonts w:hint="eastAsia" w:ascii="Times New Roman" w:hAnsi="Times New Roman"/>
          <w:bCs/>
          <w:snapToGrid w:val="0"/>
          <w:kern w:val="0"/>
          <w:szCs w:val="21"/>
          <w:highlight w:val="none"/>
        </w:rPr>
      </w:pPr>
    </w:p>
    <w:p>
      <w:pPr>
        <w:pStyle w:val="38"/>
        <w:adjustRightInd w:val="0"/>
        <w:snapToGrid w:val="0"/>
        <w:spacing w:line="400" w:lineRule="exact"/>
        <w:jc w:val="left"/>
        <w:rPr>
          <w:rFonts w:hint="eastAsia" w:ascii="Times New Roman" w:hAnsi="Times New Roman"/>
          <w:bCs/>
          <w:snapToGrid w:val="0"/>
          <w:kern w:val="0"/>
          <w:szCs w:val="21"/>
          <w:highlight w:val="none"/>
        </w:rPr>
      </w:pPr>
    </w:p>
    <w:p>
      <w:pPr>
        <w:pStyle w:val="38"/>
        <w:adjustRightInd w:val="0"/>
        <w:snapToGrid w:val="0"/>
        <w:spacing w:line="400" w:lineRule="exact"/>
        <w:jc w:val="left"/>
        <w:rPr>
          <w:rFonts w:hint="eastAsia" w:ascii="Times New Roman" w:hAnsi="Times New Roman"/>
          <w:bCs/>
          <w:snapToGrid w:val="0"/>
          <w:kern w:val="0"/>
          <w:szCs w:val="21"/>
          <w:highlight w:val="none"/>
        </w:rPr>
      </w:pPr>
    </w:p>
    <w:p>
      <w:pPr>
        <w:pStyle w:val="38"/>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12"/>
    <w:bookmarkEnd w:id="26"/>
    <w:bookmarkEnd w:id="27"/>
    <w:bookmarkEnd w:id="28"/>
    <w:p>
      <w:pPr>
        <w:pStyle w:val="4"/>
        <w:spacing w:line="500" w:lineRule="exact"/>
        <w:ind w:firstLine="0"/>
        <w:jc w:val="center"/>
        <w:outlineLvl w:val="0"/>
        <w:rPr>
          <w:rFonts w:hint="eastAsia" w:ascii="宋体" w:hAnsi="宋体" w:eastAsia="宋体"/>
          <w:sz w:val="24"/>
          <w:szCs w:val="24"/>
          <w:highlight w:val="none"/>
          <w:lang w:eastAsia="zh-CN"/>
        </w:rPr>
      </w:pPr>
      <w:bookmarkStart w:id="29" w:name="_Toc16565"/>
      <w:r>
        <w:rPr>
          <w:rFonts w:hint="eastAsia" w:ascii="宋体" w:hAnsi="宋体" w:eastAsia="宋体"/>
          <w:highlight w:val="none"/>
        </w:rPr>
        <w:t>投标人须知</w:t>
      </w:r>
      <w:r>
        <w:rPr>
          <w:rFonts w:hint="eastAsia" w:ascii="宋体" w:hAnsi="宋体" w:eastAsia="宋体"/>
          <w:highlight w:val="none"/>
          <w:lang w:eastAsia="zh-CN"/>
        </w:rPr>
        <w:t>正文</w:t>
      </w:r>
      <w:bookmarkEnd w:id="29"/>
    </w:p>
    <w:p>
      <w:pPr>
        <w:pStyle w:val="6"/>
        <w:spacing w:line="500" w:lineRule="exact"/>
        <w:jc w:val="both"/>
        <w:rPr>
          <w:rFonts w:hint="eastAsia" w:hAnsi="宋体"/>
          <w:sz w:val="28"/>
          <w:highlight w:val="none"/>
        </w:rPr>
      </w:pPr>
      <w:bookmarkStart w:id="30" w:name="_Hlt509650686"/>
      <w:bookmarkEnd w:id="30"/>
      <w:bookmarkStart w:id="31" w:name="_Hlt526418143"/>
      <w:bookmarkEnd w:id="31"/>
      <w:bookmarkStart w:id="32" w:name="_Hlt509650126"/>
      <w:bookmarkEnd w:id="32"/>
      <w:bookmarkStart w:id="33" w:name="_Hlt509649722"/>
      <w:bookmarkEnd w:id="33"/>
      <w:bookmarkStart w:id="34" w:name="_Hlt509649998"/>
      <w:bookmarkEnd w:id="34"/>
      <w:bookmarkStart w:id="35" w:name="_Hlt509650955"/>
      <w:bookmarkEnd w:id="35"/>
      <w:bookmarkStart w:id="36" w:name="_Toc50128749"/>
      <w:r>
        <w:rPr>
          <w:rFonts w:hint="eastAsia" w:hAnsi="宋体"/>
          <w:sz w:val="28"/>
          <w:highlight w:val="none"/>
        </w:rPr>
        <w:t>一．总    则</w:t>
      </w:r>
      <w:bookmarkEnd w:id="3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1本磋商文件仅适用于本次磋商</w:t>
      </w:r>
      <w:r>
        <w:rPr>
          <w:rFonts w:hint="eastAsia" w:ascii="宋体" w:hAnsi="宋体"/>
          <w:sz w:val="24"/>
          <w:szCs w:val="24"/>
          <w:highlight w:val="none"/>
          <w:lang w:eastAsia="zh-CN"/>
        </w:rPr>
        <w:t>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投标人：系指按规定获取了本磋商文件，且已经提交或准备提交本次响应文件的法人或者其他组织。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4.1合格的投标人应符合磋商文件载明的投标资格。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4.1.1除非磋商文件认可，否则母、子公司之间的业绩、资质不得互用。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8.联合体磋商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8.1除非本项目明确要求不接受联合体形式磋商外，</w:t>
      </w:r>
      <w:r>
        <w:rPr>
          <w:rFonts w:ascii="宋体" w:hAnsi="宋体"/>
          <w:sz w:val="24"/>
          <w:szCs w:val="24"/>
          <w:highlight w:val="none"/>
        </w:rPr>
        <w:t>两个以上法人</w:t>
      </w:r>
      <w:r>
        <w:rPr>
          <w:rFonts w:hint="eastAsia" w:ascii="宋体" w:hAnsi="宋体"/>
          <w:sz w:val="24"/>
          <w:szCs w:val="24"/>
          <w:highlight w:val="none"/>
        </w:rPr>
        <w:t>（磋商文件如有约定，从其约定）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rPr>
        <w:t>磋商</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rPr>
        <w:t>磋商</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rPr>
        <w:t>磋商</w:t>
      </w:r>
      <w:r>
        <w:rPr>
          <w:rFonts w:ascii="宋体" w:hAnsi="宋体"/>
          <w:sz w:val="24"/>
          <w:szCs w:val="24"/>
          <w:highlight w:val="none"/>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rPr>
        <w:t>磋商</w:t>
      </w:r>
      <w:r>
        <w:rPr>
          <w:rFonts w:ascii="宋体" w:hAnsi="宋体"/>
          <w:sz w:val="24"/>
          <w:szCs w:val="24"/>
          <w:highlight w:val="none"/>
        </w:rPr>
        <w:t>或者参加其他联合体磋商的，相关</w:t>
      </w:r>
      <w:r>
        <w:rPr>
          <w:rFonts w:hint="eastAsia" w:ascii="宋体" w:hAnsi="宋体"/>
          <w:sz w:val="24"/>
          <w:highlight w:val="none"/>
        </w:rPr>
        <w:t>磋商</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8.5除磋商文件有明确约定的，联合体参加</w:t>
      </w:r>
      <w:r>
        <w:rPr>
          <w:rFonts w:hint="eastAsia" w:ascii="宋体" w:hAnsi="宋体"/>
          <w:sz w:val="24"/>
          <w:highlight w:val="none"/>
        </w:rPr>
        <w:t>磋商</w:t>
      </w:r>
      <w:r>
        <w:rPr>
          <w:rFonts w:hint="eastAsia" w:ascii="宋体" w:hAnsi="宋体"/>
          <w:sz w:val="24"/>
          <w:szCs w:val="24"/>
          <w:highlight w:val="none"/>
        </w:rPr>
        <w:t>的，可以由联合体中的任一方获取磋商文件。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10.1磋商文件中明确要求加盖公章的，投标人必须加盖投标人公章。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11.磋商信息的发布</w:t>
      </w:r>
    </w:p>
    <w:p>
      <w:pPr>
        <w:spacing w:line="360" w:lineRule="auto"/>
        <w:ind w:firstLine="550"/>
        <w:rPr>
          <w:rFonts w:ascii="宋体" w:hAnsi="宋体"/>
          <w:sz w:val="24"/>
          <w:highlight w:val="none"/>
        </w:rPr>
      </w:pPr>
      <w:r>
        <w:rPr>
          <w:rFonts w:hint="eastAsia" w:ascii="宋体" w:hAnsi="宋体"/>
          <w:sz w:val="24"/>
          <w:highlight w:val="none"/>
        </w:rPr>
        <w:t>11.1与本次磋商活动相关的信息，将在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6"/>
        <w:spacing w:line="500" w:lineRule="exact"/>
        <w:jc w:val="both"/>
        <w:rPr>
          <w:rFonts w:hint="eastAsia" w:hAnsi="宋体"/>
          <w:sz w:val="28"/>
          <w:highlight w:val="none"/>
        </w:rPr>
      </w:pPr>
      <w:bookmarkStart w:id="37" w:name="_Toc50128750"/>
      <w:r>
        <w:rPr>
          <w:rFonts w:hint="eastAsia" w:hAnsi="宋体"/>
          <w:sz w:val="28"/>
          <w:highlight w:val="none"/>
        </w:rPr>
        <w:t>二．磋商文件</w:t>
      </w:r>
      <w:bookmarkEnd w:id="37"/>
      <w:bookmarkStart w:id="38" w:name="_Hlt509649791"/>
      <w:bookmarkEnd w:id="38"/>
      <w:bookmarkStart w:id="39" w:name="_Hlt509650361"/>
      <w:bookmarkEnd w:id="39"/>
      <w:bookmarkStart w:id="40" w:name="_Hlt509649930"/>
      <w:bookmarkEnd w:id="40"/>
    </w:p>
    <w:p>
      <w:pPr>
        <w:spacing w:line="360" w:lineRule="auto"/>
        <w:ind w:firstLine="549"/>
        <w:rPr>
          <w:rFonts w:hint="eastAsia" w:ascii="宋体" w:hAnsi="宋体"/>
          <w:b/>
          <w:sz w:val="24"/>
          <w:szCs w:val="24"/>
          <w:highlight w:val="none"/>
        </w:rPr>
      </w:pPr>
      <w:bookmarkStart w:id="41" w:name="_Hlt509650734"/>
      <w:bookmarkEnd w:id="41"/>
      <w:r>
        <w:rPr>
          <w:rFonts w:hint="eastAsia" w:ascii="宋体" w:hAnsi="宋体"/>
          <w:b/>
          <w:sz w:val="24"/>
          <w:szCs w:val="24"/>
          <w:highlight w:val="none"/>
        </w:rPr>
        <w:t>12.磋商文件构成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磋商文件包括以下部分：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.1第一章：磋商邀请（磋商公告）；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42" w:name="_Hlt509650925"/>
      <w:bookmarkEnd w:id="4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.3第三章：</w:t>
      </w:r>
      <w:r>
        <w:rPr>
          <w:rFonts w:hint="eastAsia" w:ascii="宋体" w:hAnsi="宋体"/>
          <w:sz w:val="24"/>
          <w:szCs w:val="24"/>
          <w:highlight w:val="none"/>
          <w:lang w:eastAsia="zh-CN"/>
        </w:rPr>
        <w:t>招标</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.4第四章：磋商与评审办法；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.5第五章：合同；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.6第六章：</w:t>
      </w:r>
      <w:r>
        <w:rPr>
          <w:rFonts w:hint="eastAsia" w:ascii="宋体" w:hAnsi="宋体"/>
          <w:sz w:val="24"/>
          <w:szCs w:val="24"/>
          <w:highlight w:val="none"/>
          <w:lang w:eastAsia="zh-CN"/>
        </w:rPr>
        <w:t>技术标准和要求</w:t>
      </w:r>
      <w:r>
        <w:rPr>
          <w:rFonts w:hint="eastAsia" w:ascii="宋体" w:hAnsi="宋体"/>
          <w:sz w:val="24"/>
          <w:szCs w:val="24"/>
          <w:highlight w:val="none"/>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.7第七章：响应文件格式；</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12.1.9</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投标人应认真阅读磋商文件中所有的事项、格式、条件、条款和规范等要求。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12.4投标人获取磋商文件后，应仔细检查磋商文件的所有内容，如有残缺等问题应在获得磋商文件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13.答疑及磋商文件的澄清与修改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highlight w:val="none"/>
          <w:lang w:eastAsia="zh-CN"/>
        </w:rPr>
        <w:t>纸质形式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13.2如磋商文件存在不一致时，优先顺序如下：（1）磋商公告；（2）投标人须知前附表；（3）</w:t>
      </w:r>
      <w:r>
        <w:rPr>
          <w:rFonts w:hint="eastAsia" w:ascii="宋体" w:hAnsi="宋体"/>
          <w:sz w:val="24"/>
          <w:szCs w:val="24"/>
          <w:highlight w:val="none"/>
          <w:lang w:eastAsia="zh-CN"/>
        </w:rPr>
        <w:t>招标</w:t>
      </w:r>
      <w:r>
        <w:rPr>
          <w:rFonts w:hint="eastAsia" w:ascii="宋体" w:hAnsi="宋体"/>
          <w:sz w:val="24"/>
          <w:szCs w:val="24"/>
          <w:highlight w:val="none"/>
        </w:rPr>
        <w:t>需求；（4）磋商与评审办法；（5）其他。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可以视招标具体情况，延长响应文件提交截止时间和磋商时间，并及时在网站上发布变更（延期）公告。在上述情况下，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6"/>
        <w:spacing w:line="500" w:lineRule="exact"/>
        <w:jc w:val="both"/>
        <w:rPr>
          <w:rFonts w:hint="eastAsia" w:hAnsi="宋体"/>
          <w:sz w:val="28"/>
          <w:highlight w:val="none"/>
        </w:rPr>
      </w:pPr>
      <w:bookmarkStart w:id="43" w:name="_Hlt509649724"/>
      <w:bookmarkEnd w:id="43"/>
      <w:bookmarkStart w:id="44" w:name="_Hlt510342861"/>
      <w:bookmarkEnd w:id="44"/>
      <w:bookmarkStart w:id="45" w:name="_Hlt509650697"/>
      <w:bookmarkEnd w:id="45"/>
      <w:bookmarkStart w:id="46" w:name="_Toc50128751"/>
      <w:r>
        <w:rPr>
          <w:rFonts w:hint="eastAsia" w:hAnsi="宋体"/>
          <w:sz w:val="28"/>
          <w:highlight w:val="none"/>
        </w:rPr>
        <w:t>三．响应文件的编制</w:t>
      </w:r>
      <w:bookmarkEnd w:id="4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47" w:name="_Hlt509650345"/>
      <w:bookmarkEnd w:id="47"/>
      <w:r>
        <w:rPr>
          <w:rFonts w:hint="eastAsia" w:ascii="宋体" w:hAnsi="宋体"/>
          <w:sz w:val="24"/>
          <w:szCs w:val="24"/>
          <w:highlight w:val="none"/>
        </w:rPr>
        <w:t>14.1响应文件是对磋商文件的实质性响应及承诺文件。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可自行制作格式”，响应文件应使用磋商文件提供的格式。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14.4除非磋商文件另有规定，响应文件应使用中华人民共和国法定计量单位。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14.8除非磋商文件另有规定，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本磋商文件所要求的证书、认证、资质，均应当是有权机构颁发，且在有效期内的。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16.2投标人应在响应文件中提交磋商文件要求的有关证明文件，作为其响应文件的一部分。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17.磋商保证金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17.1投标人在递交响应文件的同时，应按投标人须知前附表规定的金额、担保形式和第七章“响应文件格式”规定的磋商保证金格式递交磋商保证金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投标人不按本章17.1要求提交磋商保证金的，</w:t>
      </w:r>
      <w:r>
        <w:rPr>
          <w:rFonts w:hint="eastAsia" w:ascii="宋体" w:hAnsi="宋体"/>
          <w:kern w:val="0"/>
          <w:sz w:val="24"/>
          <w:highlight w:val="none"/>
        </w:rPr>
        <w:t>磋商小组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17.4招标人最迟将在中标通知书发出后5日内向中标候选人以外的其他投标人退还磋商保证金</w:t>
      </w:r>
      <w:r>
        <w:rPr>
          <w:rFonts w:hint="eastAsia" w:ascii="宋体" w:hAnsi="宋体"/>
          <w:sz w:val="24"/>
          <w:szCs w:val="22"/>
          <w:highlight w:val="none"/>
          <w:lang w:eastAsia="zh-CN"/>
        </w:rPr>
        <w:t>（无息）</w:t>
      </w:r>
      <w:r>
        <w:rPr>
          <w:rFonts w:hint="eastAsia" w:ascii="宋体" w:hAnsi="宋体"/>
          <w:sz w:val="24"/>
          <w:szCs w:val="22"/>
          <w:highlight w:val="none"/>
        </w:rPr>
        <w:t>，与中标人签订合同后5日内向中标人和其他中标候选人退还磋商保证金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rPr>
        <w:t>磋商</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rPr>
        <w:t>磋商</w:t>
      </w:r>
      <w:r>
        <w:rPr>
          <w:sz w:val="24"/>
          <w:szCs w:val="24"/>
          <w:highlight w:val="none"/>
        </w:rPr>
        <w:t>保证金</w:t>
      </w:r>
      <w:r>
        <w:rPr>
          <w:rFonts w:hint="eastAsia"/>
          <w:sz w:val="24"/>
          <w:szCs w:val="24"/>
          <w:highlight w:val="none"/>
          <w:lang w:eastAsia="zh-CN"/>
        </w:rPr>
        <w:t>（无息）</w:t>
      </w:r>
      <w:r>
        <w:rPr>
          <w:sz w:val="24"/>
          <w:szCs w:val="24"/>
          <w:highlight w:val="none"/>
        </w:rPr>
        <w:t>。</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39"/>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2响应文件应按磋商文件要求加盖投标人公章。</w:t>
      </w:r>
    </w:p>
    <w:p>
      <w:pPr>
        <w:pStyle w:val="6"/>
        <w:spacing w:line="360" w:lineRule="auto"/>
        <w:ind w:firstLine="628"/>
        <w:jc w:val="both"/>
        <w:rPr>
          <w:rFonts w:hint="eastAsia" w:hAnsi="宋体"/>
          <w:sz w:val="28"/>
          <w:highlight w:val="none"/>
        </w:rPr>
      </w:pPr>
      <w:bookmarkStart w:id="48" w:name="_Hlt509650572"/>
      <w:bookmarkEnd w:id="48"/>
      <w:bookmarkStart w:id="49" w:name="_Hlt509649294"/>
      <w:bookmarkEnd w:id="49"/>
      <w:bookmarkStart w:id="50" w:name="_Toc522466826"/>
      <w:bookmarkStart w:id="51" w:name="_Toc50128752"/>
      <w:r>
        <w:rPr>
          <w:rFonts w:hint="eastAsia" w:hAnsi="宋体"/>
          <w:sz w:val="28"/>
          <w:highlight w:val="none"/>
        </w:rPr>
        <w:t>四．响应文件的递交</w:t>
      </w:r>
      <w:bookmarkEnd w:id="50"/>
      <w:bookmarkEnd w:id="51"/>
      <w:bookmarkStart w:id="52" w:name="_Hlt509649414"/>
      <w:bookmarkEnd w:id="5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20.2投标人应当在磋商文件规定的响应文件提交截止时间前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sz w:val="28"/>
          <w:highlight w:val="none"/>
        </w:rPr>
      </w:pPr>
      <w:bookmarkStart w:id="53" w:name="_Toc459990140"/>
      <w:bookmarkStart w:id="54" w:name="_Toc50128753"/>
      <w:bookmarkStart w:id="55" w:name="_Toc522466827"/>
      <w:r>
        <w:rPr>
          <w:rFonts w:hint="eastAsia" w:hAnsi="宋体"/>
          <w:sz w:val="28"/>
          <w:highlight w:val="none"/>
        </w:rPr>
        <w:t>五．</w:t>
      </w:r>
      <w:bookmarkEnd w:id="53"/>
      <w:r>
        <w:rPr>
          <w:rFonts w:hint="eastAsia" w:hAnsi="宋体"/>
          <w:sz w:val="28"/>
          <w:highlight w:val="none"/>
        </w:rPr>
        <w:t>响应文件解密及磋商</w:t>
      </w:r>
      <w:bookmarkEnd w:id="54"/>
      <w:bookmarkEnd w:id="55"/>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1为有助于投标的审查、评价和比较，磋商小组可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rPr>
        <w:t>磋商小组将按照磋商文件规定的磋商与评审办法对投标人独立进行评审。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3磋商小组将首先审查响应文件是否实质上响应磋商文件的</w:t>
      </w:r>
      <w:r>
        <w:rPr>
          <w:rFonts w:hint="eastAsia" w:ascii="宋体" w:hAnsi="宋体"/>
          <w:sz w:val="24"/>
          <w:highlight w:val="none"/>
          <w:lang w:eastAsia="zh-CN"/>
        </w:rPr>
        <w:t>初审</w:t>
      </w:r>
      <w:r>
        <w:rPr>
          <w:rFonts w:hint="eastAsia" w:ascii="宋体" w:hAnsi="宋体"/>
          <w:sz w:val="24"/>
          <w:highlight w:val="none"/>
        </w:rPr>
        <w:t>评审指标要求。实质上响应的投标应与磋商文件的全部条款、条件和规格相符，没有重大偏离或保留。所谓重大偏离或保留是指影响合同的</w:t>
      </w:r>
      <w:r>
        <w:rPr>
          <w:rFonts w:hint="eastAsia" w:ascii="宋体" w:hAnsi="宋体"/>
          <w:sz w:val="24"/>
          <w:highlight w:val="none"/>
          <w:lang w:eastAsia="zh-CN"/>
        </w:rPr>
        <w:t>施工</w:t>
      </w:r>
      <w:r>
        <w:rPr>
          <w:rFonts w:hint="eastAsia" w:ascii="宋体" w:hAnsi="宋体"/>
          <w:sz w:val="24"/>
          <w:highlight w:val="none"/>
          <w:lang w:val="en-US" w:eastAsia="zh-CN"/>
        </w:rPr>
        <w:t>/</w:t>
      </w:r>
      <w:r>
        <w:rPr>
          <w:rFonts w:hint="eastAsia" w:ascii="宋体" w:hAnsi="宋体"/>
          <w:sz w:val="24"/>
          <w:highlight w:val="none"/>
        </w:rPr>
        <w:t>供货</w:t>
      </w:r>
      <w:r>
        <w:rPr>
          <w:rFonts w:hint="eastAsia" w:ascii="宋体" w:hAnsi="宋体"/>
          <w:sz w:val="24"/>
          <w:highlight w:val="none"/>
          <w:lang w:val="en-US" w:eastAsia="zh-CN"/>
        </w:rPr>
        <w:t>/服务</w:t>
      </w:r>
      <w:r>
        <w:rPr>
          <w:rFonts w:hint="eastAsia" w:ascii="宋体" w:hAnsi="宋体"/>
          <w:sz w:val="24"/>
          <w:highlight w:val="none"/>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有下列情形之一的，磋商小组应当否决其投标：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3.2磋商</w:t>
      </w:r>
      <w:r>
        <w:rPr>
          <w:rFonts w:ascii="宋体" w:hAnsi="宋体"/>
          <w:sz w:val="24"/>
          <w:highlight w:val="none"/>
        </w:rPr>
        <w:t>联合体没有提交</w:t>
      </w:r>
      <w:r>
        <w:rPr>
          <w:rFonts w:hint="eastAsia" w:ascii="宋体" w:hAnsi="宋体"/>
          <w:sz w:val="24"/>
          <w:highlight w:val="none"/>
        </w:rPr>
        <w:t>共同磋商</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3.3投标人不符合国家或者磋商文件规定的资格条件；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3.4同一投标人提交两个以上不同的响应文件，但磋商文件要求提交备选投标的除外；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投标报价低于成本或者高于磋商文件设定的最高投标限价；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响应文件没有对磋商文件的实质性要求和条件作出响应；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4评审时，磋商小组将审查响应文件是否符合磋商文件的</w:t>
      </w:r>
      <w:r>
        <w:rPr>
          <w:rFonts w:hint="eastAsia" w:ascii="宋体" w:hAnsi="宋体"/>
          <w:sz w:val="24"/>
          <w:highlight w:val="none"/>
          <w:lang w:eastAsia="zh-CN"/>
        </w:rPr>
        <w:t>初审</w:t>
      </w:r>
      <w:r>
        <w:rPr>
          <w:rFonts w:hint="eastAsia" w:ascii="宋体" w:hAnsi="宋体"/>
          <w:sz w:val="24"/>
          <w:highlight w:val="none"/>
        </w:rPr>
        <w:t>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6磋商小组决定响应文件的响应性及符合性只根据响应文件本身的内容，而不寻求其他外部证据。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在磋商中，符合专业条件的投标人或对磋商文件作实质响应的投标人不足规定家数的，</w:t>
      </w:r>
      <w:r>
        <w:rPr>
          <w:rFonts w:hint="eastAsia" w:ascii="宋体" w:hAnsi="宋体"/>
          <w:sz w:val="24"/>
          <w:szCs w:val="24"/>
          <w:highlight w:val="none"/>
        </w:rPr>
        <w:t>磋商小组</w:t>
      </w:r>
      <w:r>
        <w:rPr>
          <w:rFonts w:hint="eastAsia" w:ascii="宋体" w:hAnsi="宋体"/>
          <w:sz w:val="24"/>
          <w:highlight w:val="none"/>
        </w:rPr>
        <w:t>有权对磋商项目作流标处理。流标后，流标原因将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重新磋商</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可能重新发布磋商公告（磋商邀请），进行重新磋商。</w:t>
      </w:r>
    </w:p>
    <w:p>
      <w:pPr>
        <w:spacing w:line="360" w:lineRule="auto"/>
        <w:ind w:firstLine="480" w:firstLineChars="200"/>
        <w:rPr>
          <w:rFonts w:hint="eastAsia" w:ascii="宋体" w:hAnsi="宋体"/>
          <w:sz w:val="24"/>
          <w:highlight w:val="none"/>
        </w:rPr>
      </w:pPr>
      <w:r>
        <w:rPr>
          <w:rFonts w:hint="eastAsia" w:ascii="宋体" w:hAnsi="宋体"/>
          <w:sz w:val="24"/>
          <w:highlight w:val="none"/>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spacing w:line="360" w:lineRule="auto"/>
        <w:ind w:firstLine="628"/>
        <w:jc w:val="both"/>
        <w:rPr>
          <w:rFonts w:hint="eastAsia" w:hAnsi="宋体"/>
          <w:sz w:val="28"/>
          <w:highlight w:val="none"/>
        </w:rPr>
      </w:pPr>
      <w:bookmarkStart w:id="56" w:name="_Toc522466828"/>
      <w:bookmarkStart w:id="57" w:name="_Toc477793061"/>
      <w:bookmarkStart w:id="58" w:name="_Toc460487454"/>
      <w:bookmarkStart w:id="59" w:name="_Toc50128754"/>
      <w:r>
        <w:rPr>
          <w:rFonts w:hint="eastAsia" w:hAnsi="宋体"/>
          <w:sz w:val="28"/>
          <w:highlight w:val="none"/>
        </w:rPr>
        <w:t>六．定标与签订合同</w:t>
      </w:r>
      <w:bookmarkEnd w:id="56"/>
      <w:bookmarkEnd w:id="57"/>
      <w:bookmarkEnd w:id="58"/>
      <w:bookmarkEnd w:id="5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1磋商小组应当按磋商文件规定的标准和方法提出独立评审意见，推荐中标候选人。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27.3原则上把合同授予实质上响应磋商文件要求的排名最前的中标候选人。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27.5.1.5投标人之间为谋取中标或者排斥特定投标人而采取的其他联合行动。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27.5.2.6不同投标人的磋商保证金从同一单位或者个人的账户转出。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招标人直接或者间接向投标人泄露标底、磋商小组成员等信息；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40"/>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40"/>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highlight w:val="none"/>
        </w:rPr>
        <w:t>磋商小组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本磋商文件的解释权属于招标人</w:t>
      </w:r>
      <w:r>
        <w:rPr>
          <w:rFonts w:hint="eastAsia" w:ascii="宋体" w:hAnsi="宋体"/>
          <w:bCs/>
          <w:sz w:val="24"/>
          <w:highlight w:val="none"/>
          <w:lang w:eastAsia="zh-CN"/>
        </w:rPr>
        <w:t>。</w:t>
      </w:r>
    </w:p>
    <w:p>
      <w:pPr>
        <w:pStyle w:val="4"/>
        <w:numPr>
          <w:ilvl w:val="0"/>
          <w:numId w:val="0"/>
        </w:numPr>
        <w:jc w:val="center"/>
        <w:rPr>
          <w:rFonts w:hint="eastAsia"/>
          <w:highlight w:val="none"/>
          <w:lang w:val="en-US" w:eastAsia="zh-CN"/>
        </w:rPr>
      </w:pPr>
      <w:bookmarkStart w:id="60" w:name="_Toc26163"/>
      <w:r>
        <w:rPr>
          <w:rFonts w:hint="eastAsia" w:ascii="宋体" w:hAnsi="Times New Roman" w:eastAsia="宋体" w:cs="Times New Roman"/>
          <w:b/>
          <w:bCs/>
          <w:highlight w:val="none"/>
          <w:lang w:val="en-US" w:eastAsia="zh-CN"/>
        </w:rPr>
        <w:t>第三章 招标</w:t>
      </w:r>
      <w:r>
        <w:rPr>
          <w:rFonts w:hint="eastAsia"/>
          <w:highlight w:val="none"/>
          <w:lang w:val="en-US" w:eastAsia="zh-CN"/>
        </w:rPr>
        <w:t>需求</w:t>
      </w:r>
      <w:bookmarkEnd w:id="6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7"/>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jc w:val="center"/>
              <w:rPr>
                <w:rFonts w:hint="eastAsia" w:ascii="宋体" w:hAnsi="宋体" w:cs="宋体"/>
                <w:b w:val="0"/>
                <w:bCs/>
                <w:sz w:val="24"/>
                <w:szCs w:val="24"/>
                <w:highlight w:val="none"/>
              </w:rPr>
            </w:pPr>
            <w:r>
              <w:rPr>
                <w:rFonts w:hint="eastAsia" w:ascii="宋体" w:hAnsi="宋体" w:cs="宋体"/>
                <w:b w:val="0"/>
                <w:bCs/>
                <w:sz w:val="24"/>
                <w:szCs w:val="24"/>
                <w:highlight w:val="none"/>
              </w:rPr>
              <w:t>序号</w:t>
            </w:r>
          </w:p>
        </w:tc>
        <w:tc>
          <w:tcPr>
            <w:tcW w:w="1277" w:type="dxa"/>
            <w:noWrap w:val="0"/>
            <w:vAlign w:val="center"/>
          </w:tcPr>
          <w:p>
            <w:pPr>
              <w:adjustRightInd w:val="0"/>
              <w:snapToGrid w:val="0"/>
              <w:spacing w:line="360" w:lineRule="auto"/>
              <w:jc w:val="center"/>
              <w:rPr>
                <w:rFonts w:hint="eastAsia" w:ascii="宋体" w:hAnsi="宋体" w:cs="宋体"/>
                <w:b w:val="0"/>
                <w:bCs/>
                <w:sz w:val="24"/>
                <w:szCs w:val="24"/>
                <w:highlight w:val="none"/>
              </w:rPr>
            </w:pPr>
            <w:r>
              <w:rPr>
                <w:rFonts w:hint="eastAsia" w:ascii="宋体" w:hAnsi="宋体" w:cs="宋体"/>
                <w:b w:val="0"/>
                <w:bCs/>
                <w:sz w:val="24"/>
                <w:szCs w:val="24"/>
                <w:highlight w:val="none"/>
              </w:rPr>
              <w:t>内容</w:t>
            </w:r>
          </w:p>
        </w:tc>
        <w:tc>
          <w:tcPr>
            <w:tcW w:w="6286" w:type="dxa"/>
            <w:noWrap w:val="0"/>
            <w:vAlign w:val="center"/>
          </w:tcPr>
          <w:p>
            <w:pPr>
              <w:adjustRightInd w:val="0"/>
              <w:snapToGrid w:val="0"/>
              <w:spacing w:line="360" w:lineRule="auto"/>
              <w:jc w:val="center"/>
              <w:rPr>
                <w:rFonts w:hint="eastAsia" w:ascii="宋体" w:hAnsi="宋体" w:cs="宋体"/>
                <w:b w:val="0"/>
                <w:bCs/>
                <w:sz w:val="24"/>
                <w:szCs w:val="24"/>
                <w:highlight w:val="none"/>
              </w:rPr>
            </w:pPr>
            <w:r>
              <w:rPr>
                <w:rFonts w:hint="eastAsia" w:ascii="宋体" w:hAnsi="宋体" w:cs="宋体"/>
                <w:b w:val="0"/>
                <w:bCs/>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ind w:firstLine="480" w:firstLineChars="200"/>
              <w:jc w:val="center"/>
              <w:rPr>
                <w:rFonts w:hint="eastAsia" w:ascii="宋体" w:hAnsi="宋体" w:cs="宋体"/>
                <w:b w:val="0"/>
                <w:bCs/>
                <w:sz w:val="24"/>
                <w:szCs w:val="24"/>
                <w:highlight w:val="none"/>
              </w:rPr>
            </w:pPr>
            <w:r>
              <w:rPr>
                <w:rFonts w:hint="eastAsia" w:ascii="宋体" w:hAnsi="宋体" w:cs="宋体"/>
                <w:b w:val="0"/>
                <w:bCs/>
                <w:sz w:val="24"/>
                <w:szCs w:val="24"/>
                <w:highlight w:val="none"/>
              </w:rPr>
              <w:t>1</w:t>
            </w:r>
          </w:p>
        </w:tc>
        <w:tc>
          <w:tcPr>
            <w:tcW w:w="1277" w:type="dxa"/>
            <w:noWrap w:val="0"/>
            <w:vAlign w:val="center"/>
          </w:tcPr>
          <w:p>
            <w:pPr>
              <w:adjustRightInd w:val="0"/>
              <w:snapToGrid w:val="0"/>
              <w:spacing w:line="360" w:lineRule="auto"/>
              <w:jc w:val="center"/>
              <w:rPr>
                <w:rFonts w:hint="eastAsia" w:ascii="宋体" w:hAnsi="宋体" w:cs="宋体"/>
                <w:b w:val="0"/>
                <w:bCs/>
                <w:sz w:val="24"/>
                <w:szCs w:val="24"/>
                <w:highlight w:val="none"/>
              </w:rPr>
            </w:pPr>
            <w:r>
              <w:rPr>
                <w:rFonts w:hint="eastAsia" w:ascii="宋体" w:hAnsi="宋体" w:cs="宋体"/>
                <w:b w:val="0"/>
                <w:bCs/>
                <w:sz w:val="24"/>
                <w:szCs w:val="24"/>
                <w:highlight w:val="none"/>
              </w:rPr>
              <w:t>人员到岗及履约要求</w:t>
            </w:r>
          </w:p>
        </w:tc>
        <w:tc>
          <w:tcPr>
            <w:tcW w:w="6286" w:type="dxa"/>
            <w:noWrap w:val="0"/>
            <w:vAlign w:val="center"/>
          </w:tcPr>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（1）供应商一旦成交，</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（2）成交供应商不得擅自更换</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时所报项目经理及项目部主要管理人员。确需更换时，须报采购人同意，更换后人员不得低于成交供应</w:t>
            </w:r>
            <w:r>
              <w:rPr>
                <w:rFonts w:hint="eastAsia" w:ascii="宋体" w:hAnsi="宋体" w:cs="宋体"/>
                <w:b w:val="0"/>
                <w:bCs/>
                <w:sz w:val="24"/>
                <w:szCs w:val="24"/>
                <w:highlight w:val="none"/>
                <w:lang w:val="en-US" w:eastAsia="zh-CN"/>
              </w:rPr>
              <w:t>商磋商</w:t>
            </w:r>
            <w:r>
              <w:rPr>
                <w:rFonts w:hint="eastAsia" w:ascii="宋体" w:hAnsi="宋体" w:cs="宋体"/>
                <w:b w:val="0"/>
                <w:bCs/>
                <w:sz w:val="24"/>
                <w:szCs w:val="24"/>
                <w:highlight w:val="none"/>
              </w:rPr>
              <w:t>时所报人员资质和技术水平。采购人如认为有必要，可要求对上述人员中的部分人员作出更好的调整。</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ind w:firstLine="480" w:firstLineChars="200"/>
              <w:jc w:val="center"/>
              <w:rPr>
                <w:rFonts w:hint="eastAsia" w:ascii="宋体" w:hAnsi="宋体" w:cs="宋体"/>
                <w:b w:val="0"/>
                <w:bCs/>
                <w:sz w:val="24"/>
                <w:szCs w:val="24"/>
                <w:highlight w:val="none"/>
              </w:rPr>
            </w:pPr>
            <w:r>
              <w:rPr>
                <w:rFonts w:hint="eastAsia" w:ascii="宋体" w:hAnsi="宋体" w:cs="宋体"/>
                <w:b w:val="0"/>
                <w:bCs/>
                <w:sz w:val="24"/>
                <w:szCs w:val="24"/>
                <w:highlight w:val="none"/>
              </w:rPr>
              <w:t>2</w:t>
            </w:r>
          </w:p>
        </w:tc>
        <w:tc>
          <w:tcPr>
            <w:tcW w:w="1277" w:type="dxa"/>
            <w:noWrap w:val="0"/>
            <w:vAlign w:val="center"/>
          </w:tcPr>
          <w:p>
            <w:pPr>
              <w:adjustRightInd w:val="0"/>
              <w:snapToGrid w:val="0"/>
              <w:spacing w:line="360" w:lineRule="auto"/>
              <w:jc w:val="center"/>
              <w:rPr>
                <w:rFonts w:hint="eastAsia" w:ascii="宋体" w:hAnsi="宋体" w:cs="宋体"/>
                <w:b w:val="0"/>
                <w:bCs/>
                <w:sz w:val="24"/>
                <w:szCs w:val="24"/>
                <w:highlight w:val="none"/>
              </w:rPr>
            </w:pPr>
            <w:r>
              <w:rPr>
                <w:rFonts w:hint="eastAsia" w:ascii="宋体" w:hAnsi="宋体" w:cs="宋体"/>
                <w:b w:val="0"/>
                <w:bCs/>
                <w:sz w:val="24"/>
                <w:szCs w:val="24"/>
                <w:highlight w:val="none"/>
              </w:rPr>
              <w:t>材料要求</w:t>
            </w:r>
          </w:p>
        </w:tc>
        <w:tc>
          <w:tcPr>
            <w:tcW w:w="6286" w:type="dxa"/>
            <w:noWrap w:val="0"/>
            <w:vAlign w:val="center"/>
          </w:tcPr>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小组评审，未提供相关技术参数证明材料或经</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小组评审未通过的，成交后只能从采购人参考品牌中进行选择，价格不予调整。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ind w:firstLine="480" w:firstLineChars="200"/>
              <w:jc w:val="center"/>
              <w:rPr>
                <w:rFonts w:hint="eastAsia" w:ascii="宋体" w:hAnsi="宋体" w:cs="宋体"/>
                <w:b w:val="0"/>
                <w:bCs/>
                <w:sz w:val="24"/>
                <w:szCs w:val="24"/>
                <w:highlight w:val="none"/>
              </w:rPr>
            </w:pPr>
            <w:r>
              <w:rPr>
                <w:rFonts w:hint="eastAsia" w:ascii="宋体" w:hAnsi="宋体" w:cs="宋体"/>
                <w:b w:val="0"/>
                <w:bCs/>
                <w:sz w:val="24"/>
                <w:szCs w:val="24"/>
                <w:highlight w:val="none"/>
              </w:rPr>
              <w:t>3</w:t>
            </w:r>
          </w:p>
        </w:tc>
        <w:tc>
          <w:tcPr>
            <w:tcW w:w="1277" w:type="dxa"/>
            <w:noWrap w:val="0"/>
            <w:vAlign w:val="center"/>
          </w:tcPr>
          <w:p>
            <w:pPr>
              <w:adjustRightInd w:val="0"/>
              <w:snapToGrid w:val="0"/>
              <w:spacing w:line="360" w:lineRule="auto"/>
              <w:jc w:val="both"/>
              <w:rPr>
                <w:rFonts w:hint="eastAsia" w:ascii="宋体" w:hAnsi="宋体" w:cs="宋体"/>
                <w:b/>
                <w:bCs w:val="0"/>
                <w:sz w:val="24"/>
                <w:szCs w:val="24"/>
                <w:highlight w:val="none"/>
              </w:rPr>
            </w:pPr>
            <w:r>
              <w:rPr>
                <w:rFonts w:hint="eastAsia" w:ascii="宋体" w:hAnsi="宋体" w:cs="宋体"/>
                <w:b/>
                <w:bCs w:val="0"/>
                <w:sz w:val="24"/>
                <w:szCs w:val="24"/>
                <w:highlight w:val="none"/>
              </w:rPr>
              <w:t>工程施工重点难点</w:t>
            </w:r>
          </w:p>
        </w:tc>
        <w:tc>
          <w:tcPr>
            <w:tcW w:w="6286" w:type="dxa"/>
            <w:noWrap w:val="0"/>
            <w:vAlign w:val="center"/>
          </w:tcPr>
          <w:p>
            <w:pPr>
              <w:adjustRightInd w:val="0"/>
              <w:snapToGrid w:val="0"/>
              <w:spacing w:line="360" w:lineRule="auto"/>
              <w:ind w:firstLine="420" w:firstLineChars="200"/>
              <w:jc w:val="both"/>
              <w:rPr>
                <w:rFonts w:hint="eastAsia"/>
                <w:highlight w:val="none"/>
                <w:lang w:val="en-US" w:eastAsia="zh-CN"/>
              </w:rPr>
            </w:pPr>
            <w:r>
              <w:rPr>
                <w:rFonts w:hint="eastAsia"/>
                <w:highlight w:val="none"/>
                <w:lang w:val="en-US" w:eastAsia="zh-CN"/>
              </w:rPr>
              <w:t>本项目所涉及的施工项目种类繁多、</w:t>
            </w:r>
            <w:r>
              <w:rPr>
                <w:rFonts w:ascii="宋体" w:hAnsi="宋体" w:eastAsia="宋体" w:cs="宋体"/>
                <w:sz w:val="24"/>
                <w:szCs w:val="24"/>
                <w:highlight w:val="none"/>
              </w:rPr>
              <w:t>设施维修零星、点 散及面广，时间紧、任务重，质量严、标准高</w:t>
            </w:r>
            <w:r>
              <w:rPr>
                <w:rFonts w:hint="eastAsia"/>
                <w:highlight w:val="none"/>
                <w:lang w:val="en-US" w:eastAsia="zh-CN"/>
              </w:rPr>
              <w:t>。</w:t>
            </w:r>
          </w:p>
          <w:p>
            <w:pPr>
              <w:adjustRightInd w:val="0"/>
              <w:snapToGrid w:val="0"/>
              <w:spacing w:line="360" w:lineRule="auto"/>
              <w:ind w:firstLine="480" w:firstLineChars="200"/>
              <w:jc w:val="both"/>
              <w:rPr>
                <w:rFonts w:hint="eastAsia"/>
                <w:highlight w:val="none"/>
              </w:rPr>
            </w:pPr>
            <w:r>
              <w:rPr>
                <w:rFonts w:ascii="宋体" w:hAnsi="宋体" w:eastAsia="宋体" w:cs="宋体"/>
                <w:sz w:val="24"/>
                <w:szCs w:val="24"/>
                <w:highlight w:val="none"/>
              </w:rPr>
              <w:t>涉及项目维修工程的基础资料需成交供应商自行收集，建设单位不予提供。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ind w:firstLine="480" w:firstLineChars="200"/>
              <w:jc w:val="center"/>
              <w:rPr>
                <w:rFonts w:hint="eastAsia" w:ascii="宋体" w:hAnsi="宋体" w:cs="宋体"/>
                <w:b w:val="0"/>
                <w:bCs/>
                <w:sz w:val="24"/>
                <w:szCs w:val="24"/>
                <w:highlight w:val="none"/>
              </w:rPr>
            </w:pPr>
            <w:r>
              <w:rPr>
                <w:rFonts w:hint="eastAsia" w:ascii="宋体" w:hAnsi="宋体" w:cs="宋体"/>
                <w:b w:val="0"/>
                <w:bCs/>
                <w:sz w:val="24"/>
                <w:szCs w:val="24"/>
                <w:highlight w:val="none"/>
              </w:rPr>
              <w:t>4</w:t>
            </w:r>
          </w:p>
        </w:tc>
        <w:tc>
          <w:tcPr>
            <w:tcW w:w="1277" w:type="dxa"/>
            <w:noWrap w:val="0"/>
            <w:vAlign w:val="center"/>
          </w:tcPr>
          <w:p>
            <w:pPr>
              <w:adjustRightInd w:val="0"/>
              <w:snapToGrid w:val="0"/>
              <w:spacing w:line="360" w:lineRule="auto"/>
              <w:jc w:val="both"/>
              <w:rPr>
                <w:rFonts w:hint="eastAsia" w:ascii="宋体" w:hAnsi="宋体" w:cs="宋体"/>
                <w:b w:val="0"/>
                <w:bCs/>
                <w:sz w:val="24"/>
                <w:szCs w:val="24"/>
                <w:highlight w:val="none"/>
              </w:rPr>
            </w:pPr>
            <w:r>
              <w:rPr>
                <w:rFonts w:hint="eastAsia" w:ascii="宋体" w:hAnsi="宋体" w:cs="宋体"/>
                <w:b w:val="0"/>
                <w:bCs/>
                <w:sz w:val="24"/>
                <w:szCs w:val="24"/>
                <w:highlight w:val="none"/>
              </w:rPr>
              <w:t>报价须知</w:t>
            </w:r>
          </w:p>
        </w:tc>
        <w:tc>
          <w:tcPr>
            <w:tcW w:w="6286" w:type="dxa"/>
            <w:noWrap w:val="0"/>
            <w:vAlign w:val="center"/>
          </w:tcPr>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费率报价，最高投标限价（费率）为：100%</w:t>
            </w:r>
            <w:r>
              <w:rPr>
                <w:rFonts w:hint="eastAsia" w:ascii="宋体" w:hAnsi="宋体" w:cs="宋体"/>
                <w:b w:val="0"/>
                <w:bCs/>
                <w:sz w:val="24"/>
                <w:szCs w:val="24"/>
                <w:highlight w:val="none"/>
              </w:rPr>
              <w:t>。（小数点后保留2位，即小数点2位之后的直接去除，不进行四舍五入；例：95.827%，取95.82%）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ind w:firstLine="480" w:firstLineChars="200"/>
              <w:jc w:val="center"/>
              <w:rPr>
                <w:rFonts w:hint="eastAsia" w:ascii="宋体" w:hAnsi="宋体" w:cs="宋体"/>
                <w:b w:val="0"/>
                <w:bCs/>
                <w:sz w:val="24"/>
                <w:szCs w:val="24"/>
                <w:highlight w:val="none"/>
              </w:rPr>
            </w:pPr>
            <w:r>
              <w:rPr>
                <w:rFonts w:hint="eastAsia" w:ascii="宋体" w:hAnsi="宋体" w:cs="宋体"/>
                <w:b w:val="0"/>
                <w:bCs/>
                <w:sz w:val="24"/>
                <w:szCs w:val="24"/>
                <w:highlight w:val="none"/>
              </w:rPr>
              <w:t>5</w:t>
            </w:r>
          </w:p>
        </w:tc>
        <w:tc>
          <w:tcPr>
            <w:tcW w:w="1277" w:type="dxa"/>
            <w:noWrap w:val="0"/>
            <w:vAlign w:val="center"/>
          </w:tcPr>
          <w:p>
            <w:pPr>
              <w:adjustRightInd w:val="0"/>
              <w:snapToGrid w:val="0"/>
              <w:spacing w:line="360" w:lineRule="auto"/>
              <w:jc w:val="both"/>
              <w:rPr>
                <w:rFonts w:hint="eastAsia" w:ascii="宋体" w:hAnsi="宋体" w:cs="宋体"/>
                <w:b w:val="0"/>
                <w:bCs/>
                <w:sz w:val="24"/>
                <w:szCs w:val="24"/>
                <w:highlight w:val="none"/>
              </w:rPr>
            </w:pPr>
            <w:r>
              <w:rPr>
                <w:rFonts w:hint="eastAsia" w:ascii="宋体" w:hAnsi="宋体" w:cs="宋体"/>
                <w:b w:val="0"/>
                <w:bCs/>
                <w:sz w:val="24"/>
                <w:szCs w:val="24"/>
                <w:highlight w:val="none"/>
              </w:rPr>
              <w:t>重要说明</w:t>
            </w:r>
          </w:p>
        </w:tc>
        <w:tc>
          <w:tcPr>
            <w:tcW w:w="6286" w:type="dxa"/>
            <w:noWrap w:val="0"/>
            <w:vAlign w:val="center"/>
          </w:tcPr>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（1）项目的</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文件、工程量清单</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如有</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、最高投标限价（</w:t>
            </w:r>
            <w:r>
              <w:rPr>
                <w:rFonts w:hint="eastAsia" w:ascii="宋体" w:hAnsi="宋体" w:cs="宋体"/>
                <w:b w:val="0"/>
                <w:bCs/>
                <w:sz w:val="24"/>
                <w:szCs w:val="24"/>
                <w:highlight w:val="none"/>
                <w:lang w:val="en-US" w:eastAsia="zh-CN"/>
              </w:rPr>
              <w:t>控制价/费率</w:t>
            </w:r>
            <w:r>
              <w:rPr>
                <w:rFonts w:hint="eastAsia" w:ascii="宋体" w:hAnsi="宋体" w:cs="宋体"/>
                <w:b w:val="0"/>
                <w:bCs/>
                <w:sz w:val="24"/>
                <w:szCs w:val="24"/>
                <w:highlight w:val="none"/>
              </w:rPr>
              <w:t>）、澄清、修改、补充等相关资料均通过电子服务系统发布，请供应商自行从网上下载，供应商应当及时查看有无相关澄清、修改、补充等内容。</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（2）在工程项目</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过程中，供应商最后报价与公布的最高投标限价（控制价</w:t>
            </w:r>
            <w:r>
              <w:rPr>
                <w:rFonts w:hint="eastAsia" w:ascii="宋体" w:hAnsi="宋体" w:cs="宋体"/>
                <w:b w:val="0"/>
                <w:bCs/>
                <w:sz w:val="24"/>
                <w:szCs w:val="24"/>
                <w:highlight w:val="none"/>
                <w:lang w:val="en-US" w:eastAsia="zh-CN"/>
              </w:rPr>
              <w:t>/费率</w:t>
            </w:r>
            <w:r>
              <w:rPr>
                <w:rFonts w:hint="eastAsia" w:ascii="宋体" w:hAnsi="宋体" w:cs="宋体"/>
                <w:b w:val="0"/>
                <w:bCs/>
                <w:sz w:val="24"/>
                <w:szCs w:val="24"/>
                <w:highlight w:val="none"/>
              </w:rPr>
              <w:t>）或项目概算相比降幅过小，或供应商最后报价明显缺乏竞争性的，</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小组可以否决其报价。</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（3）外地建安企业</w:t>
            </w:r>
            <w:r>
              <w:rPr>
                <w:rFonts w:hint="eastAsia" w:ascii="宋体" w:hAnsi="宋体" w:cs="宋体"/>
                <w:b w:val="0"/>
                <w:bCs/>
                <w:sz w:val="24"/>
                <w:szCs w:val="24"/>
                <w:highlight w:val="none"/>
                <w:lang w:val="en-US" w:eastAsia="zh-CN"/>
              </w:rPr>
              <w:t>参加磋商</w:t>
            </w:r>
            <w:r>
              <w:rPr>
                <w:rFonts w:hint="eastAsia" w:ascii="宋体" w:hAnsi="宋体" w:cs="宋体"/>
                <w:b w:val="0"/>
                <w:bCs/>
                <w:sz w:val="24"/>
                <w:szCs w:val="24"/>
                <w:highlight w:val="none"/>
              </w:rPr>
              <w:t>并成交后必须在项目所在地交纳相关税费。</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（4）承包人在工程实施过程中用工行为，必须严格执行国家及地方政府的有关规定，依法签订劳动合同，并按规定及时足额支付工资。</w:t>
            </w:r>
          </w:p>
          <w:p>
            <w:pPr>
              <w:adjustRightInd w:val="0"/>
              <w:snapToGrid w:val="0"/>
              <w:spacing w:line="360" w:lineRule="auto"/>
              <w:ind w:firstLine="480" w:firstLineChars="200"/>
              <w:jc w:val="both"/>
              <w:rPr>
                <w:rFonts w:hint="eastAsia" w:ascii="宋体" w:hAnsi="宋体" w:cs="宋体"/>
                <w:b w:val="0"/>
                <w:bCs/>
                <w:sz w:val="24"/>
                <w:szCs w:val="24"/>
                <w:highlight w:val="none"/>
              </w:rPr>
            </w:pPr>
            <w:r>
              <w:rPr>
                <w:rFonts w:hint="eastAsia" w:ascii="宋体" w:hAnsi="宋体" w:cs="宋体"/>
                <w:b w:val="0"/>
                <w:bCs/>
                <w:sz w:val="24"/>
                <w:szCs w:val="24"/>
                <w:highlight w:val="none"/>
              </w:rPr>
              <w:t>（5）承包人在建设工程扬尘污染防治措施和费用管理上，必须严格执行《合肥市建设工程扬尘污染防治暂行规定》合建〔2015〕33号文规定。本工程最高投标限价（控制价</w:t>
            </w:r>
            <w:r>
              <w:rPr>
                <w:rFonts w:hint="eastAsia" w:ascii="宋体" w:hAnsi="宋体" w:cs="宋体"/>
                <w:b w:val="0"/>
                <w:bCs/>
                <w:sz w:val="24"/>
                <w:szCs w:val="24"/>
                <w:highlight w:val="none"/>
                <w:lang w:val="en-US" w:eastAsia="zh-CN"/>
              </w:rPr>
              <w:t>/费率</w:t>
            </w:r>
            <w:r>
              <w:rPr>
                <w:rFonts w:hint="eastAsia" w:ascii="宋体" w:hAnsi="宋体" w:cs="宋体"/>
                <w:b w:val="0"/>
                <w:bCs/>
                <w:sz w:val="24"/>
                <w:szCs w:val="24"/>
                <w:highlight w:val="none"/>
              </w:rPr>
              <w:t>）已按《关于关于贯彻执行2018版安徽省建设工程计价依据的通知》（合造价[2018]13号）的规定计取，供应商报价中已包含</w:t>
            </w:r>
            <w:r>
              <w:rPr>
                <w:rFonts w:hint="eastAsia" w:ascii="宋体" w:hAnsi="宋体" w:cs="宋体"/>
                <w:b w:val="0"/>
                <w:bCs/>
                <w:sz w:val="24"/>
                <w:szCs w:val="24"/>
                <w:highlight w:val="none"/>
                <w:lang w:val="en-US" w:eastAsia="zh-CN"/>
              </w:rPr>
              <w:t>磋商</w:t>
            </w:r>
            <w:r>
              <w:rPr>
                <w:rFonts w:hint="eastAsia" w:ascii="宋体" w:hAnsi="宋体" w:cs="宋体"/>
                <w:b w:val="0"/>
                <w:bCs/>
                <w:sz w:val="24"/>
                <w:szCs w:val="24"/>
                <w:highlight w:val="none"/>
              </w:rPr>
              <w:t>文件公布的施工扬尘污染防治措施费用，供应商成交后办理相关专户设立等事宜。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adjustRightInd w:val="0"/>
              <w:snapToGrid w:val="0"/>
              <w:spacing w:line="360" w:lineRule="auto"/>
              <w:ind w:firstLine="480" w:firstLineChars="200"/>
              <w:jc w:val="center"/>
              <w:rPr>
                <w:rFonts w:hint="eastAsia" w:ascii="宋体" w:hAnsi="宋体" w:cs="宋体"/>
                <w:b w:val="0"/>
                <w:bCs/>
                <w:sz w:val="24"/>
                <w:szCs w:val="24"/>
                <w:highlight w:val="none"/>
              </w:rPr>
            </w:pPr>
            <w:r>
              <w:rPr>
                <w:rFonts w:hint="eastAsia" w:ascii="宋体" w:hAnsi="宋体" w:cs="宋体"/>
                <w:b w:val="0"/>
                <w:bCs/>
                <w:sz w:val="24"/>
                <w:szCs w:val="24"/>
                <w:highlight w:val="none"/>
              </w:rPr>
              <w:t>6</w:t>
            </w:r>
          </w:p>
        </w:tc>
        <w:tc>
          <w:tcPr>
            <w:tcW w:w="1277" w:type="dxa"/>
            <w:noWrap w:val="0"/>
            <w:vAlign w:val="center"/>
          </w:tcPr>
          <w:p>
            <w:pPr>
              <w:adjustRightInd w:val="0"/>
              <w:snapToGrid w:val="0"/>
              <w:spacing w:line="360" w:lineRule="auto"/>
              <w:jc w:val="both"/>
              <w:rPr>
                <w:rFonts w:hint="eastAsia" w:ascii="宋体" w:hAnsi="宋体" w:cs="宋体"/>
                <w:b w:val="0"/>
                <w:bCs/>
                <w:sz w:val="24"/>
                <w:szCs w:val="24"/>
                <w:highlight w:val="none"/>
              </w:rPr>
            </w:pPr>
            <w:r>
              <w:rPr>
                <w:rFonts w:hint="eastAsia" w:ascii="宋体" w:hAnsi="宋体" w:cs="宋体"/>
                <w:b w:val="0"/>
                <w:bCs/>
                <w:sz w:val="24"/>
                <w:szCs w:val="24"/>
                <w:highlight w:val="none"/>
              </w:rPr>
              <w:t>其他</w:t>
            </w:r>
          </w:p>
        </w:tc>
        <w:tc>
          <w:tcPr>
            <w:tcW w:w="6286" w:type="dxa"/>
            <w:noWrap w:val="0"/>
            <w:vAlign w:val="center"/>
          </w:tcPr>
          <w:p>
            <w:pPr>
              <w:adjustRightInd w:val="0"/>
              <w:snapToGrid w:val="0"/>
              <w:spacing w:line="360" w:lineRule="auto"/>
              <w:ind w:firstLine="480" w:firstLineChars="200"/>
              <w:jc w:val="both"/>
              <w:rPr>
                <w:rFonts w:hint="eastAsia" w:ascii="宋体" w:hAnsi="宋体" w:cs="宋体"/>
                <w:b w:val="0"/>
                <w:bCs/>
                <w:sz w:val="24"/>
                <w:szCs w:val="24"/>
                <w:highlight w:val="none"/>
              </w:rPr>
            </w:pPr>
          </w:p>
        </w:tc>
      </w:tr>
    </w:tbl>
    <w:p>
      <w:pPr>
        <w:widowControl/>
        <w:spacing w:line="360" w:lineRule="auto"/>
        <w:ind w:firstLine="482" w:firstLineChars="200"/>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rPr>
        <w:t>一、</w:t>
      </w:r>
      <w:r>
        <w:rPr>
          <w:rFonts w:hint="eastAsia" w:ascii="宋体" w:hAnsi="宋体" w:eastAsia="宋体" w:cs="宋体"/>
          <w:b/>
          <w:kern w:val="2"/>
          <w:sz w:val="24"/>
          <w:szCs w:val="24"/>
          <w:highlight w:val="none"/>
          <w:lang w:val="en-US" w:eastAsia="zh-CN"/>
        </w:rPr>
        <w:t>项目概况</w:t>
      </w:r>
    </w:p>
    <w:p>
      <w:pPr>
        <w:widowControl/>
        <w:spacing w:line="360" w:lineRule="auto"/>
        <w:ind w:firstLine="480" w:firstLineChars="20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本次招标项目主要分布</w:t>
      </w:r>
      <w:r>
        <w:rPr>
          <w:rFonts w:hint="eastAsia" w:ascii="宋体" w:hAnsi="宋体" w:eastAsia="宋体" w:cs="宋体"/>
          <w:bCs/>
          <w:kern w:val="2"/>
          <w:sz w:val="24"/>
          <w:szCs w:val="24"/>
          <w:highlight w:val="none"/>
          <w:lang w:val="zh-CN"/>
        </w:rPr>
        <w:t>区域范围：</w:t>
      </w:r>
      <w:r>
        <w:rPr>
          <w:rFonts w:hint="eastAsia" w:ascii="宋体" w:hAnsi="宋体" w:eastAsia="宋体" w:cs="宋体"/>
          <w:bCs/>
          <w:kern w:val="2"/>
          <w:sz w:val="24"/>
          <w:szCs w:val="24"/>
          <w:highlight w:val="none"/>
          <w:lang w:val="en-US" w:eastAsia="zh-CN"/>
        </w:rPr>
        <w:t>庐阳文旅集团及子公司所辖服务范围内</w:t>
      </w:r>
      <w:r>
        <w:rPr>
          <w:rFonts w:hint="eastAsia" w:ascii="宋体" w:hAnsi="宋体" w:eastAsia="宋体" w:cs="宋体"/>
          <w:bCs/>
          <w:kern w:val="2"/>
          <w:sz w:val="24"/>
          <w:szCs w:val="24"/>
          <w:highlight w:val="none"/>
          <w:lang w:val="zh-CN"/>
        </w:rPr>
        <w:t>，</w:t>
      </w:r>
      <w:r>
        <w:rPr>
          <w:rFonts w:hint="eastAsia" w:ascii="宋体" w:hAnsi="宋体" w:eastAsia="宋体" w:cs="宋体"/>
          <w:bCs/>
          <w:kern w:val="2"/>
          <w:sz w:val="24"/>
          <w:szCs w:val="24"/>
          <w:highlight w:val="none"/>
        </w:rPr>
        <w:t>如招标人委托</w:t>
      </w:r>
      <w:r>
        <w:rPr>
          <w:rFonts w:hint="eastAsia" w:ascii="宋体" w:hAnsi="宋体" w:cs="宋体"/>
          <w:bCs/>
          <w:kern w:val="2"/>
          <w:sz w:val="24"/>
          <w:szCs w:val="24"/>
          <w:highlight w:val="none"/>
          <w:lang w:val="en-US" w:eastAsia="zh-CN"/>
        </w:rPr>
        <w:t>其他需求及</w:t>
      </w:r>
      <w:r>
        <w:rPr>
          <w:rFonts w:hint="eastAsia" w:ascii="宋体" w:hAnsi="宋体" w:eastAsia="宋体" w:cs="宋体"/>
          <w:bCs/>
          <w:kern w:val="2"/>
          <w:sz w:val="24"/>
          <w:szCs w:val="24"/>
          <w:highlight w:val="none"/>
        </w:rPr>
        <w:t>其他地点的任务，中标人应无条件执行。</w:t>
      </w:r>
    </w:p>
    <w:p>
      <w:pPr>
        <w:widowControl/>
        <w:spacing w:line="360" w:lineRule="auto"/>
        <w:ind w:firstLine="480" w:firstLineChars="200"/>
        <w:rPr>
          <w:rFonts w:hint="eastAsia" w:ascii="宋体" w:hAnsi="宋体" w:eastAsia="宋体" w:cs="宋体"/>
          <w:bCs/>
          <w:kern w:val="2"/>
          <w:sz w:val="24"/>
          <w:szCs w:val="24"/>
          <w:highlight w:val="none"/>
        </w:rPr>
      </w:pPr>
      <w:r>
        <w:rPr>
          <w:rFonts w:ascii="宋体" w:hAnsi="宋体" w:eastAsia="宋体" w:cs="宋体"/>
          <w:bCs/>
          <w:kern w:val="2"/>
          <w:sz w:val="24"/>
          <w:szCs w:val="24"/>
          <w:highlight w:val="none"/>
        </w:rPr>
        <w:t>根据招标人</w:t>
      </w:r>
      <w:r>
        <w:rPr>
          <w:rFonts w:hint="eastAsia" w:ascii="宋体" w:hAnsi="宋体" w:eastAsia="宋体" w:cs="宋体"/>
          <w:bCs/>
          <w:kern w:val="2"/>
          <w:sz w:val="24"/>
          <w:szCs w:val="24"/>
          <w:highlight w:val="none"/>
        </w:rPr>
        <w:t>发出的任务委托单，完成委托任务。</w:t>
      </w:r>
      <w:r>
        <w:rPr>
          <w:rFonts w:hint="eastAsia" w:ascii="宋体" w:hAnsi="宋体" w:eastAsia="宋体" w:cs="宋体"/>
          <w:bCs/>
          <w:kern w:val="2"/>
          <w:sz w:val="24"/>
          <w:szCs w:val="24"/>
          <w:highlight w:val="none"/>
          <w:lang w:val="en-US" w:eastAsia="zh-CN"/>
        </w:rPr>
        <w:t>包括不限于以下工作</w:t>
      </w:r>
      <w:r>
        <w:rPr>
          <w:rFonts w:hint="eastAsia" w:ascii="宋体" w:hAnsi="宋体" w:eastAsia="宋体" w:cs="宋体"/>
          <w:bCs/>
          <w:kern w:val="2"/>
          <w:sz w:val="24"/>
          <w:szCs w:val="24"/>
          <w:highlight w:val="none"/>
        </w:rPr>
        <w:t>：</w:t>
      </w:r>
      <w:r>
        <w:rPr>
          <w:rFonts w:hint="eastAsia" w:ascii="宋体" w:hAnsi="宋体" w:eastAsia="宋体" w:cs="宋体"/>
          <w:bCs/>
          <w:kern w:val="2"/>
          <w:sz w:val="24"/>
          <w:szCs w:val="24"/>
          <w:highlight w:val="none"/>
          <w:lang w:val="en-US" w:eastAsia="zh-CN"/>
        </w:rPr>
        <w:t>庐阳区老城区及招标人管理辖区范围内道路、排水管网、路灯等市政设施管养、市政维修、养护</w:t>
      </w:r>
      <w:r>
        <w:rPr>
          <w:rFonts w:hint="eastAsia" w:ascii="宋体" w:hAnsi="宋体" w:eastAsia="宋体" w:cs="宋体"/>
          <w:bCs/>
          <w:kern w:val="2"/>
          <w:sz w:val="24"/>
          <w:szCs w:val="24"/>
          <w:highlight w:val="none"/>
        </w:rPr>
        <w:t>房屋外墙涂料改真石漆、内墙涂料、屋面及卫生间渗漏水维修、吊顶维修更换、墙面粘贴瓷砖、门窗损坏维修、消防池渗漏维修等，绿化补植、建筑外墙修复、标识标线更新、广场设施维修</w:t>
      </w: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rPr>
        <w:t>土方挖填及外运、路面破除及恢复、块料面层铺设、人行道板安砌、侧缘石安砌、树池砌筑制作、道路划线、道路标线清除及施画、标志标记、架空线及地下线走线安装等、围挡护栏、天棚吊顶、墙地砖铺贴、地板铺设、门窗工程、园林绿化及其养护、防水工程、墙面涂料、外立面维修、铁艺制作安装、零星砌砖、强电改造、弱电改造、给排水维修等及</w:t>
      </w:r>
      <w:r>
        <w:rPr>
          <w:rFonts w:hint="eastAsia" w:ascii="宋体" w:hAnsi="宋体" w:cs="宋体"/>
          <w:bCs/>
          <w:kern w:val="2"/>
          <w:sz w:val="24"/>
          <w:szCs w:val="24"/>
          <w:highlight w:val="none"/>
          <w:lang w:val="en-US" w:eastAsia="zh-CN"/>
        </w:rPr>
        <w:t>招标人需求的</w:t>
      </w:r>
      <w:r>
        <w:rPr>
          <w:rFonts w:hint="eastAsia" w:ascii="宋体" w:hAnsi="宋体" w:eastAsia="宋体" w:cs="宋体"/>
          <w:bCs/>
          <w:kern w:val="2"/>
          <w:sz w:val="24"/>
          <w:szCs w:val="24"/>
          <w:highlight w:val="none"/>
        </w:rPr>
        <w:t>零星工程（对应工程量极小）。</w:t>
      </w:r>
    </w:p>
    <w:p>
      <w:pPr>
        <w:pStyle w:val="28"/>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eastAsia="宋体" w:cs="宋体"/>
          <w:bCs/>
          <w:kern w:val="2"/>
          <w:sz w:val="24"/>
          <w:szCs w:val="24"/>
          <w:highlight w:val="none"/>
          <w:lang w:val="en-US" w:eastAsia="zh-CN"/>
        </w:rPr>
      </w:pPr>
      <w:r>
        <w:rPr>
          <w:rFonts w:hint="default" w:eastAsia="宋体" w:cs="宋体"/>
          <w:bCs/>
          <w:kern w:val="2"/>
          <w:sz w:val="24"/>
          <w:szCs w:val="24"/>
          <w:highlight w:val="none"/>
          <w:lang w:val="en-US" w:eastAsia="zh-CN"/>
        </w:rPr>
        <w:t>供应商在承包期内所发生的有关民事、刑事、安全事故、劳资纠纷等一切责任及经济损失均由供应商自行承担。合同期间因供应商自身原因造成的上访、投诉对采购人造成不良影响的，采购人有权终止合同，不予返还履约保证金和已完成部分的费用。</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ascii="宋体" w:hAnsi="宋体" w:eastAsia="宋体" w:cs="宋体"/>
          <w:b/>
          <w:bCs/>
          <w:sz w:val="24"/>
          <w:szCs w:val="24"/>
          <w:highlight w:val="none"/>
        </w:rPr>
        <w:t>具体服务细则</w:t>
      </w:r>
      <w:r>
        <w:rPr>
          <w:rFonts w:ascii="宋体" w:hAnsi="宋体" w:eastAsia="宋体" w:cs="宋体"/>
          <w:sz w:val="24"/>
          <w:szCs w:val="24"/>
          <w:highlight w:val="none"/>
        </w:rPr>
        <w:t xml:space="preserve"> </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 xml:space="preserve">.1 服务前准备阶段 </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.1.1 服务单位建立管理和组织机构，职责要求落实到人，并要求立即能正 常开展工作。</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 xml:space="preserve">.1.2 维修人员需具备相应的维修经验，涉及到特殊工种的，必要时需持证 上岗，责任到人。 </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.1.3 做好维修前的安全围挡、公告公示牌等一切准备工作</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.2.信息反馈</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维修人员应做好维修记录（时间、地点、存在问题、维修照片），对维修中存在的问题由项目经理及时上报给建设单位及监理单位。</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.3 零星维修服务量及服务方案由采购人、监理方、中标人确认，采购人下发任务单给中标人，中标人必须无条件严格按照任务单确定的服务量及服务方案开展，保质保量完成。</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.4 中标人必须无条件按照国家行业规范和采购人、监理的文件规定等要求 施工，严格把关服务质量，完成自检后及时报验。</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 xml:space="preserve">.5 如在维修过程中采购人要求使用新材料、新工艺、新技术等，中标人应积极配合，无条件地按照采购人的要求完成维修施工。 </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.6 维修质量保质期为 1 年，在质量保质期内除人为损坏的情况外，由中标 人自行无偿维修</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.7 安全文明施工</w:t>
      </w:r>
    </w:p>
    <w:p>
      <w:pPr>
        <w:pStyle w:val="28"/>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严格按照《建设工程施工技术规范》、《建设工程安全生产管理条例》执行。 </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.7.1 施工区域应设置明显的安全标志；</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.7.2 施工区域应拉警示旗或彩钢板围挡，满足业主单位要求；</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.7.3 施工区域做到材料堆放整齐，全面围挡覆盖；</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.7.4 要求做到工完、料净、场地清。</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ascii="宋体" w:hAnsi="宋体" w:eastAsia="宋体" w:cs="宋体"/>
          <w:b/>
          <w:bCs/>
          <w:sz w:val="24"/>
          <w:szCs w:val="24"/>
          <w:highlight w:val="none"/>
        </w:rPr>
        <w:t>服务要求</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 通用标准</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.1.1 需承包人办理的有关服务场地交通、环卫和施工噪音管理等手续：承包人负责办理，其费用由承包人承担。</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.1.2 维修的各道工序要做到以人为本，维修作业人员在服务过程时应当按相关要求穿戴具有反光功能的安全标志服装和防护帽，并按照要求在维修服务 场所处设置明显安全标志和采取有效的安全防护措施，必要时应安排专职的安 全人员对服务作业区域进行安全管理和监督，夜间应设置黄色频闪警示标志。</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.1.3 中标供应商应当遵守有关环境保护和安全生产法律、法规的规定，采取措施防止或者减少粉尘、废气、废水、固体废物、噪声、振动和照明产生的污染和危害。维修现场应干净整齐，余料及时清理、清扫，禁止随意丢弃。现场的各种设施、材料、设备器材等物料、应当定点存放。禁止在现场外擅自占道堆放建筑材料、工程渣土和建筑垃圾，服务结束后做到工完、料净、场地清。</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.1.4 中标供应商在维修服务时应当保护相关设施的完好。如确需暂时损坏或变更相关设施的，应当经采购人同意后方可实施，施工完成后应请权属单位检查验收，同时做好记录备案工作。</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 xml:space="preserve"> 服务过程所需的临水、临电由承包人自行解决。</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基础资料、台帐管理应做到： 做好详细的记录工作，并保存图片影像资料，并上报工作完成情况， 交由采购人审定，作为后期评定依据</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 xml:space="preserve">四、处罚措施 </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.1 因维修不当造成其他人员伤亡或财产损失，由中标人承担全部的法律责任和经济责任，同时采购人根据情节严重度对中标人进行违约金处罚。</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.2 采购人如发现中标供应商在规定的时间内未及时到服务现场进行维修，采购人将进行违约金处罚。</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.3 中标供应商按时将各类资料报表上报，每延期一次，采购人对中标人进行违约金处罚。</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.4 服务量结算过程中或者结算后，发包人发现结算资料有虚假或者不符合约定要求或者实际完成的服务量与该结算资料不一致或者有未完成的服务范 围及内容的，承包人除按本合同其他相关约定承担违约责任外，发包人还有权不办理该部分结算或者不支付该部分价款，如已支付的，承包人应在发包人通知后10日内将该部分价款退还给发包人，逾期承包人还应按应付额的日万分之三累计计算支付违约金，并承担由此而造成的损失。</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五、服务评定</w:t>
      </w:r>
    </w:p>
    <w:p>
      <w:pPr>
        <w:pStyle w:val="28"/>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当出现以下因素时，采购人有权随时终止合同，造成的一切损失由中标供应商自行解决，中标供应商不得以任何理由提出索赔要求：</w:t>
      </w:r>
    </w:p>
    <w:p>
      <w:pPr>
        <w:pStyle w:val="28"/>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因中标人未合理计划预算使用额度，造成服务期未结束但维修费用超出预算；</w:t>
      </w:r>
    </w:p>
    <w:p>
      <w:pPr>
        <w:pStyle w:val="28"/>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政策性调整； </w:t>
      </w:r>
    </w:p>
    <w:p>
      <w:pPr>
        <w:pStyle w:val="28"/>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因中标供应商原因发生安全事故或发生重大火灾或治安案件的或发生重大管线事故的； </w:t>
      </w:r>
    </w:p>
    <w:p>
      <w:pPr>
        <w:pStyle w:val="28"/>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省、市、区三级各类安全生产检查中受到建设行政主管部门通报批评处理的； </w:t>
      </w:r>
    </w:p>
    <w:p>
      <w:pPr>
        <w:pStyle w:val="28"/>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因不规范施工受到各级投诉或被新闻媒体曝光并经查实，造成严重社会影响的；</w:t>
      </w:r>
    </w:p>
    <w:p>
      <w:pPr>
        <w:pStyle w:val="28"/>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eastAsia="宋体" w:cs="宋体"/>
          <w:bCs/>
          <w:kern w:val="2"/>
          <w:sz w:val="24"/>
          <w:szCs w:val="24"/>
          <w:highlight w:val="none"/>
          <w:lang w:val="en-US" w:eastAsia="zh-CN"/>
        </w:rPr>
      </w:pPr>
      <w:r>
        <w:rPr>
          <w:rFonts w:ascii="宋体" w:hAnsi="宋体" w:eastAsia="宋体" w:cs="宋体"/>
          <w:sz w:val="24"/>
          <w:szCs w:val="24"/>
          <w:highlight w:val="none"/>
        </w:rPr>
        <w:t>（6）中标供应商不服从业主正常维修任务安排，造成工作延误影响恶劣进行处罚的</w:t>
      </w:r>
    </w:p>
    <w:p>
      <w:pPr>
        <w:widowControl/>
        <w:spacing w:line="360" w:lineRule="auto"/>
        <w:ind w:firstLine="482" w:firstLineChars="200"/>
        <w:rPr>
          <w:rFonts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六</w:t>
      </w:r>
      <w:r>
        <w:rPr>
          <w:rFonts w:hint="eastAsia" w:ascii="宋体" w:hAnsi="宋体" w:eastAsia="宋体" w:cs="宋体"/>
          <w:b/>
          <w:kern w:val="2"/>
          <w:sz w:val="24"/>
          <w:szCs w:val="24"/>
          <w:highlight w:val="none"/>
        </w:rPr>
        <w:t>、合同价款及计价方式</w:t>
      </w:r>
    </w:p>
    <w:p>
      <w:pPr>
        <w:widowControl/>
        <w:spacing w:line="360" w:lineRule="auto"/>
        <w:ind w:firstLine="480" w:firstLineChars="20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（一）合同价款</w:t>
      </w:r>
    </w:p>
    <w:p>
      <w:pPr>
        <w:widowControl/>
        <w:spacing w:line="360" w:lineRule="auto"/>
        <w:ind w:firstLine="480" w:firstLineChars="20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暂定合同价款为本项目预算金额。累计结算金额达到项目预算，招标人需另行招标。</w:t>
      </w:r>
      <w:r>
        <w:rPr>
          <w:rFonts w:hint="eastAsia" w:ascii="宋体" w:hAnsi="宋体" w:eastAsia="宋体" w:cs="宋体"/>
          <w:bCs/>
          <w:color w:val="FF0000"/>
          <w:kern w:val="2"/>
          <w:sz w:val="24"/>
          <w:szCs w:val="24"/>
          <w:highlight w:val="none"/>
        </w:rPr>
        <w:t>最终结算价格以</w:t>
      </w:r>
      <w:r>
        <w:rPr>
          <w:rFonts w:hint="eastAsia" w:ascii="宋体" w:hAnsi="宋体" w:cs="宋体"/>
          <w:bCs/>
          <w:color w:val="FF0000"/>
          <w:kern w:val="2"/>
          <w:sz w:val="24"/>
          <w:szCs w:val="24"/>
          <w:highlight w:val="none"/>
          <w:lang w:val="en-US" w:eastAsia="zh-CN"/>
        </w:rPr>
        <w:t>文旅集团委派第三方审计单位出具</w:t>
      </w:r>
      <w:r>
        <w:rPr>
          <w:rFonts w:hint="eastAsia" w:ascii="宋体" w:hAnsi="宋体" w:eastAsia="宋体" w:cs="宋体"/>
          <w:bCs/>
          <w:color w:val="FF0000"/>
          <w:kern w:val="2"/>
          <w:sz w:val="24"/>
          <w:szCs w:val="24"/>
          <w:highlight w:val="none"/>
        </w:rPr>
        <w:t>最终审计价格为准</w:t>
      </w:r>
      <w:r>
        <w:rPr>
          <w:rFonts w:hint="eastAsia" w:ascii="宋体" w:hAnsi="宋体" w:eastAsia="宋体" w:cs="宋体"/>
          <w:bCs/>
          <w:kern w:val="2"/>
          <w:sz w:val="24"/>
          <w:szCs w:val="24"/>
          <w:highlight w:val="none"/>
        </w:rPr>
        <w:t>，并不得超出本项目预算，超出部分由中标人自理，招标人不再另行支付。</w:t>
      </w:r>
    </w:p>
    <w:p>
      <w:pPr>
        <w:widowControl/>
        <w:spacing w:line="360" w:lineRule="auto"/>
        <w:ind w:firstLine="480" w:firstLineChars="20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（二）计价方式</w:t>
      </w:r>
    </w:p>
    <w:p>
      <w:pPr>
        <w:widowControl/>
        <w:spacing w:line="360" w:lineRule="auto"/>
        <w:ind w:firstLine="480" w:firstLineChars="20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1.本项目采用费率招标，投标人结合招标需求中招标人的要求及自身实力综合考虑并谨慎报价。（小数点后保留2位，即小数点2位之后的直接去除，不进行四舍五入；例：95.827%，取95.82%）</w:t>
      </w:r>
    </w:p>
    <w:p>
      <w:pPr>
        <w:widowControl/>
        <w:spacing w:line="360" w:lineRule="auto"/>
        <w:ind w:firstLine="480" w:firstLineChars="200"/>
        <w:rPr>
          <w:rFonts w:ascii="宋体" w:hAnsi="宋体" w:eastAsia="宋体" w:cs="宋体"/>
          <w:b/>
          <w:kern w:val="2"/>
          <w:sz w:val="24"/>
          <w:szCs w:val="18"/>
          <w:highlight w:val="none"/>
        </w:rPr>
      </w:pPr>
      <w:r>
        <w:rPr>
          <w:rFonts w:hint="eastAsia" w:ascii="宋体" w:hAnsi="宋体" w:eastAsia="宋体" w:cs="宋体"/>
          <w:bCs/>
          <w:kern w:val="2"/>
          <w:sz w:val="24"/>
          <w:szCs w:val="24"/>
          <w:highlight w:val="none"/>
        </w:rPr>
        <w:t>2.</w:t>
      </w:r>
      <w:r>
        <w:rPr>
          <w:rFonts w:hint="eastAsia" w:ascii="宋体" w:hAnsi="宋体" w:eastAsia="宋体" w:cs="宋体"/>
          <w:b/>
          <w:kern w:val="2"/>
          <w:sz w:val="24"/>
          <w:szCs w:val="18"/>
          <w:highlight w:val="none"/>
        </w:rPr>
        <w:t>单个任务单项目结算价款</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单个任务单项目结算价=依据招标文件规定的方法计算得出的工程竣工审计价×中标费率。</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kern w:val="2"/>
          <w:sz w:val="24"/>
          <w:szCs w:val="18"/>
          <w:highlight w:val="none"/>
        </w:rPr>
        <w:t>其中工程竣工审计价为审计部门依据相关定额，根据实际完成工程量计算得出，该审计价不得下浮。结算价为工程竣工后招标人实际应当支付的价款，是中标人编制的工程结算经业务委托审计后，在工程竣工审计价的基础上再乘以固定结算费率计算得出。</w:t>
      </w:r>
    </w:p>
    <w:p>
      <w:pPr>
        <w:spacing w:line="360" w:lineRule="auto"/>
        <w:ind w:firstLine="437"/>
        <w:rPr>
          <w:rFonts w:hint="eastAsia" w:ascii="宋体" w:hAnsi="宋体" w:eastAsia="宋体" w:cs="宋体"/>
          <w:b/>
          <w:kern w:val="2"/>
          <w:sz w:val="24"/>
          <w:szCs w:val="18"/>
          <w:highlight w:val="none"/>
          <w:lang w:eastAsia="zh-CN"/>
        </w:rPr>
      </w:pPr>
      <w:r>
        <w:rPr>
          <w:rFonts w:hint="eastAsia" w:ascii="宋体" w:hAnsi="宋体" w:eastAsia="宋体" w:cs="宋体"/>
          <w:b/>
          <w:kern w:val="2"/>
          <w:sz w:val="24"/>
          <w:szCs w:val="18"/>
          <w:highlight w:val="none"/>
        </w:rPr>
        <w:t>（1）本项目单个任务单结算价款不小于</w:t>
      </w:r>
      <w:r>
        <w:rPr>
          <w:rFonts w:hint="eastAsia" w:ascii="宋体" w:hAnsi="宋体" w:eastAsia="宋体" w:cs="宋体"/>
          <w:b/>
          <w:kern w:val="2"/>
          <w:sz w:val="24"/>
          <w:szCs w:val="18"/>
          <w:highlight w:val="none"/>
          <w:lang w:val="en-US" w:eastAsia="zh-CN"/>
        </w:rPr>
        <w:t>5</w:t>
      </w:r>
      <w:r>
        <w:rPr>
          <w:rFonts w:ascii="宋体" w:hAnsi="宋体" w:eastAsia="宋体" w:cs="宋体"/>
          <w:b/>
          <w:kern w:val="2"/>
          <w:sz w:val="24"/>
          <w:szCs w:val="18"/>
          <w:highlight w:val="none"/>
        </w:rPr>
        <w:t>00</w:t>
      </w:r>
      <w:r>
        <w:rPr>
          <w:rFonts w:hint="eastAsia" w:ascii="宋体" w:hAnsi="宋体" w:eastAsia="宋体" w:cs="宋体"/>
          <w:b/>
          <w:kern w:val="2"/>
          <w:sz w:val="24"/>
          <w:szCs w:val="18"/>
          <w:highlight w:val="none"/>
        </w:rPr>
        <w:t>元。如按照合同约定的计价方式计算后，总价小于</w:t>
      </w:r>
      <w:r>
        <w:rPr>
          <w:rFonts w:hint="eastAsia" w:ascii="宋体" w:hAnsi="宋体" w:eastAsia="宋体" w:cs="宋体"/>
          <w:b/>
          <w:kern w:val="2"/>
          <w:sz w:val="24"/>
          <w:szCs w:val="18"/>
          <w:highlight w:val="none"/>
          <w:lang w:val="en-US" w:eastAsia="zh-CN"/>
        </w:rPr>
        <w:t>5</w:t>
      </w:r>
      <w:r>
        <w:rPr>
          <w:rFonts w:ascii="宋体" w:hAnsi="宋体" w:eastAsia="宋体" w:cs="宋体"/>
          <w:b/>
          <w:kern w:val="2"/>
          <w:sz w:val="24"/>
          <w:szCs w:val="18"/>
          <w:highlight w:val="none"/>
        </w:rPr>
        <w:t>00</w:t>
      </w:r>
      <w:r>
        <w:rPr>
          <w:rFonts w:hint="eastAsia" w:ascii="宋体" w:hAnsi="宋体" w:eastAsia="宋体" w:cs="宋体"/>
          <w:b/>
          <w:kern w:val="2"/>
          <w:sz w:val="24"/>
          <w:szCs w:val="18"/>
          <w:highlight w:val="none"/>
        </w:rPr>
        <w:t>元，则按</w:t>
      </w:r>
      <w:r>
        <w:rPr>
          <w:rFonts w:hint="eastAsia" w:ascii="宋体" w:hAnsi="宋体" w:eastAsia="宋体" w:cs="宋体"/>
          <w:b/>
          <w:kern w:val="2"/>
          <w:sz w:val="24"/>
          <w:szCs w:val="18"/>
          <w:highlight w:val="none"/>
          <w:lang w:val="en-US" w:eastAsia="zh-CN"/>
        </w:rPr>
        <w:t>5</w:t>
      </w:r>
      <w:r>
        <w:rPr>
          <w:rFonts w:ascii="宋体" w:hAnsi="宋体" w:eastAsia="宋体" w:cs="宋体"/>
          <w:b/>
          <w:kern w:val="2"/>
          <w:sz w:val="24"/>
          <w:szCs w:val="18"/>
          <w:highlight w:val="none"/>
        </w:rPr>
        <w:t>00</w:t>
      </w:r>
      <w:r>
        <w:rPr>
          <w:rFonts w:hint="eastAsia" w:ascii="宋体" w:hAnsi="宋体" w:eastAsia="宋体" w:cs="宋体"/>
          <w:b/>
          <w:kern w:val="2"/>
          <w:sz w:val="24"/>
          <w:szCs w:val="18"/>
          <w:highlight w:val="none"/>
        </w:rPr>
        <w:t>元计入结算。</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2）单个任务单的小额零星项目工程结算和审计采用2018版安徽省建设工程计价依据，包括《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和《1999年全国统一房屋修缮工程预算定额安徽省综合价格》（税率不予调整）。人工费调整执行合肥市造价站最新相关文件规定；取费程序及标准执行合肥市造价站的规定。如工程中发生上述计价办法无法计价的，依照行业内可参照的定额标准执行。材料单价以合同签订时最新一期的合肥市工程造价信息价格计算（信息价没有的，由招标人、监理单位（如有）、造价咨询单位及中标人四方根据市场询价或同类政府审计单价协商确定材料的含税单价），询价确定的价格不计取优惠费用。</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3）主要材料约定：主要材料价套用任务委托单签发时最新一期的合肥地区建设工程材料市场信息价（正本）并符合甲方推荐或选定的参考品牌及要求；信息价中不含的主材价格及特殊材料需经采购人、中标人及采购人的审计部门或由其委托的中介机构共同询价确定，询价确定的材料单价不计取优惠费用。上述因信息价没有，四方询价具体方式为：</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对于招标文件有推荐品牌的，以推荐品牌询价；招标文件没有推荐品牌的，由招标人标后推荐不少于三个同等档次品牌，根据招标人推荐的同等档次的品牌进行询价；</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（1）对确定品牌或招标人推荐品牌的询价，由招标人、监理单位（如有）、造价咨询单位及中标人四方各推荐1-2家供应商，以询得的各供应商合理最低价作为最终询价价格，明显偏离不采纳。</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2）特殊材料、特殊工艺或市场因素造成的以上方式询得的供应商报价不满3家的，询价供应商提供报价的同时须提供同品牌同技术参数的供货合同作为询价参考，以合理最低报价作为最终询价价格，且征得招标人认可后方可实施。</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（3）投标范围外无法询价的部分（影片、软件、定制类），参考同类项目政府审核报告中平均的价格作为定价依据。</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（4）有特殊要求、询价争议或招标人认为需要一事一议的询价，以招标人意见为准。</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本项目涉及供、配电内容的，工程量清单计价文件优先使用2018版安徽省建设工程计价依据编制，2018版计价依据没有的，按以下规定执行：20kV及以下配电网工程执行2016年版《20kV及以下配电网工程建设预算编制与计算标准》和相应的费用文件。35kV及以上电力建设工程执行2018年版《电力建设工程预算定额》及配套的2018年版《电网工程建设预算编制与计算标准》和相应的费用文件。弱电、智能化及多媒体项目，执行工信部的通信工程行业定额。</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（4）施工水电费用由中标人自行解决。</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（5）审核费用：施工单位申报的预算、决算，经审计，预算核减数超过申报数的10％，决算核减数超过申报数的5％，则其超过部分的审核费用由乙方承担。</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（6）中标人需按照采购人下达的《施工任务通知单》中约定的质量和工期要求完成工程。</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（7）中标人根据本招标文件和国家相应施工规范以及与此相关的报价编制依据、资料、文件进行计价。投标人应充分考虑工程实际情况和风险，编制报价。</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18"/>
          <w:highlight w:val="none"/>
        </w:rPr>
        <w:t>（8）工程验收后十四天，乙方向甲方提供竣工验收资料壹套，并提交项目决算申报书。</w:t>
      </w:r>
    </w:p>
    <w:p>
      <w:pPr>
        <w:spacing w:line="360" w:lineRule="auto"/>
        <w:ind w:firstLine="437"/>
        <w:rPr>
          <w:rFonts w:hint="eastAsia" w:ascii="宋体" w:hAnsi="宋体" w:eastAsia="宋体" w:cs="宋体"/>
          <w:b/>
          <w:kern w:val="2"/>
          <w:sz w:val="24"/>
          <w:szCs w:val="18"/>
          <w:highlight w:val="none"/>
        </w:rPr>
      </w:pPr>
      <w:r>
        <w:rPr>
          <w:rFonts w:hint="eastAsia" w:ascii="宋体" w:hAnsi="宋体" w:eastAsia="宋体" w:cs="宋体"/>
          <w:b/>
          <w:kern w:val="2"/>
          <w:sz w:val="24"/>
          <w:szCs w:val="18"/>
          <w:highlight w:val="none"/>
        </w:rPr>
        <w:t>3.在招标区域范围内，采购人有权委托本项目中标人以外的其他施工单位完成维修事项。中标人不得有异议。</w:t>
      </w:r>
    </w:p>
    <w:p>
      <w:pPr>
        <w:widowControl/>
        <w:spacing w:line="360" w:lineRule="auto"/>
        <w:ind w:firstLine="482" w:firstLineChars="200"/>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七、人员要求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3975"/>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noWrap w:val="0"/>
            <w:vAlign w:val="center"/>
          </w:tcPr>
          <w:p>
            <w:pPr>
              <w:widowControl/>
              <w:spacing w:line="560" w:lineRule="exact"/>
              <w:jc w:val="center"/>
              <w:rPr>
                <w:rFonts w:ascii="仿宋_GB2312" w:hAnsi="仿宋_GB2312" w:eastAsia="仿宋_GB2312" w:cs="仿宋_GB2312"/>
                <w:b/>
                <w:bCs/>
                <w:color w:val="auto"/>
                <w:kern w:val="0"/>
                <w:sz w:val="28"/>
                <w:szCs w:val="21"/>
                <w:highlight w:val="none"/>
              </w:rPr>
            </w:pPr>
            <w:r>
              <w:rPr>
                <w:rFonts w:hint="eastAsia" w:ascii="仿宋_GB2312" w:hAnsi="仿宋_GB2312" w:eastAsia="仿宋_GB2312" w:cs="仿宋_GB2312"/>
                <w:b/>
                <w:bCs/>
                <w:color w:val="auto"/>
                <w:kern w:val="0"/>
                <w:sz w:val="28"/>
                <w:szCs w:val="21"/>
                <w:highlight w:val="none"/>
              </w:rPr>
              <w:t>岗位</w:t>
            </w:r>
          </w:p>
        </w:tc>
        <w:tc>
          <w:tcPr>
            <w:tcW w:w="3975" w:type="dxa"/>
            <w:noWrap w:val="0"/>
            <w:vAlign w:val="center"/>
          </w:tcPr>
          <w:p>
            <w:pPr>
              <w:widowControl/>
              <w:spacing w:line="560" w:lineRule="exact"/>
              <w:jc w:val="center"/>
              <w:rPr>
                <w:rFonts w:ascii="仿宋_GB2312" w:hAnsi="仿宋_GB2312" w:eastAsia="仿宋_GB2312" w:cs="仿宋_GB2312"/>
                <w:b/>
                <w:bCs/>
                <w:color w:val="auto"/>
                <w:kern w:val="0"/>
                <w:sz w:val="28"/>
                <w:szCs w:val="21"/>
                <w:highlight w:val="none"/>
              </w:rPr>
            </w:pPr>
            <w:r>
              <w:rPr>
                <w:rFonts w:hint="eastAsia" w:ascii="仿宋_GB2312" w:hAnsi="仿宋_GB2312" w:eastAsia="仿宋_GB2312" w:cs="仿宋_GB2312"/>
                <w:b/>
                <w:bCs/>
                <w:color w:val="auto"/>
                <w:kern w:val="0"/>
                <w:sz w:val="28"/>
                <w:szCs w:val="21"/>
                <w:highlight w:val="none"/>
              </w:rPr>
              <w:t>专业及资格要求</w:t>
            </w:r>
          </w:p>
        </w:tc>
        <w:tc>
          <w:tcPr>
            <w:tcW w:w="3239" w:type="dxa"/>
            <w:noWrap w:val="0"/>
            <w:vAlign w:val="center"/>
          </w:tcPr>
          <w:p>
            <w:pPr>
              <w:widowControl/>
              <w:spacing w:line="560" w:lineRule="exact"/>
              <w:jc w:val="center"/>
              <w:rPr>
                <w:rFonts w:ascii="仿宋_GB2312" w:hAnsi="仿宋_GB2312" w:eastAsia="仿宋_GB2312" w:cs="仿宋_GB2312"/>
                <w:b/>
                <w:bCs/>
                <w:color w:val="auto"/>
                <w:kern w:val="0"/>
                <w:sz w:val="28"/>
                <w:szCs w:val="21"/>
                <w:highlight w:val="none"/>
              </w:rPr>
            </w:pPr>
            <w:r>
              <w:rPr>
                <w:rFonts w:hint="eastAsia" w:ascii="仿宋_GB2312" w:hAnsi="仿宋_GB2312" w:eastAsia="仿宋_GB2312" w:cs="仿宋_GB2312"/>
                <w:b/>
                <w:bCs/>
                <w:color w:val="auto"/>
                <w:kern w:val="0"/>
                <w:sz w:val="28"/>
                <w:szCs w:val="21"/>
                <w:highlight w:val="none"/>
              </w:rPr>
              <w:t>主要检测人员配额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项目负责人</w:t>
            </w:r>
          </w:p>
        </w:tc>
        <w:tc>
          <w:tcPr>
            <w:tcW w:w="3975"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二级建造师</w:t>
            </w:r>
          </w:p>
        </w:tc>
        <w:tc>
          <w:tcPr>
            <w:tcW w:w="3239" w:type="dxa"/>
            <w:noWrap w:val="0"/>
            <w:vAlign w:val="center"/>
          </w:tcPr>
          <w:p>
            <w:pPr>
              <w:widowControl/>
              <w:spacing w:line="560" w:lineRule="exact"/>
              <w:jc w:val="left"/>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824" w:type="dxa"/>
            <w:noWrap w:val="0"/>
            <w:vAlign w:val="center"/>
          </w:tcPr>
          <w:p>
            <w:pPr>
              <w:widowControl/>
              <w:spacing w:line="560" w:lineRule="exact"/>
              <w:jc w:val="center"/>
              <w:rPr>
                <w:rFonts w:hint="default" w:ascii="仿宋_GB2312" w:hAnsi="仿宋_GB2312" w:eastAsia="仿宋_GB2312" w:cs="仿宋_GB2312"/>
                <w:color w:val="auto"/>
                <w:kern w:val="0"/>
                <w:sz w:val="28"/>
                <w:szCs w:val="21"/>
                <w:highlight w:val="none"/>
                <w:lang w:val="en-US" w:eastAsia="zh-CN"/>
              </w:rPr>
            </w:pPr>
            <w:r>
              <w:rPr>
                <w:rFonts w:hint="eastAsia" w:ascii="仿宋_GB2312" w:hAnsi="仿宋_GB2312" w:eastAsia="仿宋_GB2312" w:cs="仿宋_GB2312"/>
                <w:color w:val="auto"/>
                <w:kern w:val="0"/>
                <w:sz w:val="28"/>
                <w:szCs w:val="21"/>
                <w:highlight w:val="none"/>
                <w:lang w:val="en-US" w:eastAsia="zh-CN"/>
              </w:rPr>
              <w:t>技术负责人</w:t>
            </w:r>
          </w:p>
        </w:tc>
        <w:tc>
          <w:tcPr>
            <w:tcW w:w="3975" w:type="dxa"/>
            <w:noWrap w:val="0"/>
            <w:vAlign w:val="center"/>
          </w:tcPr>
          <w:p>
            <w:pPr>
              <w:widowControl/>
              <w:spacing w:line="560" w:lineRule="exact"/>
              <w:jc w:val="center"/>
              <w:rPr>
                <w:rFonts w:hint="default" w:ascii="仿宋_GB2312" w:hAnsi="仿宋_GB2312" w:eastAsia="仿宋_GB2312" w:cs="仿宋_GB2312"/>
                <w:b/>
                <w:bCs/>
                <w:color w:val="auto"/>
                <w:kern w:val="0"/>
                <w:sz w:val="28"/>
                <w:szCs w:val="21"/>
                <w:highlight w:val="none"/>
                <w:lang w:val="en-US" w:eastAsia="zh-CN"/>
              </w:rPr>
            </w:pPr>
            <w:r>
              <w:rPr>
                <w:rFonts w:hint="eastAsia" w:ascii="仿宋_GB2312" w:hAnsi="仿宋_GB2312" w:eastAsia="仿宋_GB2312" w:cs="仿宋_GB2312"/>
                <w:color w:val="auto"/>
                <w:kern w:val="0"/>
                <w:sz w:val="28"/>
                <w:szCs w:val="21"/>
                <w:highlight w:val="none"/>
                <w:lang w:val="en-US" w:eastAsia="zh-CN"/>
              </w:rPr>
              <w:t>中级及以上职称证书</w:t>
            </w:r>
          </w:p>
        </w:tc>
        <w:tc>
          <w:tcPr>
            <w:tcW w:w="3239" w:type="dxa"/>
            <w:noWrap w:val="0"/>
            <w:vAlign w:val="center"/>
          </w:tcPr>
          <w:p>
            <w:pPr>
              <w:widowControl/>
              <w:spacing w:line="560" w:lineRule="exact"/>
              <w:jc w:val="left"/>
              <w:rPr>
                <w:rFonts w:hint="eastAsia"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安全员</w:t>
            </w:r>
          </w:p>
        </w:tc>
        <w:tc>
          <w:tcPr>
            <w:tcW w:w="3975"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w:t>
            </w:r>
          </w:p>
        </w:tc>
        <w:tc>
          <w:tcPr>
            <w:tcW w:w="3239" w:type="dxa"/>
            <w:noWrap w:val="0"/>
            <w:vAlign w:val="center"/>
          </w:tcPr>
          <w:p>
            <w:pPr>
              <w:widowControl/>
              <w:spacing w:line="560" w:lineRule="exact"/>
              <w:jc w:val="left"/>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24"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资料员</w:t>
            </w:r>
          </w:p>
        </w:tc>
        <w:tc>
          <w:tcPr>
            <w:tcW w:w="3975"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w:t>
            </w:r>
          </w:p>
        </w:tc>
        <w:tc>
          <w:tcPr>
            <w:tcW w:w="3239" w:type="dxa"/>
            <w:noWrap w:val="0"/>
            <w:vAlign w:val="center"/>
          </w:tcPr>
          <w:p>
            <w:pPr>
              <w:widowControl/>
              <w:spacing w:line="560" w:lineRule="exact"/>
              <w:jc w:val="left"/>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24"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p>
        </w:tc>
        <w:tc>
          <w:tcPr>
            <w:tcW w:w="3975" w:type="dxa"/>
            <w:noWrap w:val="0"/>
            <w:vAlign w:val="center"/>
          </w:tcPr>
          <w:p>
            <w:pPr>
              <w:widowControl/>
              <w:spacing w:line="560" w:lineRule="exact"/>
              <w:jc w:val="center"/>
              <w:rPr>
                <w:rFonts w:ascii="仿宋_GB2312" w:hAnsi="仿宋_GB2312" w:eastAsia="仿宋_GB2312" w:cs="仿宋_GB2312"/>
                <w:color w:val="auto"/>
                <w:kern w:val="0"/>
                <w:sz w:val="28"/>
                <w:szCs w:val="21"/>
                <w:highlight w:val="none"/>
              </w:rPr>
            </w:pPr>
            <w:r>
              <w:rPr>
                <w:rFonts w:hint="eastAsia" w:ascii="仿宋_GB2312" w:hAnsi="仿宋_GB2312" w:eastAsia="仿宋_GB2312" w:cs="仿宋_GB2312"/>
                <w:color w:val="auto"/>
                <w:kern w:val="0"/>
                <w:sz w:val="28"/>
                <w:szCs w:val="21"/>
                <w:highlight w:val="none"/>
              </w:rPr>
              <w:t>合计</w:t>
            </w:r>
          </w:p>
        </w:tc>
        <w:tc>
          <w:tcPr>
            <w:tcW w:w="3239" w:type="dxa"/>
            <w:noWrap w:val="0"/>
            <w:vAlign w:val="center"/>
          </w:tcPr>
          <w:p>
            <w:pPr>
              <w:widowControl/>
              <w:spacing w:line="560" w:lineRule="exact"/>
              <w:jc w:val="center"/>
              <w:rPr>
                <w:rFonts w:hint="eastAsia" w:ascii="仿宋_GB2312" w:hAnsi="仿宋_GB2312" w:eastAsia="仿宋_GB2312" w:cs="仿宋_GB2312"/>
                <w:color w:val="auto"/>
                <w:kern w:val="0"/>
                <w:sz w:val="28"/>
                <w:szCs w:val="21"/>
                <w:highlight w:val="none"/>
                <w:lang w:eastAsia="zh-CN"/>
              </w:rPr>
            </w:pPr>
            <w:r>
              <w:rPr>
                <w:rFonts w:hint="eastAsia" w:ascii="仿宋_GB2312" w:hAnsi="仿宋_GB2312" w:eastAsia="仿宋_GB2312" w:cs="仿宋_GB2312"/>
                <w:color w:val="auto"/>
                <w:kern w:val="0"/>
                <w:sz w:val="28"/>
                <w:szCs w:val="21"/>
                <w:highlight w:val="none"/>
                <w:lang w:val="en-US" w:eastAsia="zh-CN"/>
              </w:rPr>
              <w:t>4</w:t>
            </w:r>
          </w:p>
        </w:tc>
      </w:tr>
    </w:tbl>
    <w:p>
      <w:pPr>
        <w:pStyle w:val="28"/>
        <w:rPr>
          <w:rFonts w:hint="default" w:eastAsia="宋体"/>
          <w:highlight w:val="none"/>
          <w:lang w:val="en-US" w:eastAsia="zh-CN"/>
        </w:rPr>
      </w:pPr>
      <w:r>
        <w:rPr>
          <w:rFonts w:hint="eastAsia" w:ascii="宋体" w:hAnsi="宋体"/>
          <w:sz w:val="24"/>
          <w:szCs w:val="24"/>
          <w:highlight w:val="none"/>
          <w:lang w:val="en-US" w:eastAsia="zh-CN"/>
        </w:rPr>
        <w:t>配备需有资质的项目负责人1人，技术负责人1人，安全员1人，资料员1人，做好现场的施工管理、安全文明施工沟通协调工作</w:t>
      </w:r>
      <w:r>
        <w:rPr>
          <w:rFonts w:hint="eastAsia" w:ascii="宋体" w:hAnsi="宋体"/>
          <w:sz w:val="24"/>
          <w:szCs w:val="24"/>
          <w:highlight w:val="none"/>
        </w:rPr>
        <w:t>。</w:t>
      </w:r>
      <w:r>
        <w:rPr>
          <w:rFonts w:hint="eastAsia"/>
          <w:highlight w:val="none"/>
          <w:lang w:val="en-US" w:eastAsia="zh-CN"/>
        </w:rPr>
        <w:t>根据招标人要求及项目性质，需增派项目人员，中标单位需无条件服从。</w:t>
      </w:r>
    </w:p>
    <w:p>
      <w:pPr>
        <w:widowControl/>
        <w:spacing w:line="360" w:lineRule="auto"/>
        <w:ind w:firstLine="482" w:firstLineChars="200"/>
        <w:rPr>
          <w:rFonts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八</w:t>
      </w:r>
      <w:r>
        <w:rPr>
          <w:rFonts w:hint="eastAsia" w:ascii="宋体" w:hAnsi="宋体" w:eastAsia="宋体" w:cs="宋体"/>
          <w:b/>
          <w:kern w:val="2"/>
          <w:sz w:val="24"/>
          <w:szCs w:val="24"/>
          <w:highlight w:val="none"/>
        </w:rPr>
        <w:t>、付款方式</w:t>
      </w:r>
    </w:p>
    <w:p>
      <w:pPr>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val="en-US" w:eastAsia="zh-CN"/>
        </w:rPr>
        <w:t>按任务单据实结算，</w:t>
      </w:r>
      <w:r>
        <w:rPr>
          <w:rFonts w:hint="eastAsia" w:ascii="宋体" w:hAnsi="宋体" w:eastAsia="宋体" w:cs="宋体"/>
          <w:kern w:val="2"/>
          <w:sz w:val="24"/>
          <w:szCs w:val="24"/>
          <w:highlight w:val="none"/>
        </w:rPr>
        <w:t>单个任务单完成</w:t>
      </w:r>
      <w:r>
        <w:rPr>
          <w:rFonts w:hint="eastAsia" w:ascii="宋体" w:hAnsi="宋体" w:cs="宋体"/>
          <w:kern w:val="2"/>
          <w:sz w:val="24"/>
          <w:szCs w:val="24"/>
          <w:highlight w:val="none"/>
          <w:lang w:val="en-US" w:eastAsia="zh-CN"/>
        </w:rPr>
        <w:t>并验收合格后</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val="en-US" w:eastAsia="zh-CN"/>
        </w:rPr>
        <w:t>报审价</w:t>
      </w:r>
      <w:r>
        <w:rPr>
          <w:rFonts w:hint="eastAsia" w:ascii="宋体" w:hAnsi="宋体" w:eastAsia="宋体" w:cs="宋体"/>
          <w:kern w:val="2"/>
          <w:sz w:val="24"/>
          <w:szCs w:val="24"/>
          <w:highlight w:val="none"/>
        </w:rPr>
        <w:t>经甲方及甲方委托的单位审核后，支付审核金额的80%，结算审计完成后支付审定金额的97%，余款待缺陷责任期满后一次性无息支付。</w:t>
      </w:r>
    </w:p>
    <w:p>
      <w:pPr>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工程款支付时应全额扣除当期已支付的农民工工资</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如有</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w:t>
      </w:r>
    </w:p>
    <w:p>
      <w:pPr>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付款时需按照一般纳税人方式开具增值税专用发票。</w:t>
      </w:r>
    </w:p>
    <w:p>
      <w:pPr>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2.中标单位须保证工程建设资金专款专用。招标人有权对本工程建设资金的使用进行监督与核实(共管账户)，中标人须积极配合。中标人未积极配合的视为违约，应向招标人支付违约金，违约金数额为已付款的1%。如中标人挪用本工程工程款，未做到专款专用的，招标人将按已付款1%收取违约金。</w:t>
      </w:r>
    </w:p>
    <w:p>
      <w:pPr>
        <w:widowControl/>
        <w:spacing w:line="360" w:lineRule="auto"/>
        <w:ind w:firstLine="482" w:firstLineChars="200"/>
        <w:rPr>
          <w:rFonts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九</w:t>
      </w:r>
      <w:r>
        <w:rPr>
          <w:rFonts w:hint="eastAsia" w:ascii="宋体" w:hAnsi="宋体" w:eastAsia="宋体" w:cs="宋体"/>
          <w:b/>
          <w:kern w:val="2"/>
          <w:sz w:val="24"/>
          <w:szCs w:val="24"/>
          <w:highlight w:val="none"/>
        </w:rPr>
        <w:t>、相关要求</w:t>
      </w:r>
    </w:p>
    <w:p>
      <w:pPr>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1、工期要求：按甲方任务单要求的工期执行。</w:t>
      </w:r>
    </w:p>
    <w:p>
      <w:pPr>
        <w:widowControl/>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2、施工质量要求：合格；</w:t>
      </w:r>
    </w:p>
    <w:p>
      <w:pPr>
        <w:widowControl/>
        <w:spacing w:line="360" w:lineRule="auto"/>
        <w:ind w:firstLine="480" w:firstLineChars="200"/>
        <w:rPr>
          <w:rFonts w:ascii="宋体" w:hAnsi="宋体" w:eastAsia="宋体" w:cs="Times New Roman"/>
          <w:kern w:val="2"/>
          <w:sz w:val="24"/>
          <w:szCs w:val="24"/>
          <w:highlight w:val="none"/>
        </w:rPr>
      </w:pPr>
      <w:r>
        <w:rPr>
          <w:rFonts w:hint="eastAsia" w:ascii="宋体" w:hAnsi="宋体" w:eastAsia="宋体" w:cs="宋体"/>
          <w:kern w:val="2"/>
          <w:sz w:val="24"/>
          <w:szCs w:val="24"/>
          <w:highlight w:val="none"/>
        </w:rPr>
        <w:t>3、</w:t>
      </w:r>
      <w:r>
        <w:rPr>
          <w:rFonts w:hint="eastAsia" w:ascii="宋体" w:hAnsi="宋体" w:eastAsia="宋体" w:cs="Times New Roman"/>
          <w:kern w:val="2"/>
          <w:sz w:val="24"/>
          <w:szCs w:val="24"/>
          <w:highlight w:val="none"/>
        </w:rPr>
        <w:t>投标人提供的所有产品必须具有在中国境内的合法使用权和用户保护权且为全新原装产品，投标人所提供的服务应符合国家相关法律法规。</w:t>
      </w:r>
    </w:p>
    <w:p>
      <w:pPr>
        <w:widowControl/>
        <w:spacing w:line="360" w:lineRule="auto"/>
        <w:ind w:firstLine="480" w:firstLineChars="200"/>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4、中标单位负责项目建设过程中的所有报批报建工作（如涉及），费用在投标报价中综合考虑，招标人不再另行支付。</w:t>
      </w:r>
    </w:p>
    <w:p>
      <w:pPr>
        <w:widowControl/>
        <w:spacing w:line="360" w:lineRule="auto"/>
        <w:ind w:firstLine="480" w:firstLineChars="200"/>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5、本次招标项目的委托事项对现场的交通导行组织、安全防护措施要求较高，投标人须将现场客观因素综合考虑在投标报价内，合同履行过程中不得因前述原因索赔。</w:t>
      </w:r>
    </w:p>
    <w:p>
      <w:pPr>
        <w:widowControl/>
        <w:spacing w:line="360" w:lineRule="auto"/>
        <w:ind w:firstLine="480" w:firstLineChars="200"/>
        <w:rPr>
          <w:rFonts w:ascii="宋体" w:hAnsi="宋体" w:eastAsia="宋体" w:cs="Times New Roman"/>
          <w:kern w:val="2"/>
          <w:sz w:val="24"/>
          <w:szCs w:val="24"/>
          <w:highlight w:val="none"/>
        </w:rPr>
      </w:pPr>
      <w:r>
        <w:rPr>
          <w:rFonts w:hint="eastAsia" w:ascii="宋体" w:hAnsi="宋体" w:eastAsia="宋体" w:cs="Times New Roman"/>
          <w:kern w:val="2"/>
          <w:sz w:val="24"/>
          <w:szCs w:val="24"/>
          <w:highlight w:val="none"/>
        </w:rPr>
        <w:t>6、</w:t>
      </w:r>
      <w:r>
        <w:rPr>
          <w:rFonts w:ascii="宋体" w:hAnsi="宋体" w:eastAsia="宋体" w:cs="Times New Roman"/>
          <w:kern w:val="2"/>
          <w:sz w:val="24"/>
          <w:szCs w:val="24"/>
          <w:highlight w:val="none"/>
        </w:rPr>
        <w:t>在任何情况下，如</w:t>
      </w:r>
      <w:r>
        <w:rPr>
          <w:rFonts w:hint="eastAsia" w:ascii="宋体" w:hAnsi="宋体" w:eastAsia="宋体" w:cs="Times New Roman"/>
          <w:kern w:val="2"/>
          <w:sz w:val="24"/>
          <w:szCs w:val="24"/>
          <w:highlight w:val="none"/>
        </w:rPr>
        <w:t>中标人</w:t>
      </w:r>
      <w:r>
        <w:rPr>
          <w:rFonts w:ascii="宋体" w:hAnsi="宋体" w:eastAsia="宋体" w:cs="Times New Roman"/>
          <w:kern w:val="2"/>
          <w:sz w:val="24"/>
          <w:szCs w:val="24"/>
          <w:highlight w:val="none"/>
        </w:rPr>
        <w:t>不能满足业主单位的</w:t>
      </w:r>
      <w:r>
        <w:rPr>
          <w:rFonts w:ascii="宋体" w:hAnsi="宋体" w:eastAsia="宋体" w:cs="Times New Roman"/>
          <w:b/>
          <w:kern w:val="2"/>
          <w:sz w:val="24"/>
          <w:szCs w:val="24"/>
          <w:highlight w:val="none"/>
        </w:rPr>
        <w:t>合理需求</w:t>
      </w:r>
      <w:r>
        <w:rPr>
          <w:rFonts w:ascii="宋体" w:hAnsi="宋体" w:eastAsia="宋体" w:cs="Times New Roman"/>
          <w:kern w:val="2"/>
          <w:sz w:val="24"/>
          <w:szCs w:val="24"/>
          <w:highlight w:val="none"/>
        </w:rPr>
        <w:t>的，业主单位有权要求取消其中</w:t>
      </w:r>
      <w:r>
        <w:rPr>
          <w:rFonts w:hint="eastAsia" w:ascii="宋体" w:hAnsi="宋体" w:eastAsia="宋体" w:cs="Times New Roman"/>
          <w:kern w:val="2"/>
          <w:sz w:val="24"/>
          <w:szCs w:val="24"/>
          <w:highlight w:val="none"/>
        </w:rPr>
        <w:t>标</w:t>
      </w:r>
      <w:r>
        <w:rPr>
          <w:rFonts w:ascii="宋体" w:hAnsi="宋体" w:eastAsia="宋体" w:cs="Times New Roman"/>
          <w:kern w:val="2"/>
          <w:sz w:val="24"/>
          <w:szCs w:val="24"/>
          <w:highlight w:val="none"/>
        </w:rPr>
        <w:t>资格并</w:t>
      </w:r>
      <w:r>
        <w:rPr>
          <w:rFonts w:hint="eastAsia" w:ascii="宋体" w:hAnsi="宋体" w:eastAsia="宋体" w:cs="Times New Roman"/>
          <w:kern w:val="2"/>
          <w:sz w:val="24"/>
          <w:szCs w:val="24"/>
          <w:highlight w:val="none"/>
          <w:lang w:val="en-US" w:eastAsia="zh-CN"/>
        </w:rPr>
        <w:t>重新组织招标</w:t>
      </w:r>
      <w:r>
        <w:rPr>
          <w:rFonts w:ascii="宋体" w:hAnsi="宋体" w:eastAsia="宋体" w:cs="Times New Roman"/>
          <w:kern w:val="2"/>
          <w:sz w:val="24"/>
          <w:szCs w:val="24"/>
          <w:highlight w:val="none"/>
        </w:rPr>
        <w:t>。</w:t>
      </w:r>
    </w:p>
    <w:p>
      <w:pPr>
        <w:widowControl/>
        <w:spacing w:line="360" w:lineRule="auto"/>
        <w:ind w:firstLine="480" w:firstLineChars="200"/>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rPr>
        <w:t>7、</w:t>
      </w:r>
      <w:r>
        <w:rPr>
          <w:rFonts w:hint="eastAsia" w:ascii="宋体" w:hAnsi="宋体" w:eastAsia="宋体" w:cs="Times New Roman"/>
          <w:kern w:val="2"/>
          <w:sz w:val="24"/>
          <w:szCs w:val="24"/>
          <w:highlight w:val="none"/>
        </w:rPr>
        <w:t>招标人委托的单个任务</w:t>
      </w:r>
      <w:r>
        <w:rPr>
          <w:rFonts w:hint="eastAsia" w:ascii="宋体" w:hAnsi="宋体" w:eastAsia="宋体" w:cs="Times New Roman"/>
          <w:b/>
          <w:kern w:val="2"/>
          <w:sz w:val="24"/>
          <w:szCs w:val="24"/>
          <w:highlight w:val="none"/>
        </w:rPr>
        <w:t>可能较为零散且工程量较小</w:t>
      </w:r>
      <w:r>
        <w:rPr>
          <w:rFonts w:hint="eastAsia" w:ascii="宋体" w:hAnsi="宋体" w:eastAsia="宋体" w:cs="Times New Roman"/>
          <w:kern w:val="2"/>
          <w:sz w:val="24"/>
          <w:szCs w:val="24"/>
          <w:highlight w:val="none"/>
        </w:rPr>
        <w:t>，请各投标人综合考虑谨慎报价，一旦中标，不得以上述原因拒绝承接，否则甲方有权利取消中标人中标资格并另行选择施工单位。</w:t>
      </w:r>
    </w:p>
    <w:p>
      <w:pPr>
        <w:widowControl/>
        <w:spacing w:line="360" w:lineRule="auto"/>
        <w:ind w:firstLine="480" w:firstLineChars="20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8、采购人不负责提供中标人的办公场所。办公场所的租赁及所需费用等由中标人承担，中标人须确保在庐阳区范围内有固定的办公场所和固定的设备停放场所，水电费中标单位自理。</w:t>
      </w:r>
    </w:p>
    <w:p>
      <w:pPr>
        <w:spacing w:line="360" w:lineRule="auto"/>
        <w:ind w:firstLine="437"/>
        <w:rPr>
          <w:rFonts w:ascii="宋体" w:hAnsi="宋体" w:eastAsia="宋体" w:cs="宋体"/>
          <w:b/>
          <w:kern w:val="2"/>
          <w:sz w:val="24"/>
          <w:szCs w:val="18"/>
          <w:highlight w:val="none"/>
        </w:rPr>
      </w:pPr>
      <w:r>
        <w:rPr>
          <w:rFonts w:hint="eastAsia" w:ascii="宋体" w:hAnsi="宋体" w:eastAsia="宋体" w:cs="宋体"/>
          <w:b/>
          <w:kern w:val="2"/>
          <w:sz w:val="24"/>
          <w:szCs w:val="24"/>
          <w:highlight w:val="none"/>
          <w:lang w:val="en-US" w:eastAsia="zh-CN"/>
        </w:rPr>
        <w:t>十</w:t>
      </w:r>
      <w:r>
        <w:rPr>
          <w:rFonts w:hint="eastAsia" w:ascii="宋体" w:hAnsi="宋体" w:eastAsia="宋体" w:cs="宋体"/>
          <w:b/>
          <w:kern w:val="2"/>
          <w:sz w:val="24"/>
          <w:szCs w:val="24"/>
          <w:highlight w:val="none"/>
        </w:rPr>
        <w:t>、</w:t>
      </w:r>
      <w:r>
        <w:rPr>
          <w:rFonts w:hint="eastAsia" w:ascii="宋体" w:hAnsi="宋体" w:eastAsia="宋体" w:cs="宋体"/>
          <w:b/>
          <w:kern w:val="2"/>
          <w:sz w:val="24"/>
          <w:szCs w:val="18"/>
          <w:highlight w:val="none"/>
        </w:rPr>
        <w:t>考核管理</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1.中标人发生下列情形之一的，采购人有权终止合同：</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（1）未按投标文件承诺派驻项目管理人员的；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（2）项目发生安全事故的；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（3）恶意破坏采购人公物骗取施工任务的；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（4）恶意拖欠农民工工资，造成不良影响的。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2.以下任一情形，中标人第一次发生将被予以警告，第二次发生将被扣罚履约保证金的10%，第三次发生采购人有权单方面解约、并罚没全部履约保证金，如给采购人造成损失的，中标人须进行赔偿并承担相应责任：</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（1）</w:t>
      </w:r>
      <w:r>
        <w:rPr>
          <w:rFonts w:hint="eastAsia" w:ascii="宋体" w:hAnsi="宋体" w:eastAsia="宋体" w:cs="Times New Roman"/>
          <w:kern w:val="2"/>
          <w:sz w:val="24"/>
          <w:szCs w:val="24"/>
          <w:highlight w:val="none"/>
        </w:rPr>
        <w:t>接收任务单后2</w:t>
      </w:r>
      <w:r>
        <w:rPr>
          <w:rFonts w:ascii="宋体" w:hAnsi="宋体" w:eastAsia="宋体" w:cs="Times New Roman"/>
          <w:kern w:val="2"/>
          <w:sz w:val="24"/>
          <w:szCs w:val="24"/>
          <w:highlight w:val="none"/>
        </w:rPr>
        <w:t>4</w:t>
      </w:r>
      <w:r>
        <w:rPr>
          <w:rFonts w:hint="eastAsia" w:ascii="宋体" w:hAnsi="宋体" w:eastAsia="宋体" w:cs="Times New Roman"/>
          <w:kern w:val="2"/>
          <w:sz w:val="24"/>
          <w:szCs w:val="24"/>
          <w:highlight w:val="none"/>
        </w:rPr>
        <w:t>小时内必须组织人员、材料及机械进场，特殊情况无法进场的需经招标人同意。</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（2）不承接或未及时承接招标人委派的工程任务（采购人批准的除外）；</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3</w:t>
      </w:r>
      <w:r>
        <w:rPr>
          <w:rFonts w:hint="eastAsia" w:ascii="宋体" w:hAnsi="宋体" w:eastAsia="宋体" w:cs="宋体"/>
          <w:kern w:val="2"/>
          <w:sz w:val="24"/>
          <w:szCs w:val="18"/>
          <w:highlight w:val="none"/>
        </w:rPr>
        <w:t>）除采购人原因外，未按施工任务通知单开工的；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4</w:t>
      </w:r>
      <w:r>
        <w:rPr>
          <w:rFonts w:hint="eastAsia" w:ascii="宋体" w:hAnsi="宋体" w:eastAsia="宋体" w:cs="宋体"/>
          <w:kern w:val="2"/>
          <w:sz w:val="24"/>
          <w:szCs w:val="18"/>
          <w:highlight w:val="none"/>
        </w:rPr>
        <w:t>）未按施工合同规定的工期完成施工任务的；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5</w:t>
      </w:r>
      <w:r>
        <w:rPr>
          <w:rFonts w:hint="eastAsia" w:ascii="宋体" w:hAnsi="宋体" w:eastAsia="宋体" w:cs="宋体"/>
          <w:kern w:val="2"/>
          <w:sz w:val="24"/>
          <w:szCs w:val="18"/>
          <w:highlight w:val="none"/>
        </w:rPr>
        <w:t>）承接的工程任务验收不合格的；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6</w:t>
      </w:r>
      <w:r>
        <w:rPr>
          <w:rFonts w:hint="eastAsia" w:ascii="宋体" w:hAnsi="宋体" w:eastAsia="宋体" w:cs="宋体"/>
          <w:kern w:val="2"/>
          <w:sz w:val="24"/>
          <w:szCs w:val="18"/>
          <w:highlight w:val="none"/>
        </w:rPr>
        <w:t>）预算核减数超过申报数的20％的；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7</w:t>
      </w:r>
      <w:r>
        <w:rPr>
          <w:rFonts w:hint="eastAsia" w:ascii="宋体" w:hAnsi="宋体" w:eastAsia="宋体" w:cs="宋体"/>
          <w:kern w:val="2"/>
          <w:sz w:val="24"/>
          <w:szCs w:val="18"/>
          <w:highlight w:val="none"/>
        </w:rPr>
        <w:t>）决算核减数超过申报数的10％的；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8</w:t>
      </w:r>
      <w:r>
        <w:rPr>
          <w:rFonts w:hint="eastAsia" w:ascii="宋体" w:hAnsi="宋体" w:eastAsia="宋体" w:cs="宋体"/>
          <w:kern w:val="2"/>
          <w:sz w:val="24"/>
          <w:szCs w:val="18"/>
          <w:highlight w:val="none"/>
        </w:rPr>
        <w:t>）预决算申报超过合理时限的；</w:t>
      </w:r>
    </w:p>
    <w:p>
      <w:pPr>
        <w:spacing w:line="360" w:lineRule="auto"/>
        <w:ind w:firstLine="437"/>
        <w:rPr>
          <w:rFonts w:ascii="宋体" w:hAnsi="宋体" w:eastAsia="宋体" w:cs="宋体"/>
          <w:kern w:val="2"/>
          <w:sz w:val="24"/>
          <w:szCs w:val="18"/>
          <w:highlight w:val="none"/>
        </w:rPr>
      </w:pPr>
      <w:r>
        <w:rPr>
          <w:rFonts w:hint="eastAsia" w:ascii="宋体" w:hAnsi="宋体" w:eastAsia="宋体" w:cs="宋体"/>
          <w:kern w:val="2"/>
          <w:sz w:val="24"/>
          <w:szCs w:val="18"/>
          <w:highlight w:val="none"/>
        </w:rPr>
        <w:t>（</w:t>
      </w:r>
      <w:r>
        <w:rPr>
          <w:rFonts w:ascii="宋体" w:hAnsi="宋体" w:eastAsia="宋体" w:cs="宋体"/>
          <w:kern w:val="2"/>
          <w:sz w:val="24"/>
          <w:szCs w:val="18"/>
          <w:highlight w:val="none"/>
        </w:rPr>
        <w:t>9</w:t>
      </w:r>
      <w:r>
        <w:rPr>
          <w:rFonts w:hint="eastAsia" w:ascii="宋体" w:hAnsi="宋体" w:eastAsia="宋体" w:cs="宋体"/>
          <w:kern w:val="2"/>
          <w:sz w:val="24"/>
          <w:szCs w:val="18"/>
          <w:highlight w:val="none"/>
        </w:rPr>
        <w:t>）保修未按规定及时服务的。</w:t>
      </w:r>
    </w:p>
    <w:p>
      <w:pPr>
        <w:pStyle w:val="9"/>
        <w:rPr>
          <w:rFonts w:hint="eastAsia" w:ascii="宋体" w:hAnsi="宋体" w:eastAsia="仿宋_GB2312"/>
          <w:sz w:val="24"/>
          <w:szCs w:val="24"/>
          <w:highlight w:val="none"/>
          <w:lang w:eastAsia="zh-CN"/>
        </w:rPr>
      </w:pPr>
      <w:r>
        <w:rPr>
          <w:rFonts w:hint="eastAsia" w:ascii="宋体" w:hAnsi="宋体"/>
          <w:sz w:val="24"/>
          <w:szCs w:val="24"/>
          <w:highlight w:val="none"/>
          <w:lang w:val="en-US" w:eastAsia="zh-CN"/>
        </w:rPr>
        <w:t xml:space="preserve"> </w:t>
      </w:r>
    </w:p>
    <w:p>
      <w:pPr>
        <w:pStyle w:val="9"/>
        <w:rPr>
          <w:rFonts w:hint="eastAsia" w:ascii="宋体" w:hAnsi="宋体"/>
          <w:sz w:val="24"/>
          <w:szCs w:val="24"/>
          <w:highlight w:val="none"/>
        </w:rPr>
      </w:pPr>
    </w:p>
    <w:p>
      <w:pPr>
        <w:pStyle w:val="9"/>
        <w:rPr>
          <w:rFonts w:hint="eastAsia" w:ascii="宋体" w:hAnsi="宋体"/>
          <w:sz w:val="24"/>
          <w:szCs w:val="24"/>
          <w:highlight w:val="none"/>
        </w:rPr>
      </w:pPr>
    </w:p>
    <w:p>
      <w:pPr>
        <w:pStyle w:val="9"/>
        <w:rPr>
          <w:rFonts w:hint="eastAsia" w:ascii="宋体" w:hAnsi="宋体"/>
          <w:sz w:val="24"/>
          <w:szCs w:val="24"/>
          <w:highlight w:val="none"/>
        </w:rPr>
      </w:pPr>
    </w:p>
    <w:p>
      <w:pPr>
        <w:bidi w:val="0"/>
        <w:jc w:val="center"/>
        <w:rPr>
          <w:rFonts w:hint="eastAsia" w:hAnsi="宋体" w:eastAsia="黑体"/>
          <w:szCs w:val="22"/>
          <w:highlight w:val="none"/>
          <w:lang w:eastAsia="zh-CN"/>
        </w:rPr>
      </w:pPr>
      <w:bookmarkStart w:id="61" w:name="_Toc63412030"/>
      <w:bookmarkStart w:id="62" w:name="_Toc38879335"/>
      <w:r>
        <w:rPr>
          <w:rFonts w:hint="eastAsia" w:ascii="黑体" w:hAnsi="黑体" w:eastAsia="黑体"/>
          <w:b w:val="0"/>
          <w:highlight w:val="none"/>
        </w:rPr>
        <w:br w:type="pag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章  评</w:t>
      </w:r>
      <w:r>
        <w:rPr>
          <w:rFonts w:hint="eastAsia" w:ascii="宋体" w:hAnsi="宋体" w:eastAsia="宋体" w:cs="宋体"/>
          <w:b/>
          <w:bCs/>
          <w:sz w:val="28"/>
          <w:szCs w:val="28"/>
          <w:highlight w:val="none"/>
          <w:lang w:eastAsia="zh-CN"/>
        </w:rPr>
        <w:t>审方</w:t>
      </w:r>
      <w:r>
        <w:rPr>
          <w:rFonts w:hint="eastAsia" w:ascii="宋体" w:hAnsi="宋体" w:eastAsia="宋体" w:cs="宋体"/>
          <w:b/>
          <w:bCs/>
          <w:sz w:val="28"/>
          <w:szCs w:val="28"/>
          <w:highlight w:val="none"/>
        </w:rPr>
        <w:t>法</w:t>
      </w:r>
      <w:bookmarkEnd w:id="61"/>
      <w:bookmarkEnd w:id="62"/>
      <w:r>
        <w:rPr>
          <w:rFonts w:hint="eastAsia" w:ascii="宋体" w:hAnsi="宋体" w:eastAsia="宋体" w:cs="宋体"/>
          <w:b/>
          <w:bCs/>
          <w:sz w:val="28"/>
          <w:szCs w:val="28"/>
          <w:highlight w:val="none"/>
          <w:lang w:eastAsia="zh-CN"/>
        </w:rPr>
        <w:t>与标准</w:t>
      </w:r>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highlight w:val="none"/>
          <w:lang w:eastAsia="zh-CN"/>
        </w:rPr>
      </w:pPr>
      <w:bookmarkStart w:id="63" w:name="_Toc448"/>
      <w:r>
        <w:rPr>
          <w:rFonts w:hint="eastAsia" w:ascii="宋体" w:hAnsi="宋体"/>
          <w:b/>
          <w:bCs/>
          <w:sz w:val="24"/>
          <w:highlight w:val="none"/>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本项目将按照磋商文件第二章 投标人须知的相关要求及本章的规定评审。</w:t>
      </w:r>
    </w:p>
    <w:p>
      <w:pPr>
        <w:pageBreakBefore w:val="0"/>
        <w:widowControl w:val="0"/>
        <w:numPr>
          <w:ilvl w:val="0"/>
          <w:numId w:val="3"/>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highlight w:val="none"/>
          <w:lang w:val="en-US" w:eastAsia="zh-CN"/>
        </w:rPr>
      </w:pPr>
      <w:r>
        <w:rPr>
          <w:rFonts w:hint="eastAsia" w:ascii="宋体" w:hAnsi="宋体" w:eastAsia="宋体" w:cs="Times New Roman"/>
          <w:sz w:val="24"/>
          <w:highlight w:val="none"/>
          <w:lang w:val="en-US" w:eastAsia="zh-CN"/>
        </w:rPr>
        <w:t>性要求。初审表如下：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20"/>
        <w:gridCol w:w="2132"/>
        <w:gridCol w:w="7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522" w:type="dxa"/>
            <w:gridSpan w:val="5"/>
            <w:noWrap w:val="0"/>
            <w:vAlign w:val="center"/>
          </w:tcPr>
          <w:p>
            <w:pPr>
              <w:pStyle w:val="41"/>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61"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20" w:type="dxa"/>
            <w:tcBorders>
              <w:bottom w:val="single" w:color="auto" w:sz="4" w:space="0"/>
            </w:tcBorders>
            <w:noWrap w:val="0"/>
            <w:vAlign w:val="center"/>
          </w:tcPr>
          <w:p>
            <w:pPr>
              <w:pStyle w:val="41"/>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3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55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61"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20"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3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61"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20"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3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符合磋商文件要求</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tcBorders>
              <w:bottom w:val="single" w:color="auto" w:sz="4" w:space="0"/>
            </w:tcBorders>
            <w:noWrap w:val="0"/>
            <w:vAlign w:val="center"/>
          </w:tcPr>
          <w:p>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sz w:val="24"/>
                <w:szCs w:val="18"/>
                <w:highlight w:val="none"/>
                <w:lang w:val="en-US" w:eastAsia="zh-CN"/>
              </w:rPr>
              <w:t>具有市政公用工程施工总承包三级及以上资质；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1" w:type="dxa"/>
            <w:tcBorders>
              <w:bottom w:val="single" w:color="auto" w:sz="4" w:space="0"/>
            </w:tcBorders>
            <w:noWrap w:val="0"/>
            <w:vAlign w:val="center"/>
          </w:tcPr>
          <w:p>
            <w:pPr>
              <w:adjustRightInd w:val="0"/>
              <w:snapToGrid w:val="0"/>
              <w:spacing w:line="360" w:lineRule="auto"/>
              <w:ind w:right="-1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2420" w:type="dxa"/>
            <w:tcBorders>
              <w:bottom w:val="single" w:color="auto" w:sz="4" w:space="0"/>
            </w:tcBorders>
            <w:noWrap w:val="0"/>
            <w:vAlign w:val="center"/>
          </w:tcPr>
          <w:p>
            <w:pPr>
              <w:spacing w:line="420" w:lineRule="exact"/>
              <w:ind w:right="-11"/>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安全生产许可证</w:t>
            </w:r>
          </w:p>
        </w:tc>
        <w:tc>
          <w:tcPr>
            <w:tcW w:w="213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符合磋商文件要求</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tcBorders>
              <w:bottom w:val="single" w:color="auto" w:sz="4" w:space="0"/>
            </w:tcBorders>
            <w:noWrap w:val="0"/>
            <w:vAlign w:val="center"/>
          </w:tcPr>
          <w:p>
            <w:pPr>
              <w:adjustRightInd w:val="0"/>
              <w:snapToGrid w:val="0"/>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提供有效的</w:t>
            </w:r>
            <w:r>
              <w:rPr>
                <w:rFonts w:hint="eastAsia" w:ascii="宋体" w:hAnsi="宋体"/>
                <w:color w:val="auto"/>
                <w:sz w:val="24"/>
                <w:szCs w:val="24"/>
                <w:highlight w:val="none"/>
                <w:lang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1" w:type="dxa"/>
            <w:tcBorders>
              <w:bottom w:val="single" w:color="auto" w:sz="4" w:space="0"/>
            </w:tcBorders>
            <w:noWrap w:val="0"/>
            <w:vAlign w:val="center"/>
          </w:tcPr>
          <w:p>
            <w:pPr>
              <w:adjustRightInd w:val="0"/>
              <w:snapToGrid w:val="0"/>
              <w:spacing w:line="360" w:lineRule="auto"/>
              <w:ind w:right="-1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2420" w:type="dxa"/>
            <w:tcBorders>
              <w:bottom w:val="single" w:color="auto" w:sz="4" w:space="0"/>
            </w:tcBorders>
            <w:noWrap w:val="0"/>
            <w:vAlign w:val="center"/>
          </w:tcPr>
          <w:p>
            <w:pPr>
              <w:spacing w:line="420" w:lineRule="exact"/>
              <w:ind w:right="-11"/>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项目经理/项目负责人资格</w:t>
            </w:r>
          </w:p>
        </w:tc>
        <w:tc>
          <w:tcPr>
            <w:tcW w:w="2132" w:type="dxa"/>
            <w:tcBorders>
              <w:bottom w:val="single" w:color="auto" w:sz="4" w:space="0"/>
            </w:tcBorders>
            <w:noWrap w:val="0"/>
            <w:vAlign w:val="center"/>
          </w:tcPr>
          <w:p>
            <w:pPr>
              <w:spacing w:line="420" w:lineRule="exact"/>
              <w:ind w:right="-11"/>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符合磋商文件要求</w:t>
            </w:r>
          </w:p>
        </w:tc>
        <w:tc>
          <w:tcPr>
            <w:tcW w:w="75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tcBorders>
              <w:bottom w:val="single" w:color="auto" w:sz="4" w:space="0"/>
            </w:tcBorders>
            <w:noWrap w:val="0"/>
            <w:vAlign w:val="center"/>
          </w:tcPr>
          <w:p>
            <w:pPr>
              <w:adjustRightInd w:val="0"/>
              <w:snapToGrid w:val="0"/>
              <w:spacing w:line="420" w:lineRule="exact"/>
              <w:ind w:right="-11"/>
              <w:jc w:val="center"/>
              <w:rPr>
                <w:rFonts w:hint="eastAsia" w:ascii="宋体" w:hAnsi="宋体" w:eastAsia="宋体" w:cs="Times New Roman"/>
                <w:sz w:val="24"/>
                <w:szCs w:val="18"/>
                <w:highlight w:val="none"/>
                <w:lang w:val="en-US" w:eastAsia="zh-CN"/>
              </w:rPr>
            </w:pPr>
            <w:r>
              <w:rPr>
                <w:rFonts w:hint="eastAsia" w:ascii="宋体" w:hAnsi="宋体" w:cs="Times New Roman"/>
                <w:sz w:val="24"/>
                <w:szCs w:val="18"/>
                <w:highlight w:val="none"/>
                <w:lang w:val="en-US" w:eastAsia="zh-CN"/>
              </w:rPr>
              <w:t>（1）</w:t>
            </w:r>
            <w:r>
              <w:rPr>
                <w:rFonts w:hint="eastAsia" w:ascii="宋体" w:hAnsi="宋体" w:eastAsia="宋体" w:cs="Times New Roman"/>
                <w:sz w:val="24"/>
                <w:szCs w:val="18"/>
                <w:highlight w:val="none"/>
                <w:lang w:val="en-US" w:eastAsia="zh-CN"/>
              </w:rPr>
              <w:t>投标人拟委任项目经理须具备市政公用工程专业二级及以上注册建造师资格</w:t>
            </w:r>
          </w:p>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s="Times New Roman"/>
                <w:sz w:val="24"/>
                <w:szCs w:val="18"/>
                <w:highlight w:val="none"/>
                <w:lang w:val="en-US" w:eastAsia="zh-CN"/>
              </w:rPr>
              <w:t>（2）</w:t>
            </w:r>
            <w:r>
              <w:rPr>
                <w:rFonts w:hint="eastAsia" w:ascii="宋体" w:hAnsi="宋体" w:eastAsia="宋体" w:cs="Times New Roman"/>
                <w:sz w:val="24"/>
                <w:szCs w:val="18"/>
                <w:highlight w:val="none"/>
                <w:lang w:val="en-US" w:eastAsia="zh-CN"/>
              </w:rPr>
              <w:t>具备有效的安全生产考核合格证书，且目前未在其他项目上任职或虽在其他项目上任职但本项目中标后能够从该项目撤离</w:t>
            </w:r>
            <w:r>
              <w:rPr>
                <w:rFonts w:hint="eastAsia" w:ascii="宋体" w:hAnsi="宋体" w:cs="Times New Roman"/>
                <w:sz w:val="24"/>
                <w:szCs w:val="18"/>
                <w:highlight w:val="none"/>
                <w:lang w:val="en-US" w:eastAsia="zh-CN"/>
              </w:rPr>
              <w:t>，（3）提供近三个月任意一月社保证明材料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61"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2420"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3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5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420"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3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5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2420"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3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57"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552"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8</w:t>
            </w:r>
          </w:p>
        </w:tc>
        <w:tc>
          <w:tcPr>
            <w:tcW w:w="2420"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213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5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9</w:t>
            </w:r>
          </w:p>
        </w:tc>
        <w:tc>
          <w:tcPr>
            <w:tcW w:w="2420"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3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5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5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2420"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3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5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52"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11</w:t>
            </w:r>
          </w:p>
        </w:tc>
        <w:tc>
          <w:tcPr>
            <w:tcW w:w="2420"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32" w:type="dxa"/>
            <w:noWrap w:val="0"/>
            <w:vAlign w:val="center"/>
          </w:tcPr>
          <w:p>
            <w:pPr>
              <w:pStyle w:val="41"/>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75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5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1" w:type="dxa"/>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2420"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3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75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5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为</w:t>
      </w:r>
      <w:r>
        <w:rPr>
          <w:rFonts w:hint="eastAsia" w:ascii="宋体" w:hAnsi="宋体" w:eastAsia="宋体" w:cs="Times New Roman"/>
          <w:sz w:val="24"/>
          <w:highlight w:val="none"/>
          <w:u w:val="single"/>
          <w:lang w:val="en-US" w:eastAsia="zh-CN"/>
        </w:rPr>
        <w:t xml:space="preserve">  70   %</w:t>
      </w:r>
      <w:r>
        <w:rPr>
          <w:rFonts w:hint="eastAsia" w:ascii="宋体" w:hAnsi="宋体" w:eastAsia="宋体" w:cs="Times New Roman"/>
          <w:sz w:val="24"/>
          <w:highlight w:val="none"/>
          <w:lang w:val="en-US" w:eastAsia="zh-CN"/>
        </w:rPr>
        <w:t>，价格分值占总分值的权重为</w:t>
      </w:r>
      <w:r>
        <w:rPr>
          <w:rFonts w:hint="eastAsia" w:ascii="宋体" w:hAnsi="宋体" w:eastAsia="宋体" w:cs="Times New Roman"/>
          <w:sz w:val="24"/>
          <w:highlight w:val="none"/>
          <w:u w:val="single"/>
          <w:lang w:val="en-US" w:eastAsia="zh-CN"/>
        </w:rPr>
        <w:t xml:space="preserve">  30   %</w:t>
      </w:r>
      <w:r>
        <w:rPr>
          <w:rFonts w:hint="eastAsia" w:ascii="宋体" w:hAnsi="宋体" w:eastAsia="宋体" w:cs="Times New Roman"/>
          <w:sz w:val="24"/>
          <w:highlight w:val="none"/>
          <w:lang w:val="en-US" w:eastAsia="zh-CN"/>
        </w:rPr>
        <w:t>。</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2.2.2.1技术资信分</w:t>
      </w:r>
    </w:p>
    <w:tbl>
      <w:tblPr>
        <w:tblStyle w:val="42"/>
        <w:tblW w:w="0" w:type="auto"/>
        <w:tblInd w:w="-4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5"/>
        <w:gridCol w:w="1492"/>
        <w:gridCol w:w="6128"/>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975" w:type="dxa"/>
            <w:tcBorders>
              <w:top w:val="single" w:color="000000" w:sz="2" w:space="0"/>
              <w:bottom w:val="single" w:color="000000" w:sz="2" w:space="0"/>
            </w:tcBorders>
            <w:noWrap w:val="0"/>
            <w:vAlign w:val="center"/>
          </w:tcPr>
          <w:p>
            <w:pPr>
              <w:spacing w:line="358" w:lineRule="auto"/>
              <w:ind w:right="6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类别</w:t>
            </w:r>
          </w:p>
        </w:tc>
        <w:tc>
          <w:tcPr>
            <w:tcW w:w="1492" w:type="dxa"/>
            <w:tcBorders>
              <w:top w:val="single" w:color="000000" w:sz="2" w:space="0"/>
              <w:bottom w:val="single" w:color="000000" w:sz="2" w:space="0"/>
            </w:tcBorders>
            <w:noWrap w:val="0"/>
            <w:vAlign w:val="center"/>
          </w:tcPr>
          <w:p>
            <w:pPr>
              <w:spacing w:line="358" w:lineRule="auto"/>
              <w:ind w:right="6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评分内容</w:t>
            </w:r>
          </w:p>
        </w:tc>
        <w:tc>
          <w:tcPr>
            <w:tcW w:w="6128" w:type="dxa"/>
            <w:tcBorders>
              <w:top w:val="single" w:color="000000" w:sz="2" w:space="0"/>
              <w:bottom w:val="single" w:color="000000" w:sz="2" w:space="0"/>
            </w:tcBorders>
            <w:noWrap w:val="0"/>
            <w:vAlign w:val="center"/>
          </w:tcPr>
          <w:p>
            <w:pPr>
              <w:spacing w:line="358" w:lineRule="auto"/>
              <w:ind w:right="6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评分标准</w:t>
            </w:r>
          </w:p>
        </w:tc>
        <w:tc>
          <w:tcPr>
            <w:tcW w:w="1125" w:type="dxa"/>
            <w:tcBorders>
              <w:top w:val="single" w:color="000000" w:sz="2" w:space="0"/>
              <w:bottom w:val="single" w:color="000000" w:sz="2" w:space="0"/>
            </w:tcBorders>
            <w:noWrap w:val="0"/>
            <w:vAlign w:val="center"/>
          </w:tcPr>
          <w:p>
            <w:pPr>
              <w:spacing w:line="358" w:lineRule="auto"/>
              <w:ind w:right="6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975" w:type="dxa"/>
            <w:tcBorders>
              <w:top w:val="single" w:color="000000" w:sz="2" w:space="0"/>
              <w:bottom w:val="single" w:color="000000" w:sz="2" w:space="0"/>
            </w:tcBorders>
            <w:noWrap w:val="0"/>
            <w:vAlign w:val="center"/>
          </w:tcPr>
          <w:p>
            <w:pPr>
              <w:spacing w:line="266"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1</w:t>
            </w:r>
          </w:p>
        </w:tc>
        <w:tc>
          <w:tcPr>
            <w:tcW w:w="1492" w:type="dxa"/>
            <w:tcBorders>
              <w:top w:val="single" w:color="000000" w:sz="2" w:space="0"/>
              <w:bottom w:val="single" w:color="000000" w:sz="2" w:space="0"/>
            </w:tcBorders>
            <w:noWrap w:val="0"/>
            <w:vAlign w:val="center"/>
          </w:tcPr>
          <w:p>
            <w:pPr>
              <w:spacing w:line="285" w:lineRule="auto"/>
              <w:jc w:val="both"/>
              <w:rPr>
                <w:rFonts w:hint="default"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投标人业绩</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 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 年 1 月 1 日以来（以合同签订时间为准），投标人具有市政</w:t>
            </w:r>
            <w:r>
              <w:rPr>
                <w:rFonts w:hint="eastAsia"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lang w:eastAsia="zh-CN"/>
              </w:rPr>
              <w:t xml:space="preserve">项目业绩的，每个得 2 分。本项满分 6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  投标人应按下列规定提供类似项目业绩证明资料：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（1）合同协议书。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（2）任务已完成的证明文件（如竣工验收报告或业主（或合同甲方）证明）。如果合同协议书和该证明文件中的合同要素不一致，以该证明文件为准。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（3）业绩合同项目名称中须含有“</w:t>
            </w:r>
            <w:r>
              <w:rPr>
                <w:rFonts w:hint="eastAsia"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lang w:eastAsia="zh-CN"/>
              </w:rPr>
              <w:t>”或“</w:t>
            </w:r>
            <w:r>
              <w:rPr>
                <w:rFonts w:hint="eastAsia"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lang w:eastAsia="zh-CN"/>
              </w:rPr>
              <w:t xml:space="preserve">”等相关字眼。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（4）以上涉及到的证明资料信息应完整或能充分反映评审因素。如未能明确反映评审因素的（如合同签订时间、服务内容等），应另附业主（或合同甲方） 证明材料予以明确说明， 须加盖项目业主单位或合同甲方公章，否则评标委员会不予认可。</w:t>
            </w:r>
          </w:p>
        </w:tc>
        <w:tc>
          <w:tcPr>
            <w:tcW w:w="1125" w:type="dxa"/>
            <w:tcBorders>
              <w:top w:val="single" w:color="000000" w:sz="2" w:space="0"/>
              <w:bottom w:val="single" w:color="000000" w:sz="2" w:space="0"/>
            </w:tcBorders>
            <w:noWrap w:val="0"/>
            <w:vAlign w:val="center"/>
          </w:tcPr>
          <w:p>
            <w:pPr>
              <w:spacing w:line="220" w:lineRule="auto"/>
              <w:jc w:val="both"/>
              <w:rPr>
                <w:rFonts w:hint="default"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92" w:type="dxa"/>
            <w:tcBorders>
              <w:top w:val="single" w:color="000000" w:sz="2" w:space="0"/>
              <w:bottom w:val="single" w:color="000000" w:sz="2" w:space="0"/>
            </w:tcBorders>
            <w:noWrap w:val="0"/>
            <w:vAlign w:val="center"/>
          </w:tcPr>
          <w:p>
            <w:pPr>
              <w:spacing w:line="285" w:lineRule="auto"/>
              <w:jc w:val="center"/>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人员配备</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项目组成员不得少于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人，其中：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、技术负责人 1 人，须具备中级及以上职称，得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、提供其他团队人员 3 人的名单（格式自拟）；得 1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（1）投标文件中提供项目负责人注册建造师证书扫描件或影印件；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（2）投标文件中提供工程技术负责人职称证书复印件；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（3）拟配备的所有人员必须专业配套，须是投标人本单位工作人员，提供投标人为上述所有人员缴纳的近三个月（任意一个月）的社保证明，社保证明格式参考社保证明材料要求， 未提供相关人员社保证明或提供但不能反映上述人员为投标单位的不得分。</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2" w:type="dxa"/>
            <w:tcBorders>
              <w:top w:val="single" w:color="000000" w:sz="2" w:space="0"/>
              <w:bottom w:val="single" w:color="000000" w:sz="2" w:space="0"/>
            </w:tcBorders>
            <w:noWrap w:val="0"/>
            <w:vAlign w:val="center"/>
          </w:tcPr>
          <w:p>
            <w:pPr>
              <w:spacing w:line="285" w:lineRule="auto"/>
              <w:jc w:val="center"/>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管理体系认证</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投标供应商具有经中国国家认证认可监督管理委员会认证机构颁发有效的质量管理体系认证，环境管理体系认证，职业健康安全管理体系认证，每提供一个得 2 分，满分 6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注：投标文件中提供证书扫描件及全国认证认可公共信息服务平台官网证书查询截图。</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92" w:type="dxa"/>
            <w:tcBorders>
              <w:top w:val="single" w:color="000000" w:sz="2" w:space="0"/>
              <w:bottom w:val="single" w:color="000000" w:sz="2" w:space="0"/>
            </w:tcBorders>
            <w:noWrap w:val="0"/>
            <w:vAlign w:val="center"/>
          </w:tcPr>
          <w:p>
            <w:pPr>
              <w:spacing w:line="285" w:lineRule="auto"/>
              <w:jc w:val="center"/>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项目负责人业绩</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 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 年 1 月 1 日以来（以合同签订时间为准），拟派项目负责人具有</w:t>
            </w:r>
            <w:r>
              <w:rPr>
                <w:rFonts w:hint="eastAsia" w:ascii="宋体" w:hAnsi="宋体" w:eastAsia="宋体" w:cs="宋体"/>
                <w:color w:val="auto"/>
                <w:sz w:val="24"/>
                <w:szCs w:val="24"/>
                <w:highlight w:val="none"/>
                <w:lang w:val="en-US" w:eastAsia="zh-CN"/>
              </w:rPr>
              <w:t>市政维修</w:t>
            </w:r>
            <w:r>
              <w:rPr>
                <w:rFonts w:hint="eastAsia" w:ascii="宋体" w:hAnsi="宋体" w:eastAsia="宋体" w:cs="宋体"/>
                <w:color w:val="auto"/>
                <w:sz w:val="24"/>
                <w:szCs w:val="24"/>
                <w:highlight w:val="none"/>
                <w:lang w:eastAsia="zh-CN"/>
              </w:rPr>
              <w:t xml:space="preserve">项目业绩（拟任本项目配备的项目负责人须在对应业绩中担任项目负责人），每个得 3 分；本项满分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 xml:space="preserve">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注：.投标人应按下列规定提供项目负责人业绩证明资料：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（1）合同协议书。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（2）任务已完成的证明文件（如竣工验收报告或业主（或合同甲方）证明）。如果合同协议书和该证明文件中的合同要素不一致，以该证明文件为准。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（3）业绩合同项目名称中须含有“</w:t>
            </w:r>
            <w:r>
              <w:rPr>
                <w:rFonts w:hint="eastAsia" w:hAnsi="宋体" w:eastAsia="宋体" w:cs="宋体"/>
                <w:color w:val="auto"/>
                <w:sz w:val="24"/>
                <w:szCs w:val="24"/>
                <w:highlight w:val="none"/>
                <w:lang w:val="en-US" w:eastAsia="zh-CN"/>
              </w:rPr>
              <w:t>养护</w:t>
            </w:r>
            <w:r>
              <w:rPr>
                <w:rFonts w:hint="eastAsia" w:ascii="宋体" w:hAnsi="宋体" w:eastAsia="宋体" w:cs="宋体"/>
                <w:color w:val="auto"/>
                <w:sz w:val="24"/>
                <w:szCs w:val="24"/>
                <w:highlight w:val="none"/>
                <w:lang w:eastAsia="zh-CN"/>
              </w:rPr>
              <w:t>”或“</w:t>
            </w:r>
            <w:r>
              <w:rPr>
                <w:rFonts w:hint="eastAsia"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lang w:eastAsia="zh-CN"/>
              </w:rPr>
              <w:t xml:space="preserve">”等相关字眼。 </w:t>
            </w:r>
            <w:r>
              <w:rPr>
                <w:rFonts w:hint="eastAsia" w:ascii="宋体" w:hAnsi="宋体" w:eastAsia="宋体" w:cs="宋体"/>
                <w:color w:val="FF0000"/>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（4）以上涉及到的证明资料信息应完整或能充分反映评审因素。如未能明确反映评审因素的 （如合同签订时间、 服务内容、 项目负责人姓名等），应另附业主（或合同甲方）证明材料予以明确说明，须加盖项目业主单位或合同甲方公章，否则评标委员会不予认可。</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2" w:type="dxa"/>
            <w:tcBorders>
              <w:top w:val="single" w:color="000000" w:sz="2" w:space="0"/>
              <w:bottom w:val="single" w:color="000000" w:sz="2" w:space="0"/>
            </w:tcBorders>
            <w:noWrap w:val="0"/>
            <w:vAlign w:val="center"/>
          </w:tcPr>
          <w:p>
            <w:pPr>
              <w:spacing w:line="285"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针对项目特定的施工编制施工组织方案</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根据庐阳区实际情况，针对本项目任务及特点，编制施工组织方案，该方案最终会反映出投标人履约良好程度，请评标委员会认真审核。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（1）内容完整性、合理性、针对性强的得 6分；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 4分；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（4）内容较差的得 1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宋体" w:eastAsia="宋体" w:cs="宋体"/>
                <w:b/>
                <w:bCs/>
                <w:snapToGrid w:val="0"/>
                <w:color w:val="auto"/>
                <w:sz w:val="21"/>
                <w:szCs w:val="21"/>
                <w:highlight w:val="none"/>
                <w:lang w:val="en-US" w:eastAsia="zh-CN" w:bidi="ar-SA"/>
              </w:rPr>
            </w:pPr>
            <w:r>
              <w:rPr>
                <w:rFonts w:hint="eastAsia" w:ascii="宋体" w:hAnsi="Times New Roman" w:eastAsia="宋体" w:cs="Times New Roman"/>
                <w:color w:val="auto"/>
                <w:highlight w:val="none"/>
                <w:lang w:val="en-US" w:eastAsia="zh-CN"/>
              </w:rPr>
              <w:t xml:space="preserve">没有提供的不得分 </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92" w:type="dxa"/>
            <w:tcBorders>
              <w:top w:val="single" w:color="000000" w:sz="2" w:space="0"/>
              <w:bottom w:val="single" w:color="000000" w:sz="2" w:space="0"/>
            </w:tcBorders>
            <w:noWrap w:val="0"/>
            <w:vAlign w:val="center"/>
          </w:tcPr>
          <w:p>
            <w:pPr>
              <w:spacing w:line="285" w:lineRule="auto"/>
              <w:jc w:val="both"/>
              <w:rPr>
                <w:rFonts w:hint="default"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工程进度控制措施</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default"/>
                <w:color w:val="auto"/>
                <w:highlight w:val="none"/>
                <w:lang w:val="en-US" w:eastAsia="zh-CN"/>
              </w:rPr>
            </w:pPr>
            <w:r>
              <w:rPr>
                <w:rFonts w:hint="default"/>
                <w:color w:val="auto"/>
                <w:highlight w:val="none"/>
                <w:lang w:val="en-US" w:eastAsia="zh-CN"/>
              </w:rPr>
              <w:t xml:space="preserve">根据项目实际情况制定相关工程进度控制措施：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（1）内容完整性、合理性、针对性强的得 6分；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 4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（4）内容较差的得 1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default"/>
                <w:color w:val="auto"/>
                <w:highlight w:val="none"/>
                <w:lang w:val="en-US" w:eastAsia="zh-CN"/>
              </w:rPr>
            </w:pPr>
            <w:r>
              <w:rPr>
                <w:rFonts w:hint="eastAsia" w:ascii="宋体" w:hAnsi="Times New Roman" w:eastAsia="宋体" w:cs="Times New Roman"/>
                <w:color w:val="auto"/>
                <w:highlight w:val="none"/>
                <w:lang w:val="en-US" w:eastAsia="zh-CN"/>
              </w:rPr>
              <w:t>没有提供的不得分</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92" w:type="dxa"/>
            <w:tcBorders>
              <w:top w:val="single" w:color="000000" w:sz="2" w:space="0"/>
              <w:bottom w:val="single" w:color="000000" w:sz="2" w:space="0"/>
            </w:tcBorders>
            <w:noWrap w:val="0"/>
            <w:vAlign w:val="center"/>
          </w:tcPr>
          <w:p>
            <w:pPr>
              <w:spacing w:line="285" w:lineRule="auto"/>
              <w:jc w:val="center"/>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lang w:val="en-US" w:eastAsia="zh-CN"/>
              </w:rPr>
              <w:t>工程质量控制措施</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根据项目实际情况制定相关工程质量控制措施：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（1）内容完整性、合理性、针对性强的得 6分；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 4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（4）内容较差的得 1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b/>
                <w:bCs/>
                <w:color w:val="auto"/>
                <w:highlight w:val="none"/>
                <w:lang w:eastAsia="zh-CN"/>
              </w:rPr>
            </w:pPr>
            <w:r>
              <w:rPr>
                <w:rFonts w:hint="eastAsia" w:ascii="宋体" w:hAnsi="Times New Roman" w:eastAsia="宋体" w:cs="Times New Roman"/>
                <w:color w:val="auto"/>
                <w:highlight w:val="none"/>
                <w:lang w:val="en-US" w:eastAsia="zh-CN"/>
              </w:rPr>
              <w:t>没有提供的不得分</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92" w:type="dxa"/>
            <w:tcBorders>
              <w:top w:val="single" w:color="000000" w:sz="2" w:space="0"/>
              <w:bottom w:val="single" w:color="000000" w:sz="2" w:space="0"/>
            </w:tcBorders>
            <w:noWrap w:val="0"/>
            <w:vAlign w:val="center"/>
          </w:tcPr>
          <w:p>
            <w:pPr>
              <w:spacing w:line="285" w:lineRule="auto"/>
              <w:jc w:val="center"/>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lang w:eastAsia="zh-CN"/>
              </w:rPr>
              <w:t xml:space="preserve">文明施工、 安全生产的控制措施 </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根据项目实际情况，针对原有地下管线保护、文明施工、便民利民措施、交通疏导等方面，重点针对夜间施工的安全围挡等难点工程制定好的控制措施：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（1）内容完整性、合理性、针对性强的得 6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（2）内容完整性、合理性、针对性较强的得4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（4）内容较差的得 1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b/>
                <w:bCs/>
                <w:color w:val="auto"/>
                <w:highlight w:val="none"/>
                <w:lang w:eastAsia="zh-CN"/>
              </w:rPr>
            </w:pPr>
            <w:r>
              <w:rPr>
                <w:rFonts w:hint="eastAsia" w:ascii="宋体" w:hAnsi="Times New Roman" w:eastAsia="宋体" w:cs="Times New Roman"/>
                <w:color w:val="auto"/>
                <w:highlight w:val="none"/>
                <w:lang w:val="en-US" w:eastAsia="zh-CN"/>
              </w:rPr>
              <w:t xml:space="preserve">没有提供的不得分 </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92" w:type="dxa"/>
            <w:tcBorders>
              <w:top w:val="single" w:color="000000" w:sz="2" w:space="0"/>
              <w:bottom w:val="single" w:color="000000" w:sz="2" w:space="0"/>
            </w:tcBorders>
            <w:noWrap w:val="0"/>
            <w:vAlign w:val="center"/>
          </w:tcPr>
          <w:p>
            <w:pPr>
              <w:spacing w:line="285" w:lineRule="auto"/>
              <w:jc w:val="center"/>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lang w:eastAsia="zh-CN"/>
              </w:rPr>
              <w:t>针对本工程的重点、难点的处理措施及合理化建议</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结合本项目实际情况，针对本工程的重点、难点提出好的处理措施及合理化建议：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（1）内容完整性、合理性、针对性强的得 6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 4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（4）内容较差的得 1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b/>
                <w:bCs/>
                <w:color w:val="auto"/>
                <w:highlight w:val="none"/>
                <w:lang w:eastAsia="zh-CN"/>
              </w:rPr>
            </w:pPr>
            <w:r>
              <w:rPr>
                <w:rFonts w:hint="eastAsia" w:ascii="宋体" w:hAnsi="Times New Roman" w:eastAsia="宋体" w:cs="Times New Roman"/>
                <w:color w:val="auto"/>
                <w:highlight w:val="none"/>
                <w:lang w:val="en-US" w:eastAsia="zh-CN"/>
              </w:rPr>
              <w:t>没有提供的不得分</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92" w:type="dxa"/>
            <w:tcBorders>
              <w:top w:val="single" w:color="000000" w:sz="2" w:space="0"/>
              <w:bottom w:val="single" w:color="000000" w:sz="2" w:space="0"/>
            </w:tcBorders>
            <w:noWrap w:val="0"/>
            <w:vAlign w:val="center"/>
          </w:tcPr>
          <w:p>
            <w:pPr>
              <w:spacing w:line="285" w:lineRule="auto"/>
              <w:jc w:val="center"/>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lang w:eastAsia="zh-CN"/>
              </w:rPr>
              <w:t>投诉受理应对处置预案</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针对工程施工过程中可能存在的市长热线投诉、数字城管案件、网络媒体曝光等投诉制定回复和处置预案：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（1）内容完整性、合理性、针对性强的5分；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（2）内容完整性、合理性、针对性较强的得3分；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（3）内容一般的得1分；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（4）没有或较差的不得分。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b/>
                <w:bCs/>
                <w:color w:val="auto"/>
                <w:highlight w:val="none"/>
                <w:lang w:eastAsia="zh-CN"/>
              </w:rPr>
            </w:pPr>
            <w:r>
              <w:rPr>
                <w:rFonts w:hint="eastAsia" w:ascii="宋体" w:hAnsi="Times New Roman" w:eastAsia="宋体" w:cs="Times New Roman"/>
                <w:color w:val="auto"/>
                <w:highlight w:val="none"/>
                <w:lang w:val="en-US" w:eastAsia="zh-CN"/>
              </w:rPr>
              <w:t>（必须符合庐阳区区情，可实施性强，如上述方案不切实际或表述内容与投标区域无关，可能得低分值或不得分）</w:t>
            </w:r>
            <w:r>
              <w:rPr>
                <w:rFonts w:hint="eastAsia"/>
                <w:b/>
                <w:bCs/>
                <w:color w:val="auto"/>
                <w:highlight w:val="none"/>
                <w:lang w:eastAsia="zh-CN"/>
              </w:rPr>
              <w:t xml:space="preserve"> </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92" w:type="dxa"/>
            <w:tcBorders>
              <w:top w:val="single" w:color="000000" w:sz="2" w:space="0"/>
              <w:bottom w:val="single" w:color="000000" w:sz="2" w:space="0"/>
            </w:tcBorders>
            <w:noWrap w:val="0"/>
            <w:vAlign w:val="center"/>
          </w:tcPr>
          <w:p>
            <w:pPr>
              <w:spacing w:line="285" w:lineRule="auto"/>
              <w:jc w:val="center"/>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lang w:eastAsia="zh-CN"/>
              </w:rPr>
              <w:t>针对施工中噪音控制、扬尘处理等环保方面制定可行性措施</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针对工程施工过程中的噪音控制、扬尘处理等环保方面制定可行性措施和方案：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（1）内容完整性、合理性、针对性强的5分；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（2）内容完整性、合理性、针对性较强的得3分；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（3）内容一般的得1分；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b/>
                <w:bCs/>
                <w:color w:val="auto"/>
                <w:highlight w:val="none"/>
                <w:lang w:eastAsia="zh-CN"/>
              </w:rPr>
            </w:pPr>
            <w:r>
              <w:rPr>
                <w:rFonts w:hint="eastAsia" w:ascii="宋体" w:hAnsi="Times New Roman" w:eastAsia="宋体" w:cs="Times New Roman"/>
                <w:color w:val="auto"/>
                <w:highlight w:val="none"/>
                <w:lang w:val="en-US" w:eastAsia="zh-CN"/>
              </w:rPr>
              <w:t>（4）没有或较差的不得分。</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975" w:type="dxa"/>
            <w:tcBorders>
              <w:top w:val="single" w:color="000000" w:sz="2" w:space="0"/>
              <w:bottom w:val="single" w:color="000000" w:sz="2" w:space="0"/>
            </w:tcBorders>
            <w:noWrap w:val="0"/>
            <w:vAlign w:val="center"/>
          </w:tcPr>
          <w:p>
            <w:pPr>
              <w:spacing w:before="78" w:line="366" w:lineRule="auto"/>
              <w:ind w:left="309" w:right="170" w:hanging="119"/>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92" w:type="dxa"/>
            <w:tcBorders>
              <w:top w:val="single" w:color="000000" w:sz="2" w:space="0"/>
              <w:bottom w:val="single" w:color="000000" w:sz="2" w:space="0"/>
            </w:tcBorders>
            <w:noWrap w:val="0"/>
            <w:vAlign w:val="center"/>
          </w:tcPr>
          <w:p>
            <w:pPr>
              <w:spacing w:line="285" w:lineRule="auto"/>
              <w:jc w:val="center"/>
              <w:rPr>
                <w:rFonts w:hint="default"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本地化服务方案</w:t>
            </w:r>
          </w:p>
        </w:tc>
        <w:tc>
          <w:tcPr>
            <w:tcW w:w="6128"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根据投标人提供的本地化服务方案的完整性、可操作性、响应及时性以及本地化服务人员的技术能力等方面，由评标委员会进行综合评审。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（1）本地化服务方案完整性、可操作性、响应性、及时性强，本地化人员的技术能力强的得 6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（2）本地化服务方案完整性、可操作性、响应性、及时性一般，本地化人员的技术能力一般的得 4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 xml:space="preserve">（3）本地化服务方案完整性、可操作性、响应性、及时性不完善，本地化人员的技术能力较弱的得 2 分； </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38" w:rightChars="18"/>
              <w:textAlignment w:val="baseline"/>
              <w:rPr>
                <w:rFonts w:hint="eastAsia"/>
                <w:b/>
                <w:bCs/>
                <w:color w:val="auto"/>
                <w:highlight w:val="none"/>
                <w:lang w:eastAsia="zh-CN"/>
              </w:rPr>
            </w:pPr>
            <w:r>
              <w:rPr>
                <w:rFonts w:hint="eastAsia" w:ascii="宋体" w:hAnsi="Times New Roman" w:eastAsia="宋体" w:cs="Times New Roman"/>
                <w:color w:val="auto"/>
                <w:highlight w:val="none"/>
                <w:lang w:val="en-US" w:eastAsia="zh-CN"/>
              </w:rPr>
              <w:t>（4）本地化服务方案内容未提供或无任何完整性、可操作性、响应性、及时性的不得分。</w:t>
            </w:r>
          </w:p>
        </w:tc>
        <w:tc>
          <w:tcPr>
            <w:tcW w:w="1125" w:type="dxa"/>
            <w:tcBorders>
              <w:top w:val="single" w:color="000000" w:sz="2" w:space="0"/>
              <w:bottom w:val="single" w:color="000000" w:sz="2" w:space="0"/>
            </w:tcBorders>
            <w:noWrap w:val="0"/>
            <w:vAlign w:val="center"/>
          </w:tcPr>
          <w:p>
            <w:pPr>
              <w:spacing w:line="220" w:lineRule="auto"/>
              <w:ind w:firstLine="322" w:firstLineChars="0"/>
              <w:jc w:val="both"/>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0-6分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highlight w:val="none"/>
          <w:lang w:eastAsia="zh-CN"/>
        </w:rPr>
      </w:pPr>
      <w:r>
        <w:rPr>
          <w:rFonts w:hint="eastAsia" w:ascii="宋体" w:hAnsi="宋体"/>
          <w:b w:val="0"/>
          <w:bCs/>
          <w:sz w:val="24"/>
          <w:highlight w:val="none"/>
          <w:lang w:val="en-US" w:eastAsia="zh-CN"/>
        </w:rPr>
        <w:t>2.2.2.2</w:t>
      </w:r>
      <w:r>
        <w:rPr>
          <w:rFonts w:hint="eastAsia" w:ascii="宋体" w:hAnsi="宋体"/>
          <w:b w:val="0"/>
          <w:bCs/>
          <w:sz w:val="24"/>
          <w:highlight w:val="none"/>
        </w:rPr>
        <w:t>磋商</w:t>
      </w:r>
      <w:r>
        <w:rPr>
          <w:rFonts w:hint="eastAsia" w:ascii="宋体" w:hAnsi="宋体"/>
          <w:b w:val="0"/>
          <w:bCs/>
          <w:sz w:val="24"/>
          <w:highlight w:val="none"/>
          <w:lang w:eastAsia="zh-CN"/>
        </w:rPr>
        <w:t>报价</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sz w:val="24"/>
          <w:highlight w:val="none"/>
          <w:lang w:eastAsia="zh-CN"/>
        </w:rPr>
        <w:t>因开标硬件设施限制，本次磋商，投标人只需一次报价（以开标一览表中报价为准），无需进行二轮及多轮报价，</w:t>
      </w:r>
      <w:r>
        <w:rPr>
          <w:rFonts w:hint="eastAsia" w:ascii="宋体" w:hAnsi="宋体"/>
          <w:bCs/>
          <w:sz w:val="24"/>
          <w:highlight w:val="none"/>
        </w:rPr>
        <w:t>投标人最终</w:t>
      </w:r>
      <w:r>
        <w:rPr>
          <w:rFonts w:hint="eastAsia" w:ascii="宋体" w:hAnsi="宋体"/>
          <w:bCs/>
          <w:sz w:val="24"/>
          <w:highlight w:val="none"/>
          <w:lang w:eastAsia="zh-CN"/>
        </w:rPr>
        <w:t>评审</w:t>
      </w:r>
      <w:r>
        <w:rPr>
          <w:rFonts w:hint="eastAsia" w:ascii="宋体" w:hAnsi="宋体"/>
          <w:bCs/>
          <w:sz w:val="24"/>
          <w:highlight w:val="none"/>
        </w:rPr>
        <w:t>报价是签订合同的依据。</w:t>
      </w:r>
    </w:p>
    <w:p>
      <w:pPr>
        <w:adjustRightInd w:val="0"/>
        <w:snapToGrid w:val="0"/>
        <w:spacing w:line="360" w:lineRule="auto"/>
        <w:ind w:right="-10" w:firstLine="420" w:firstLineChars="175"/>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04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 w:type="dxa"/>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7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szCs w:val="24"/>
                <w:highlight w:val="none"/>
                <w:lang w:eastAsia="zh-CN"/>
              </w:rPr>
              <w:t>价格分统一采用有效最低价法，即满足磋商文件要求且投标价格最低的投标报价为评标基准价，其价格分为满分</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。其他投标人的价格分统一按照下列公式计算：投标报价得分＝（评标基准价/投标报价）×</w:t>
            </w:r>
            <w:r>
              <w:rPr>
                <w:rFonts w:hint="eastAsia" w:ascii="宋体" w:hAnsi="宋体" w:eastAsia="宋体" w:cs="宋体"/>
                <w:sz w:val="24"/>
                <w:szCs w:val="24"/>
                <w:highlight w:val="none"/>
                <w:u w:val="single"/>
                <w:lang w:val="en-US" w:eastAsia="zh-CN"/>
              </w:rPr>
              <w:t xml:space="preserve">30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lang w:eastAsia="zh-CN"/>
              </w:rPr>
              <w:t>×100</w:t>
            </w:r>
          </w:p>
        </w:tc>
        <w:tc>
          <w:tcPr>
            <w:tcW w:w="819" w:type="dxa"/>
            <w:noWrap w:val="0"/>
            <w:vAlign w:val="center"/>
          </w:tcPr>
          <w:p>
            <w:pPr>
              <w:widowControl/>
              <w:numPr>
                <w:ilvl w:val="0"/>
                <w:numId w:val="4"/>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30分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highlight w:val="none"/>
          <w:lang w:val="en-US" w:eastAsia="zh-CN"/>
        </w:rPr>
      </w:pPr>
      <w:r>
        <w:rPr>
          <w:rFonts w:hint="eastAsia" w:ascii="宋体" w:hAnsi="宋体"/>
          <w:b w:val="0"/>
          <w:bCs/>
          <w:sz w:val="24"/>
          <w:highlight w:val="none"/>
          <w:lang w:val="en-US" w:eastAsia="zh-CN"/>
        </w:rPr>
        <w:t>2.2.3分值汇总</w:t>
      </w:r>
    </w:p>
    <w:p>
      <w:pPr>
        <w:numPr>
          <w:ilvl w:val="0"/>
          <w:numId w:val="5"/>
        </w:numPr>
        <w:adjustRightInd w:val="0"/>
        <w:snapToGrid w:val="0"/>
        <w:spacing w:line="360" w:lineRule="auto"/>
        <w:ind w:right="-10" w:firstLine="420" w:firstLineChars="175"/>
        <w:rPr>
          <w:rFonts w:hint="eastAsia" w:ascii="宋体" w:hAnsi="宋体"/>
          <w:bCs/>
          <w:sz w:val="24"/>
          <w:highlight w:val="none"/>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highlight w:val="none"/>
        </w:rPr>
        <w:t>磋商小组</w:t>
      </w:r>
      <w:r>
        <w:rPr>
          <w:rFonts w:hint="eastAsia" w:ascii="宋体" w:hAnsi="宋体"/>
          <w:bCs/>
          <w:sz w:val="24"/>
          <w:highlight w:val="none"/>
        </w:rPr>
        <w:t>各成员每一项的打分取平均值，得到该投标人该分值项的得分。将投标人每个分值项得分进行汇总，得到该投标人的技术部分得分（四舍五入保留至小数点后两位数）。</w:t>
      </w:r>
    </w:p>
    <w:p>
      <w:pPr>
        <w:numPr>
          <w:ilvl w:val="0"/>
          <w:numId w:val="5"/>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63"/>
    <w:p>
      <w:pPr>
        <w:adjustRightInd w:val="0"/>
        <w:snapToGrid w:val="0"/>
        <w:spacing w:line="360" w:lineRule="auto"/>
        <w:ind w:right="-10" w:firstLine="420" w:firstLineChars="175"/>
        <w:rPr>
          <w:rFonts w:ascii="宋体" w:hAnsi="宋体"/>
          <w:bCs/>
          <w:sz w:val="24"/>
          <w:highlight w:val="none"/>
        </w:rPr>
      </w:pPr>
      <w:bookmarkStart w:id="64" w:name="_Toc28799375"/>
      <w:r>
        <w:rPr>
          <w:rFonts w:hint="eastAsia" w:ascii="宋体" w:hAnsi="宋体"/>
          <w:bCs/>
          <w:sz w:val="24"/>
          <w:highlight w:val="none"/>
          <w:lang w:val="en-US" w:eastAsia="zh-CN"/>
        </w:rPr>
        <w:t>2.3.1</w:t>
      </w:r>
      <w:r>
        <w:rPr>
          <w:rFonts w:hint="eastAsia" w:ascii="宋体" w:hAnsi="宋体"/>
          <w:bCs/>
          <w:sz w:val="24"/>
          <w:highlight w:val="none"/>
        </w:rPr>
        <w:t>按照有效投标人</w:t>
      </w:r>
      <w:r>
        <w:rPr>
          <w:rFonts w:hint="eastAsia" w:ascii="宋体" w:hAnsi="宋体"/>
          <w:bCs/>
          <w:sz w:val="24"/>
          <w:highlight w:val="none"/>
          <w:lang w:eastAsia="zh-CN"/>
        </w:rPr>
        <w:t>综合总得分</w:t>
      </w:r>
      <w:r>
        <w:rPr>
          <w:rFonts w:hint="eastAsia" w:ascii="宋体" w:hAnsi="宋体"/>
          <w:bCs/>
          <w:sz w:val="24"/>
          <w:highlight w:val="none"/>
        </w:rPr>
        <w:t>由高到低排出中标候选人。</w:t>
      </w:r>
    </w:p>
    <w:p>
      <w:pPr>
        <w:adjustRightInd w:val="0"/>
        <w:snapToGrid w:val="0"/>
        <w:spacing w:line="360" w:lineRule="auto"/>
        <w:ind w:right="-10" w:firstLine="420" w:firstLineChars="175"/>
        <w:rPr>
          <w:rFonts w:ascii="宋体" w:hAnsi="宋体"/>
          <w:bCs/>
          <w:sz w:val="24"/>
          <w:highlight w:val="none"/>
        </w:rPr>
      </w:pPr>
      <w:r>
        <w:rPr>
          <w:rFonts w:hint="eastAsia" w:ascii="宋体" w:hAnsi="宋体"/>
          <w:bCs/>
          <w:sz w:val="24"/>
          <w:highlight w:val="none"/>
        </w:rPr>
        <w:t>最终得分相同的，按技术部分得分由高到低顺序排序。技术部分得分及最终得分均相同的，</w:t>
      </w:r>
      <w:bookmarkStart w:id="65" w:name="_Hlk514735510"/>
      <w:r>
        <w:rPr>
          <w:rFonts w:hint="eastAsia" w:ascii="宋体" w:hAnsi="宋体"/>
          <w:bCs/>
          <w:sz w:val="24"/>
          <w:highlight w:val="none"/>
        </w:rPr>
        <w:t>则采取磋商小组抽签方式确定其前后次序。</w:t>
      </w:r>
      <w:bookmarkEnd w:id="65"/>
    </w:p>
    <w:p>
      <w:pPr>
        <w:adjustRightInd w:val="0"/>
        <w:snapToGrid w:val="0"/>
        <w:spacing w:line="360" w:lineRule="auto"/>
        <w:ind w:right="-10" w:firstLine="482" w:firstLineChars="200"/>
        <w:rPr>
          <w:rFonts w:hint="eastAsia" w:ascii="宋体" w:hAnsi="宋体"/>
          <w:sz w:val="24"/>
          <w:highlight w:val="none"/>
        </w:rPr>
      </w:pPr>
      <w:r>
        <w:rPr>
          <w:rFonts w:hint="eastAsia" w:ascii="宋体" w:hAnsi="宋体"/>
          <w:b/>
          <w:sz w:val="24"/>
          <w:highlight w:val="none"/>
          <w:lang w:val="en-US" w:eastAsia="zh-CN"/>
        </w:rPr>
        <w:t>2.4</w:t>
      </w:r>
      <w:r>
        <w:rPr>
          <w:rFonts w:hint="eastAsia" w:ascii="宋体" w:hAnsi="宋体"/>
          <w:sz w:val="24"/>
          <w:highlight w:val="none"/>
        </w:rPr>
        <w:t xml:space="preserve"> 在评审过程中，磋商小组发现投标人的报价或者某些分项报价可能低于成本或者高于磋商文件设定的最高投标限价的，磋商小组将以</w:t>
      </w:r>
      <w:r>
        <w:rPr>
          <w:rFonts w:hint="eastAsia" w:ascii="宋体" w:hAnsi="宋体"/>
          <w:sz w:val="24"/>
          <w:highlight w:val="none"/>
          <w:lang w:eastAsia="zh-CN"/>
        </w:rPr>
        <w:t>不利于投标人的原则推断，</w:t>
      </w:r>
      <w:r>
        <w:rPr>
          <w:rFonts w:hint="eastAsia" w:ascii="宋体" w:hAnsi="宋体"/>
          <w:sz w:val="24"/>
          <w:highlight w:val="none"/>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highlight w:val="none"/>
        </w:rPr>
      </w:pPr>
      <w:r>
        <w:rPr>
          <w:rFonts w:hint="eastAsia" w:ascii="宋体" w:hAnsi="宋体"/>
          <w:b/>
          <w:sz w:val="24"/>
          <w:highlight w:val="none"/>
          <w:lang w:val="en-US" w:eastAsia="zh-CN"/>
        </w:rPr>
        <w:t>2.5</w:t>
      </w:r>
      <w:r>
        <w:rPr>
          <w:rFonts w:hint="eastAsia" w:ascii="宋体" w:hAnsi="宋体"/>
          <w:sz w:val="24"/>
          <w:highlight w:val="none"/>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highlight w:val="none"/>
        </w:rPr>
      </w:pPr>
      <w:r>
        <w:rPr>
          <w:rFonts w:hint="eastAsia" w:ascii="宋体" w:hAnsi="宋体"/>
          <w:b/>
          <w:bCs/>
          <w:sz w:val="24"/>
          <w:highlight w:val="none"/>
          <w:lang w:val="en-US" w:eastAsia="zh-CN"/>
        </w:rPr>
        <w:t>2.6</w:t>
      </w:r>
      <w:r>
        <w:rPr>
          <w:rFonts w:hint="eastAsia" w:ascii="宋体" w:hAnsi="宋体"/>
          <w:sz w:val="24"/>
          <w:highlight w:val="none"/>
        </w:rPr>
        <w:t>评</w:t>
      </w:r>
      <w:r>
        <w:rPr>
          <w:rFonts w:hint="eastAsia" w:ascii="宋体" w:hAnsi="宋体"/>
          <w:sz w:val="24"/>
          <w:highlight w:val="none"/>
          <w:lang w:eastAsia="zh-CN"/>
        </w:rPr>
        <w:t>审</w:t>
      </w:r>
      <w:r>
        <w:rPr>
          <w:rFonts w:hint="eastAsia" w:ascii="宋体" w:hAnsi="宋体"/>
          <w:sz w:val="24"/>
          <w:highlight w:val="none"/>
        </w:rPr>
        <w:t>后，磋商小组应写出评</w:t>
      </w:r>
      <w:r>
        <w:rPr>
          <w:rFonts w:hint="eastAsia" w:ascii="宋体" w:hAnsi="宋体"/>
          <w:sz w:val="24"/>
          <w:highlight w:val="none"/>
          <w:lang w:eastAsia="zh-CN"/>
        </w:rPr>
        <w:t>审</w:t>
      </w:r>
      <w:r>
        <w:rPr>
          <w:rFonts w:hint="eastAsia" w:ascii="宋体" w:hAnsi="宋体"/>
          <w:sz w:val="24"/>
          <w:highlight w:val="none"/>
        </w:rPr>
        <w:t>报告并签字。评</w:t>
      </w:r>
      <w:r>
        <w:rPr>
          <w:rFonts w:hint="eastAsia" w:ascii="宋体" w:hAnsi="宋体"/>
          <w:sz w:val="24"/>
          <w:highlight w:val="none"/>
          <w:lang w:eastAsia="zh-CN"/>
        </w:rPr>
        <w:t>审</w:t>
      </w:r>
      <w:r>
        <w:rPr>
          <w:rFonts w:hint="eastAsia" w:ascii="宋体" w:hAnsi="宋体"/>
          <w:sz w:val="24"/>
          <w:highlight w:val="none"/>
        </w:rPr>
        <w:t>报告是磋商小组根据全体</w:t>
      </w:r>
      <w:r>
        <w:rPr>
          <w:rFonts w:hint="eastAsia" w:ascii="宋体" w:hAnsi="宋体"/>
          <w:sz w:val="24"/>
          <w:highlight w:val="none"/>
          <w:lang w:eastAsia="zh-CN"/>
        </w:rPr>
        <w:t>磋商小组成员</w:t>
      </w:r>
      <w:r>
        <w:rPr>
          <w:rFonts w:hint="eastAsia" w:ascii="宋体" w:hAnsi="宋体"/>
          <w:sz w:val="24"/>
          <w:highlight w:val="none"/>
        </w:rPr>
        <w:t>签字的原始评</w:t>
      </w:r>
      <w:r>
        <w:rPr>
          <w:rFonts w:hint="eastAsia" w:ascii="宋体" w:hAnsi="宋体"/>
          <w:sz w:val="24"/>
          <w:highlight w:val="none"/>
          <w:lang w:eastAsia="zh-CN"/>
        </w:rPr>
        <w:t>审</w:t>
      </w:r>
      <w:r>
        <w:rPr>
          <w:rFonts w:hint="eastAsia" w:ascii="宋体" w:hAnsi="宋体"/>
          <w:sz w:val="24"/>
          <w:highlight w:val="none"/>
        </w:rPr>
        <w:t>记录和评</w:t>
      </w:r>
      <w:r>
        <w:rPr>
          <w:rFonts w:hint="eastAsia" w:ascii="宋体" w:hAnsi="宋体"/>
          <w:sz w:val="24"/>
          <w:highlight w:val="none"/>
          <w:lang w:eastAsia="zh-CN"/>
        </w:rPr>
        <w:t>审</w:t>
      </w:r>
      <w:r>
        <w:rPr>
          <w:rFonts w:hint="eastAsia" w:ascii="宋体" w:hAnsi="宋体"/>
          <w:sz w:val="24"/>
          <w:highlight w:val="none"/>
        </w:rPr>
        <w:t>结果编写的报告，磋商小组全体成员均须在评</w:t>
      </w:r>
      <w:r>
        <w:rPr>
          <w:rFonts w:hint="eastAsia" w:ascii="宋体" w:hAnsi="宋体"/>
          <w:sz w:val="24"/>
          <w:highlight w:val="none"/>
          <w:lang w:eastAsia="zh-CN"/>
        </w:rPr>
        <w:t>审</w:t>
      </w:r>
      <w:r>
        <w:rPr>
          <w:rFonts w:hint="eastAsia" w:ascii="宋体" w:hAnsi="宋体"/>
          <w:sz w:val="24"/>
          <w:highlight w:val="none"/>
        </w:rPr>
        <w:t>报告上签字。评</w:t>
      </w:r>
      <w:r>
        <w:rPr>
          <w:rFonts w:hint="eastAsia" w:ascii="宋体" w:hAnsi="宋体"/>
          <w:sz w:val="24"/>
          <w:highlight w:val="none"/>
          <w:lang w:eastAsia="zh-CN"/>
        </w:rPr>
        <w:t>审</w:t>
      </w:r>
      <w:r>
        <w:rPr>
          <w:rFonts w:hint="eastAsia" w:ascii="宋体" w:hAnsi="宋体"/>
          <w:sz w:val="24"/>
          <w:highlight w:val="none"/>
        </w:rPr>
        <w:t>报告应如实记录本次评</w:t>
      </w:r>
      <w:r>
        <w:rPr>
          <w:rFonts w:hint="eastAsia" w:ascii="宋体" w:hAnsi="宋体"/>
          <w:sz w:val="24"/>
          <w:highlight w:val="none"/>
          <w:lang w:eastAsia="zh-CN"/>
        </w:rPr>
        <w:t>审</w:t>
      </w:r>
      <w:r>
        <w:rPr>
          <w:rFonts w:hint="eastAsia" w:ascii="宋体" w:hAnsi="宋体"/>
          <w:sz w:val="24"/>
          <w:highlight w:val="none"/>
        </w:rPr>
        <w:t>的主要过程，全面反映评</w:t>
      </w:r>
      <w:r>
        <w:rPr>
          <w:rFonts w:hint="eastAsia" w:ascii="宋体" w:hAnsi="宋体"/>
          <w:sz w:val="24"/>
          <w:highlight w:val="none"/>
          <w:lang w:eastAsia="zh-CN"/>
        </w:rPr>
        <w:t>审</w:t>
      </w:r>
      <w:r>
        <w:rPr>
          <w:rFonts w:hint="eastAsia" w:ascii="宋体" w:hAnsi="宋体"/>
          <w:sz w:val="24"/>
          <w:highlight w:val="none"/>
        </w:rPr>
        <w:t>过程中的各种不同的意见，以及其他澄清、说明、补正事项。</w:t>
      </w:r>
    </w:p>
    <w:p>
      <w:pPr>
        <w:adjustRightInd w:val="0"/>
        <w:snapToGrid w:val="0"/>
        <w:spacing w:line="360" w:lineRule="auto"/>
        <w:ind w:right="-10"/>
        <w:rPr>
          <w:rFonts w:ascii="宋体" w:hAnsi="宋体"/>
          <w:sz w:val="24"/>
          <w:highlight w:val="none"/>
        </w:rPr>
      </w:pPr>
      <w:r>
        <w:rPr>
          <w:rFonts w:ascii="宋体" w:hAnsi="宋体"/>
          <w:sz w:val="24"/>
          <w:highlight w:val="none"/>
        </w:rPr>
        <w:t xml:space="preserve">    </w:t>
      </w:r>
      <w:r>
        <w:rPr>
          <w:rFonts w:hint="eastAsia" w:ascii="宋体" w:hAnsi="宋体"/>
          <w:b/>
          <w:sz w:val="24"/>
          <w:highlight w:val="none"/>
          <w:lang w:val="en-US" w:eastAsia="zh-CN"/>
        </w:rPr>
        <w:t>2.7</w:t>
      </w:r>
      <w:r>
        <w:rPr>
          <w:rFonts w:hint="eastAsia" w:ascii="宋体" w:hAnsi="宋体"/>
          <w:sz w:val="24"/>
          <w:highlight w:val="none"/>
        </w:rPr>
        <w:t>磋商小组和评</w:t>
      </w:r>
      <w:r>
        <w:rPr>
          <w:rFonts w:hint="eastAsia" w:ascii="宋体" w:hAnsi="宋体"/>
          <w:sz w:val="24"/>
          <w:highlight w:val="none"/>
          <w:lang w:eastAsia="zh-CN"/>
        </w:rPr>
        <w:t>审</w:t>
      </w:r>
      <w:r>
        <w:rPr>
          <w:rFonts w:hint="eastAsia" w:ascii="宋体" w:hAnsi="宋体"/>
          <w:sz w:val="24"/>
          <w:highlight w:val="none"/>
        </w:rPr>
        <w:t>工作人员应严格遵守国家的法律、法规和规章制度；严格按照本次磋商文件进行评</w:t>
      </w:r>
      <w:r>
        <w:rPr>
          <w:rFonts w:hint="eastAsia" w:ascii="宋体" w:hAnsi="宋体"/>
          <w:sz w:val="24"/>
          <w:highlight w:val="none"/>
          <w:lang w:eastAsia="zh-CN"/>
        </w:rPr>
        <w:t>审</w:t>
      </w:r>
      <w:r>
        <w:rPr>
          <w:rFonts w:hint="eastAsia" w:ascii="宋体" w:hAnsi="宋体"/>
          <w:sz w:val="24"/>
          <w:highlight w:val="none"/>
        </w:rPr>
        <w:t>；公正廉洁、不徇私情，不得损害国家利益；保护招、投标人的合法权益。</w:t>
      </w:r>
    </w:p>
    <w:p>
      <w:pPr>
        <w:rPr>
          <w:rFonts w:hint="eastAsia" w:ascii="宋体" w:hAnsi="宋体"/>
          <w:b w:val="0"/>
          <w:bCs w:val="0"/>
          <w:color w:val="auto"/>
          <w:sz w:val="24"/>
          <w:highlight w:val="none"/>
        </w:rPr>
      </w:pPr>
    </w:p>
    <w:p>
      <w:pPr>
        <w:pStyle w:val="4"/>
        <w:numPr>
          <w:ilvl w:val="0"/>
          <w:numId w:val="0"/>
        </w:numPr>
        <w:jc w:val="center"/>
        <w:rPr>
          <w:rFonts w:hint="eastAsia" w:ascii="宋体" w:hAnsi="Times New Roman" w:eastAsia="宋体" w:cs="Times New Roman"/>
          <w:b/>
          <w:bCs/>
          <w:highlight w:val="none"/>
          <w:lang w:val="en-US" w:eastAsia="zh-CN"/>
        </w:rPr>
      </w:pPr>
      <w:bookmarkStart w:id="66" w:name="_Toc20488"/>
      <w:r>
        <w:rPr>
          <w:rFonts w:hint="eastAsia" w:ascii="宋体" w:hAnsi="Times New Roman" w:eastAsia="宋体" w:cs="Times New Roman"/>
          <w:b/>
          <w:bCs/>
          <w:highlight w:val="none"/>
          <w:lang w:val="en-US" w:eastAsia="zh-CN"/>
        </w:rPr>
        <w:t>第五章 合同条款及格式</w:t>
      </w:r>
      <w:bookmarkEnd w:id="64"/>
      <w:r>
        <w:rPr>
          <w:rFonts w:hint="eastAsia" w:ascii="宋体" w:hAnsi="Times New Roman" w:eastAsia="宋体" w:cs="Times New Roman"/>
          <w:b/>
          <w:bCs/>
          <w:highlight w:val="none"/>
          <w:lang w:val="en-US" w:eastAsia="zh-CN"/>
        </w:rPr>
        <w:t>（另行提供）</w:t>
      </w:r>
      <w:bookmarkEnd w:id="66"/>
    </w:p>
    <w:p>
      <w:pPr>
        <w:jc w:val="center"/>
        <w:rPr>
          <w:rFonts w:hint="eastAsia" w:ascii="黑体" w:hAnsi="黑体" w:eastAsia="黑体"/>
          <w:bCs/>
          <w:kern w:val="44"/>
          <w:sz w:val="32"/>
          <w:szCs w:val="44"/>
          <w:highlight w:val="none"/>
        </w:rPr>
      </w:pPr>
    </w:p>
    <w:p>
      <w:pPr>
        <w:pStyle w:val="4"/>
        <w:numPr>
          <w:ilvl w:val="0"/>
          <w:numId w:val="0"/>
        </w:numPr>
        <w:jc w:val="center"/>
        <w:rPr>
          <w:rFonts w:hint="eastAsia" w:ascii="宋体" w:hAnsi="Times New Roman" w:eastAsia="宋体" w:cs="Times New Roman"/>
          <w:b/>
          <w:bCs/>
          <w:highlight w:val="none"/>
          <w:lang w:val="en-US" w:eastAsia="zh-CN"/>
        </w:rPr>
      </w:pPr>
      <w:bookmarkStart w:id="67" w:name="_Toc15249"/>
      <w:r>
        <w:rPr>
          <w:rFonts w:hint="eastAsia" w:ascii="宋体" w:hAnsi="Times New Roman" w:eastAsia="宋体" w:cs="Times New Roman"/>
          <w:b/>
          <w:bCs/>
          <w:highlight w:val="none"/>
          <w:lang w:val="en-US" w:eastAsia="zh-CN"/>
        </w:rPr>
        <w:t>第六章技术标准和要求</w:t>
      </w:r>
      <w:bookmarkEnd w:id="67"/>
    </w:p>
    <w:p>
      <w:pPr>
        <w:rPr>
          <w:rFonts w:hint="eastAsia" w:hAnsi="宋体"/>
          <w:b/>
          <w:color w:val="000000"/>
          <w:szCs w:val="24"/>
          <w:highlight w:val="none"/>
        </w:rPr>
      </w:pPr>
      <w:r>
        <w:rPr>
          <w:rFonts w:hint="eastAsia" w:hAnsi="宋体"/>
          <w:b/>
          <w:color w:val="000000"/>
          <w:szCs w:val="24"/>
          <w:highlight w:val="none"/>
        </w:rPr>
        <w:t>1. 本招标工程项目施工、验收须达到设计文件的要求和国家及有关部委、安徽省、项目所在市现行的工程建设标准、规范、规定的要求（文件标准之间相互冲突的，以标准较高者为准）。</w:t>
      </w:r>
    </w:p>
    <w:p>
      <w:pPr>
        <w:rPr>
          <w:rFonts w:hint="eastAsia" w:hAnsi="宋体"/>
          <w:b/>
          <w:color w:val="000000"/>
          <w:szCs w:val="24"/>
          <w:highlight w:val="none"/>
        </w:rPr>
      </w:pPr>
      <w:r>
        <w:rPr>
          <w:rFonts w:hint="eastAsia" w:hAnsi="宋体"/>
          <w:b/>
          <w:color w:val="000000"/>
          <w:szCs w:val="24"/>
          <w:highlight w:val="none"/>
        </w:rPr>
        <w:t>2. 其他技术标准和要求：详见招标项目施工图纸及相关补疑</w:t>
      </w:r>
      <w:r>
        <w:rPr>
          <w:rFonts w:hint="eastAsia" w:hAnsi="宋体"/>
          <w:b/>
          <w:color w:val="000000"/>
          <w:szCs w:val="24"/>
          <w:highlight w:val="none"/>
          <w:lang w:eastAsia="zh-CN"/>
        </w:rPr>
        <w:t>（如有）</w:t>
      </w:r>
      <w:r>
        <w:rPr>
          <w:rFonts w:hint="eastAsia" w:hAnsi="宋体"/>
          <w:b/>
          <w:color w:val="000000"/>
          <w:szCs w:val="24"/>
          <w:highlight w:val="none"/>
        </w:rPr>
        <w:t>。</w:t>
      </w: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4"/>
        <w:numPr>
          <w:ilvl w:val="0"/>
          <w:numId w:val="0"/>
        </w:numPr>
        <w:jc w:val="center"/>
        <w:rPr>
          <w:rFonts w:hint="eastAsia" w:ascii="宋体" w:hAnsi="Times New Roman" w:eastAsia="宋体" w:cs="Times New Roman"/>
          <w:b/>
          <w:bCs/>
          <w:highlight w:val="none"/>
          <w:lang w:val="en-US" w:eastAsia="zh-CN"/>
        </w:rPr>
      </w:pPr>
      <w:bookmarkStart w:id="68" w:name="_Toc5645"/>
      <w:r>
        <w:rPr>
          <w:rFonts w:hint="eastAsia" w:ascii="宋体" w:hAnsi="Times New Roman" w:eastAsia="宋体" w:cs="Times New Roman"/>
          <w:b/>
          <w:bCs/>
          <w:highlight w:val="none"/>
          <w:lang w:val="en-US" w:eastAsia="zh-CN"/>
        </w:rPr>
        <w:t>第七章 响应文件格式</w:t>
      </w:r>
      <w:bookmarkEnd w:id="68"/>
    </w:p>
    <w:p>
      <w:pPr>
        <w:jc w:val="center"/>
        <w:rPr>
          <w:rFonts w:hint="eastAsia" w:ascii="黑体" w:eastAsia="黑体"/>
          <w:sz w:val="32"/>
          <w:szCs w:val="32"/>
          <w:highlight w:val="none"/>
        </w:rPr>
      </w:pPr>
    </w:p>
    <w:p>
      <w:pPr>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rPr>
        <w:t>施工招标</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69" w:name="_Toc9922"/>
      <w:bookmarkStart w:id="70"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69"/>
    </w:p>
    <w:bookmarkEnd w:id="70"/>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71" w:name="_Toc28117"/>
      <w:r>
        <w:rPr>
          <w:rFonts w:hint="eastAsia" w:ascii="黑体" w:eastAsia="黑体"/>
          <w:sz w:val="28"/>
          <w:szCs w:val="28"/>
          <w:highlight w:val="none"/>
        </w:rPr>
        <w:t>目  录</w:t>
      </w:r>
      <w:bookmarkEnd w:id="71"/>
    </w:p>
    <w:p>
      <w:pPr>
        <w:outlineLvl w:val="9"/>
        <w:rPr>
          <w:rFonts w:hint="eastAsia"/>
          <w:highlight w:val="none"/>
        </w:rPr>
      </w:pPr>
    </w:p>
    <w:p>
      <w:pPr>
        <w:rPr>
          <w:rFonts w:hint="eastAsia"/>
          <w:highlight w:val="none"/>
        </w:rPr>
      </w:pPr>
    </w:p>
    <w:p>
      <w:pPr>
        <w:spacing w:line="600" w:lineRule="exact"/>
        <w:rPr>
          <w:rFonts w:hint="eastAsia" w:hAnsi="宋体" w:eastAsia="宋体"/>
          <w:szCs w:val="21"/>
          <w:highlight w:val="none"/>
          <w:lang w:eastAsia="zh-CN"/>
        </w:rPr>
      </w:pPr>
      <w:bookmarkStart w:id="72"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九、主要施工方案及施工技术</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十一、其他材料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ighlight w:val="none"/>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73" w:name="_Toc24571"/>
      <w:r>
        <w:rPr>
          <w:rFonts w:hint="eastAsia" w:ascii="宋体" w:hAnsi="Times New Roman" w:eastAsia="宋体" w:cs="Times New Roman"/>
          <w:bCs w:val="0"/>
          <w:sz w:val="24"/>
          <w:highlight w:val="none"/>
          <w:lang w:val="en-US" w:eastAsia="zh-CN" w:bidi="ar-SA"/>
        </w:rPr>
        <w:t>一、开标一览表</w:t>
      </w:r>
      <w:bookmarkEnd w:id="7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highlight w:val="none"/>
              </w:rPr>
            </w:pPr>
          </w:p>
          <w:p>
            <w:pPr>
              <w:widowControl/>
              <w:spacing w:line="360" w:lineRule="exact"/>
              <w:rPr>
                <w:rFonts w:hint="eastAsia"/>
                <w:highlight w:val="none"/>
              </w:rPr>
            </w:pPr>
            <w:r>
              <w:rPr>
                <w:rFonts w:hint="eastAsia"/>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highlight w:val="none"/>
              </w:rPr>
            </w:pPr>
          </w:p>
          <w:p>
            <w:pPr>
              <w:spacing w:line="360" w:lineRule="auto"/>
              <w:ind w:right="-670"/>
              <w:rPr>
                <w:rFonts w:hint="eastAsia"/>
                <w:highlight w:val="none"/>
                <w:u w:val="single"/>
                <w:lang w:val="en-US" w:eastAsia="zh-CN"/>
              </w:rPr>
            </w:pPr>
          </w:p>
          <w:p>
            <w:pPr>
              <w:spacing w:line="360" w:lineRule="auto"/>
              <w:ind w:right="-670"/>
              <w:rPr>
                <w:rFonts w:hint="eastAsia"/>
                <w:highlight w:val="none"/>
              </w:rPr>
            </w:pPr>
            <w:r>
              <w:rPr>
                <w:rFonts w:hint="eastAsia"/>
                <w:highlight w:val="none"/>
                <w:u w:val="single"/>
                <w:lang w:val="en-US" w:eastAsia="zh-CN"/>
              </w:rPr>
              <w:t xml:space="preserve">           </w:t>
            </w:r>
            <w:r>
              <w:rPr>
                <w:rFonts w:hint="eastAsia"/>
                <w:highlight w:val="none"/>
                <w:u w:val="none"/>
                <w:lang w:val="en-US" w:eastAsia="zh-CN"/>
              </w:rPr>
              <w:t>%</w:t>
            </w:r>
          </w:p>
          <w:p>
            <w:pPr>
              <w:pStyle w:val="5"/>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lang w:eastAsia="zh-CN"/>
        </w:rPr>
        <w:t>日期：</w:t>
      </w: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74" w:name="_Toc23193"/>
      <w:r>
        <w:rPr>
          <w:rFonts w:hint="eastAsia" w:ascii="宋体" w:hAnsi="Times New Roman" w:eastAsia="宋体" w:cs="Times New Roman"/>
          <w:bCs w:val="0"/>
          <w:sz w:val="24"/>
          <w:highlight w:val="none"/>
          <w:lang w:val="en-US" w:eastAsia="zh-CN" w:bidi="ar-SA"/>
        </w:rPr>
        <w:t>二、投标人基本情况表</w:t>
      </w:r>
      <w:bookmarkEnd w:id="74"/>
    </w:p>
    <w:tbl>
      <w:tblPr>
        <w:tblStyle w:val="21"/>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72"/>
    <w:p>
      <w:pPr>
        <w:pStyle w:val="6"/>
        <w:jc w:val="center"/>
        <w:outlineLvl w:val="1"/>
        <w:rPr>
          <w:rFonts w:hint="eastAsia" w:ascii="宋体" w:hAnsi="Times New Roman" w:eastAsia="宋体" w:cs="Times New Roman"/>
          <w:bCs w:val="0"/>
          <w:sz w:val="24"/>
          <w:highlight w:val="none"/>
          <w:lang w:val="en-US" w:eastAsia="zh-CN" w:bidi="ar-SA"/>
        </w:rPr>
      </w:pPr>
      <w:bookmarkStart w:id="75" w:name="_Toc16895"/>
      <w:bookmarkStart w:id="76" w:name="_Toc390411621"/>
      <w:bookmarkStart w:id="77" w:name="_Toc224103496"/>
      <w:bookmarkStart w:id="78" w:name="_Toc460660223"/>
      <w:bookmarkStart w:id="79" w:name="_Toc460227108"/>
      <w:bookmarkStart w:id="80" w:name="_Toc421917001"/>
      <w:r>
        <w:rPr>
          <w:rFonts w:hint="eastAsia" w:ascii="宋体" w:hAnsi="Times New Roman" w:eastAsia="宋体" w:cs="Times New Roman"/>
          <w:bCs w:val="0"/>
          <w:sz w:val="24"/>
          <w:highlight w:val="none"/>
          <w:lang w:val="en-US" w:eastAsia="zh-CN" w:bidi="ar-SA"/>
        </w:rPr>
        <w:t>三、投标函</w:t>
      </w:r>
      <w:bookmarkEnd w:id="75"/>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numPr>
          <w:ilvl w:val="0"/>
          <w:numId w:val="6"/>
        </w:numPr>
        <w:tabs>
          <w:tab w:val="left" w:pos="7560"/>
        </w:tabs>
        <w:adjustRightInd w:val="0"/>
        <w:snapToGrid w:val="0"/>
        <w:spacing w:before="48" w:beforeLines="20" w:after="48" w:afterLines="20" w:line="400" w:lineRule="exact"/>
        <w:ind w:firstLine="420" w:firstLineChars="200"/>
        <w:jc w:val="left"/>
        <w:rPr>
          <w:rFonts w:hint="eastAsia" w:hAnsi="宋体"/>
          <w:szCs w:val="22"/>
          <w:highlight w:val="none"/>
        </w:rPr>
      </w:pPr>
      <w:r>
        <w:rPr>
          <w:rFonts w:hint="eastAsia" w:hAnsi="宋体"/>
          <w:szCs w:val="22"/>
          <w:highlight w:val="none"/>
        </w:rPr>
        <w:t>我方已仔细研究</w:t>
      </w:r>
      <w:r>
        <w:rPr>
          <w:rFonts w:hint="eastAsia" w:hAnsi="宋体"/>
          <w:szCs w:val="22"/>
          <w:highlight w:val="none"/>
          <w:u w:val="single"/>
        </w:rPr>
        <w:t xml:space="preserve">       </w:t>
      </w:r>
      <w:r>
        <w:rPr>
          <w:rFonts w:hint="eastAsia" w:hAnsi="宋体"/>
          <w:szCs w:val="22"/>
          <w:highlight w:val="none"/>
        </w:rPr>
        <w:t>（招标项目名称）</w:t>
      </w:r>
      <w:r>
        <w:rPr>
          <w:rFonts w:hint="eastAsia" w:hAnsi="宋体"/>
          <w:szCs w:val="22"/>
          <w:highlight w:val="none"/>
          <w:lang w:eastAsia="zh-CN"/>
        </w:rPr>
        <w:t>磋商文件</w:t>
      </w:r>
      <w:r>
        <w:rPr>
          <w:rFonts w:hint="eastAsia" w:hAnsi="宋体"/>
          <w:szCs w:val="22"/>
          <w:highlight w:val="none"/>
        </w:rPr>
        <w:t>的全部内容，在考察工程现场后，</w:t>
      </w:r>
      <w:r>
        <w:rPr>
          <w:rFonts w:hint="eastAsia" w:hAnsi="宋体"/>
          <w:b/>
          <w:bCs/>
          <w:szCs w:val="22"/>
          <w:highlight w:val="none"/>
        </w:rPr>
        <w:t xml:space="preserve">愿以费率 </w:t>
      </w:r>
      <w:r>
        <w:rPr>
          <w:rFonts w:hint="eastAsia" w:hAnsi="宋体"/>
          <w:b/>
          <w:bCs/>
          <w:szCs w:val="22"/>
          <w:highlight w:val="none"/>
          <w:u w:val="single"/>
        </w:rPr>
        <w:t xml:space="preserve">         （        %）</w:t>
      </w:r>
      <w:r>
        <w:rPr>
          <w:rFonts w:hint="eastAsia" w:hAnsi="宋体"/>
          <w:b/>
          <w:bCs/>
          <w:szCs w:val="22"/>
          <w:highlight w:val="none"/>
        </w:rPr>
        <w:t>投标报价</w:t>
      </w:r>
      <w:r>
        <w:rPr>
          <w:rFonts w:hint="eastAsia" w:hAnsi="宋体"/>
          <w:szCs w:val="22"/>
          <w:highlight w:val="none"/>
        </w:rPr>
        <w:t>，按合同约定实施和完成承包</w:t>
      </w:r>
      <w:r>
        <w:rPr>
          <w:rFonts w:hint="eastAsia" w:hAnsi="宋体"/>
          <w:szCs w:val="22"/>
          <w:highlight w:val="none"/>
          <w:lang w:eastAsia="zh-CN"/>
        </w:rPr>
        <w:t>项目施工</w:t>
      </w:r>
      <w:r>
        <w:rPr>
          <w:rFonts w:hint="eastAsia" w:hAnsi="宋体"/>
          <w:szCs w:val="22"/>
          <w:highlight w:val="none"/>
          <w:lang w:val="en-US" w:eastAsia="zh-CN"/>
        </w:rPr>
        <w:t>/供货/服务</w:t>
      </w:r>
      <w:r>
        <w:rPr>
          <w:rFonts w:hint="eastAsia" w:hAnsi="宋体"/>
          <w:szCs w:val="22"/>
          <w:highlight w:val="none"/>
        </w:rPr>
        <w:t>，修补工程中的任何缺陷。</w:t>
      </w:r>
    </w:p>
    <w:p>
      <w:pPr>
        <w:tabs>
          <w:tab w:val="left" w:pos="7560"/>
        </w:tabs>
        <w:adjustRightInd w:val="0"/>
        <w:snapToGrid w:val="0"/>
        <w:spacing w:before="48" w:beforeLines="20" w:after="48" w:afterLines="20" w:line="400" w:lineRule="exact"/>
        <w:ind w:firstLine="420" w:firstLineChars="200"/>
        <w:jc w:val="left"/>
        <w:rPr>
          <w:rFonts w:hint="eastAsia" w:hAnsi="宋体"/>
          <w:szCs w:val="22"/>
          <w:highlight w:val="none"/>
        </w:rPr>
      </w:pPr>
      <w:r>
        <w:rPr>
          <w:rFonts w:hint="eastAsia" w:hAnsi="宋体"/>
          <w:szCs w:val="22"/>
          <w:highlight w:val="none"/>
        </w:rPr>
        <w:t>2. 我方承诺在</w:t>
      </w:r>
      <w:r>
        <w:rPr>
          <w:rFonts w:hint="eastAsia" w:hAnsi="宋体"/>
          <w:szCs w:val="22"/>
          <w:highlight w:val="none"/>
          <w:lang w:eastAsia="zh-CN"/>
        </w:rPr>
        <w:t>磋商文件</w:t>
      </w:r>
      <w:r>
        <w:rPr>
          <w:rFonts w:hint="eastAsia" w:hAnsi="宋体"/>
          <w:szCs w:val="22"/>
          <w:highlight w:val="none"/>
        </w:rPr>
        <w:t>规定的投标有效期内不撤销投标文件。</w:t>
      </w:r>
    </w:p>
    <w:p>
      <w:pPr>
        <w:tabs>
          <w:tab w:val="left" w:pos="7560"/>
        </w:tabs>
        <w:adjustRightInd w:val="0"/>
        <w:snapToGrid w:val="0"/>
        <w:spacing w:before="48" w:beforeLines="20" w:after="48" w:afterLines="20" w:line="400" w:lineRule="exact"/>
        <w:ind w:firstLine="420" w:firstLineChars="200"/>
        <w:jc w:val="left"/>
        <w:rPr>
          <w:rFonts w:hint="eastAsia" w:hAnsi="宋体"/>
          <w:bCs/>
          <w:szCs w:val="32"/>
          <w:highlight w:val="none"/>
        </w:rPr>
      </w:pPr>
      <w:r>
        <w:rPr>
          <w:rFonts w:hint="eastAsia" w:hAnsi="宋体"/>
          <w:szCs w:val="22"/>
          <w:highlight w:val="none"/>
        </w:rPr>
        <w:t>3. 工程质量：</w:t>
      </w:r>
      <w:r>
        <w:rPr>
          <w:rFonts w:hint="eastAsia" w:hAnsi="宋体"/>
          <w:szCs w:val="22"/>
          <w:highlight w:val="none"/>
          <w:u w:val="single"/>
        </w:rPr>
        <w:t xml:space="preserve">        </w:t>
      </w:r>
      <w:r>
        <w:rPr>
          <w:rFonts w:hint="eastAsia" w:hAnsi="宋体"/>
          <w:szCs w:val="22"/>
          <w:highlight w:val="none"/>
        </w:rPr>
        <w:t>；工期：</w:t>
      </w:r>
      <w:r>
        <w:rPr>
          <w:rFonts w:hint="eastAsia" w:hAnsi="宋体"/>
          <w:szCs w:val="22"/>
          <w:highlight w:val="none"/>
          <w:u w:val="single"/>
        </w:rPr>
        <w:t xml:space="preserve">        </w:t>
      </w:r>
      <w:r>
        <w:rPr>
          <w:rFonts w:hint="eastAsia" w:hAnsi="宋体"/>
          <w:szCs w:val="22"/>
          <w:highlight w:val="none"/>
        </w:rPr>
        <w:t>日历天。</w:t>
      </w:r>
    </w:p>
    <w:p>
      <w:pPr>
        <w:tabs>
          <w:tab w:val="left" w:pos="7560"/>
        </w:tabs>
        <w:adjustRightInd w:val="0"/>
        <w:snapToGrid w:val="0"/>
        <w:spacing w:before="48" w:beforeLines="20" w:after="48" w:afterLines="20" w:line="400" w:lineRule="exact"/>
        <w:ind w:firstLine="420" w:firstLineChars="200"/>
        <w:jc w:val="left"/>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 如我方中标，我方承诺：</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（3）按照</w:t>
      </w:r>
      <w:r>
        <w:rPr>
          <w:rFonts w:hint="eastAsia" w:hAnsi="宋体"/>
          <w:bCs/>
          <w:szCs w:val="32"/>
          <w:highlight w:val="none"/>
          <w:lang w:eastAsia="zh-CN"/>
        </w:rPr>
        <w:t>磋商文件</w:t>
      </w:r>
      <w:r>
        <w:rPr>
          <w:rFonts w:hint="eastAsia" w:hAnsi="宋体"/>
          <w:bCs/>
          <w:szCs w:val="32"/>
          <w:highlight w:val="none"/>
        </w:rPr>
        <w:t>要求提交履约保证金；</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w:t>
      </w:r>
      <w:r>
        <w:rPr>
          <w:rFonts w:hint="eastAsia" w:hAnsi="宋体"/>
          <w:bCs/>
          <w:szCs w:val="32"/>
          <w:highlight w:val="none"/>
          <w:lang w:eastAsia="zh-CN"/>
        </w:rPr>
        <w:t>磋商文件</w:t>
      </w:r>
      <w:r>
        <w:rPr>
          <w:rFonts w:hint="eastAsia" w:hAnsi="宋体"/>
          <w:bCs/>
          <w:szCs w:val="32"/>
          <w:highlight w:val="none"/>
        </w:rPr>
        <w:t>提出的最低要求填报派驻本标段的其他管理和技术人员及主要机械设备，经你方审批后作为派驻本标段的项目管理机构主要人员和主要设备且不进行更换。我方承诺除非</w:t>
      </w:r>
      <w:r>
        <w:rPr>
          <w:rFonts w:hint="eastAsia" w:hAnsi="宋体"/>
          <w:bCs/>
          <w:szCs w:val="32"/>
          <w:highlight w:val="none"/>
          <w:lang w:eastAsia="zh-CN"/>
        </w:rPr>
        <w:t>磋商文件</w:t>
      </w:r>
      <w:r>
        <w:rPr>
          <w:rFonts w:hint="eastAsia" w:hAnsi="宋体"/>
          <w:bCs/>
          <w:szCs w:val="32"/>
          <w:highlight w:val="none"/>
        </w:rPr>
        <w:t>另有约定，我方派驻本标段的</w:t>
      </w:r>
      <w:r>
        <w:rPr>
          <w:rFonts w:hint="eastAsia" w:hAnsi="宋体"/>
          <w:bCs/>
          <w:szCs w:val="32"/>
          <w:highlight w:val="none"/>
          <w:lang w:eastAsia="zh-CN"/>
        </w:rPr>
        <w:t>项目经理/项目负责人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367"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367" w:firstLineChars="175"/>
        <w:rPr>
          <w:rFonts w:hint="eastAsia" w:hAnsi="宋体" w:eastAsia="宋体"/>
          <w:bCs/>
          <w:szCs w:val="32"/>
          <w:highlight w:val="none"/>
          <w:lang w:eastAsia="zh-CN"/>
        </w:rPr>
      </w:pPr>
      <w:r>
        <w:rPr>
          <w:rFonts w:hint="eastAsia" w:hAnsi="宋体"/>
          <w:bCs/>
          <w:sz w:val="21"/>
          <w:szCs w:val="21"/>
          <w:highlight w:val="none"/>
        </w:rPr>
        <w:t>（7）</w:t>
      </w:r>
      <w:r>
        <w:rPr>
          <w:rFonts w:hAnsi="宋体" w:cs="宋体"/>
          <w:sz w:val="21"/>
          <w:szCs w:val="21"/>
          <w:highlight w:val="none"/>
        </w:rPr>
        <w:t>投标报价中已包含</w:t>
      </w:r>
      <w:r>
        <w:rPr>
          <w:rFonts w:hint="eastAsia" w:hAnsi="宋体" w:cs="宋体"/>
          <w:sz w:val="21"/>
          <w:szCs w:val="21"/>
          <w:highlight w:val="none"/>
          <w:lang w:eastAsia="zh-CN"/>
        </w:rPr>
        <w:t>磋商文件</w:t>
      </w:r>
      <w:r>
        <w:rPr>
          <w:rFonts w:hAnsi="宋体" w:cs="宋体"/>
          <w:sz w:val="21"/>
          <w:szCs w:val="21"/>
          <w:highlight w:val="none"/>
        </w:rPr>
        <w:t>公布的施工扬尘污染防治费用和建筑工人实名制管理费用。</w:t>
      </w:r>
      <w:r>
        <w:rPr>
          <w:rFonts w:hint="eastAsia" w:hAnsi="宋体" w:cs="宋体"/>
          <w:sz w:val="21"/>
          <w:szCs w:val="21"/>
          <w:highlight w:val="none"/>
        </w:rPr>
        <w:t>同时</w:t>
      </w:r>
      <w:r>
        <w:rPr>
          <w:rFonts w:hint="eastAsia" w:hAnsi="宋体"/>
          <w:bCs/>
          <w:szCs w:val="32"/>
          <w:highlight w:val="none"/>
        </w:rPr>
        <w:t>我方将按照</w:t>
      </w:r>
      <w:r>
        <w:rPr>
          <w:rFonts w:hint="eastAsia" w:hAnsi="宋体"/>
          <w:bCs/>
          <w:szCs w:val="32"/>
          <w:highlight w:val="none"/>
          <w:lang w:eastAsia="zh-CN"/>
        </w:rPr>
        <w:t>磋商文件</w:t>
      </w:r>
      <w:r>
        <w:rPr>
          <w:rFonts w:hint="eastAsia" w:hAnsi="宋体"/>
          <w:bCs/>
          <w:szCs w:val="32"/>
          <w:highlight w:val="none"/>
        </w:rPr>
        <w:t>要求对农民工工资进行办理专户设立、工资支付等事宜。</w:t>
      </w:r>
    </w:p>
    <w:p>
      <w:pPr>
        <w:adjustRightInd w:val="0"/>
        <w:snapToGrid w:val="0"/>
        <w:spacing w:before="48" w:beforeLines="20" w:after="48" w:afterLines="20" w:line="400" w:lineRule="exact"/>
        <w:ind w:firstLine="367" w:firstLineChars="175"/>
        <w:rPr>
          <w:rFonts w:hint="eastAsia" w:hAnsi="宋体"/>
          <w:kern w:val="2"/>
          <w:sz w:val="21"/>
          <w:szCs w:val="22"/>
          <w:highlight w:val="none"/>
        </w:rPr>
      </w:pPr>
      <w:r>
        <w:rPr>
          <w:rFonts w:hint="eastAsia" w:hAnsi="宋体" w:cs="宋体"/>
          <w:sz w:val="21"/>
          <w:szCs w:val="21"/>
          <w:highlight w:val="none"/>
        </w:rPr>
        <w:t xml:space="preserve">   </w:t>
      </w:r>
      <w:r>
        <w:rPr>
          <w:rFonts w:hAnsi="宋体" w:cs="宋体"/>
          <w:sz w:val="21"/>
          <w:szCs w:val="21"/>
          <w:highlight w:val="none"/>
        </w:rPr>
        <w:t>（8）</w:t>
      </w:r>
      <w:r>
        <w:rPr>
          <w:rFonts w:hint="eastAsia"/>
          <w:bCs/>
          <w:snapToGrid w:val="0"/>
          <w:szCs w:val="21"/>
          <w:highlight w:val="none"/>
        </w:rPr>
        <w:t>工程竣工结算时，未落实的施工扬尘污染防治和建筑工人实名制管理措施项目, 按清单所列金额从工程结算价款中扣除</w:t>
      </w:r>
      <w:r>
        <w:rPr>
          <w:rFonts w:hAnsi="宋体" w:cs="宋体"/>
          <w:sz w:val="21"/>
          <w:szCs w:val="21"/>
          <w:highlight w:val="none"/>
        </w:rPr>
        <w:t>（本条适用执行合造价〔2021〕5号文项目）。</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6.</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我方资格满足磋商公告投标人资格条件</w:t>
      </w:r>
      <w:r>
        <w:rPr>
          <w:rFonts w:hint="eastAsia" w:hAnsi="宋体"/>
          <w:bCs/>
          <w:szCs w:val="32"/>
          <w:highlight w:val="none"/>
          <w:lang w:val="en-US" w:eastAsia="zh-CN"/>
        </w:rPr>
        <w:t>5</w:t>
      </w:r>
      <w:r>
        <w:rPr>
          <w:rFonts w:hAnsi="宋体"/>
          <w:bCs/>
          <w:szCs w:val="32"/>
          <w:highlight w:val="none"/>
        </w:rPr>
        <w:t>。</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7. 除非另外达成协议并生效，你方的中标通知书和本投标文件以及</w:t>
      </w:r>
      <w:r>
        <w:rPr>
          <w:rFonts w:hint="eastAsia" w:hAnsi="宋体"/>
          <w:bCs/>
          <w:szCs w:val="32"/>
          <w:highlight w:val="none"/>
          <w:lang w:eastAsia="zh-CN"/>
        </w:rPr>
        <w:t>磋商文件</w:t>
      </w:r>
      <w:r>
        <w:rPr>
          <w:rFonts w:hint="eastAsia" w:hAnsi="宋体"/>
          <w:bCs/>
          <w:szCs w:val="32"/>
          <w:highlight w:val="none"/>
        </w:rPr>
        <w:t>、</w:t>
      </w:r>
      <w:r>
        <w:rPr>
          <w:rFonts w:hint="eastAsia" w:hAnsi="宋体"/>
          <w:bCs/>
          <w:szCs w:val="32"/>
          <w:highlight w:val="none"/>
          <w:lang w:eastAsia="zh-CN"/>
        </w:rPr>
        <w:t>磋商文件</w:t>
      </w:r>
      <w:r>
        <w:rPr>
          <w:rFonts w:hint="eastAsia" w:hAnsi="宋体"/>
          <w:bCs/>
          <w:szCs w:val="32"/>
          <w:highlight w:val="none"/>
        </w:rPr>
        <w:t>澄清、修改、补充文件将成为约束双方的合同文件的组成部分。</w:t>
      </w:r>
    </w:p>
    <w:p>
      <w:pPr>
        <w:adjustRightInd w:val="0"/>
        <w:snapToGrid w:val="0"/>
        <w:spacing w:before="48" w:beforeLines="20" w:after="48" w:afterLines="20" w:line="400" w:lineRule="exact"/>
        <w:ind w:firstLine="367" w:firstLineChars="175"/>
        <w:rPr>
          <w:rFonts w:hint="eastAsia" w:hAnsi="宋体"/>
          <w:bCs/>
          <w:szCs w:val="32"/>
          <w:highlight w:val="none"/>
        </w:rPr>
      </w:pPr>
      <w:r>
        <w:rPr>
          <w:rFonts w:hint="eastAsia" w:hAnsi="宋体"/>
          <w:bCs/>
          <w:szCs w:val="32"/>
          <w:highlight w:val="none"/>
        </w:rPr>
        <w:t xml:space="preserve">8.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90" w:firstLineChars="175"/>
        <w:rPr>
          <w:rFonts w:hint="eastAsia" w:hAnsi="宋体"/>
          <w:bCs/>
          <w:sz w:val="28"/>
          <w:szCs w:val="32"/>
          <w:highlight w:val="none"/>
        </w:rPr>
      </w:pPr>
    </w:p>
    <w:p>
      <w:pPr>
        <w:adjustRightInd w:val="0"/>
        <w:snapToGrid w:val="0"/>
        <w:spacing w:before="48" w:beforeLines="20" w:after="48" w:afterLines="20" w:line="400" w:lineRule="exact"/>
        <w:ind w:firstLine="367"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367"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367"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367"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367"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End w:id="76"/>
      <w:bookmarkEnd w:id="77"/>
      <w:bookmarkEnd w:id="78"/>
      <w:bookmarkEnd w:id="79"/>
      <w:bookmarkEnd w:id="80"/>
      <w:bookmarkStart w:id="81" w:name="_Toc22984"/>
      <w:bookmarkStart w:id="82" w:name="_Toc26300"/>
      <w:bookmarkStart w:id="83" w:name="_Toc460227110"/>
      <w:bookmarkStart w:id="84" w:name="_Toc460660225"/>
      <w:r>
        <w:rPr>
          <w:rFonts w:hint="eastAsia" w:ascii="宋体" w:hAnsi="Times New Roman" w:eastAsia="宋体" w:cs="Times New Roman"/>
          <w:bCs w:val="0"/>
          <w:sz w:val="24"/>
          <w:highlight w:val="none"/>
          <w:lang w:val="en-US" w:eastAsia="zh-CN" w:bidi="ar-SA"/>
        </w:rPr>
        <w:t>四、法定代表人身份证明或授权委托书</w:t>
      </w:r>
      <w:bookmarkEnd w:id="81"/>
      <w:bookmarkEnd w:id="82"/>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1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85" w:name="_Toc535241130"/>
      <w:bookmarkStart w:id="86" w:name="_Toc535241227"/>
      <w:bookmarkStart w:id="87" w:name="_Toc535241084"/>
      <w:bookmarkStart w:id="88" w:name="_Toc224103498"/>
      <w:bookmarkStart w:id="89" w:name="_Toc224103497"/>
      <w:r>
        <w:rPr>
          <w:sz w:val="32"/>
          <w:szCs w:val="32"/>
        </w:rPr>
        <w:br w:type="page"/>
      </w:r>
      <w:r>
        <w:rPr>
          <w:rFonts w:hint="eastAsia" w:ascii="黑体" w:hAnsi="黑体" w:eastAsia="黑体"/>
          <w:bCs/>
        </w:rPr>
        <w:t>授权委托书</w:t>
      </w:r>
      <w:bookmarkEnd w:id="85"/>
      <w:bookmarkEnd w:id="86"/>
      <w:bookmarkEnd w:id="87"/>
    </w:p>
    <w:p/>
    <w:p>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代理人无转委托权。</w:t>
      </w:r>
    </w:p>
    <w:p>
      <w:pPr>
        <w:snapToGrid w:val="0"/>
        <w:spacing w:line="360" w:lineRule="auto"/>
        <w:ind w:firstLine="420" w:firstLineChars="200"/>
        <w:rPr>
          <w:rStyle w:val="43"/>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43"/>
          <w:rFonts w:hint="default"/>
          <w:b/>
          <w:bCs/>
          <w:color w:val="auto"/>
        </w:rPr>
        <w:t>法定代表人身份证明</w:t>
      </w:r>
    </w:p>
    <w:p>
      <w:pPr>
        <w:pStyle w:val="20"/>
        <w:ind w:firstLine="442"/>
        <w:rPr>
          <w:rStyle w:val="43"/>
          <w:rFonts w:hint="default"/>
          <w:b/>
          <w:color w:val="auto"/>
        </w:rPr>
      </w:pPr>
    </w:p>
    <w:p>
      <w:pPr>
        <w:pStyle w:val="20"/>
        <w:ind w:firstLine="442"/>
        <w:rPr>
          <w:rStyle w:val="43"/>
          <w:rFonts w:hint="default"/>
          <w:b/>
          <w:color w:val="auto"/>
        </w:rPr>
      </w:pPr>
    </w:p>
    <w:p>
      <w:pPr>
        <w:pStyle w:val="20"/>
        <w:ind w:firstLine="442"/>
        <w:rPr>
          <w:rStyle w:val="43"/>
          <w:rFonts w:hint="default"/>
          <w:b/>
          <w:color w:val="auto"/>
        </w:rPr>
      </w:pPr>
    </w:p>
    <w:p>
      <w:pPr>
        <w:pStyle w:val="20"/>
        <w:ind w:firstLine="442"/>
        <w:rPr>
          <w:rStyle w:val="43"/>
          <w:rFonts w:hint="default"/>
          <w:b/>
          <w:color w:val="auto"/>
        </w:rPr>
      </w:pPr>
    </w:p>
    <w:p/>
    <w:p>
      <w:pPr>
        <w:snapToGrid w:val="0"/>
        <w:spacing w:line="360" w:lineRule="auto"/>
        <w:ind w:firstLine="422" w:firstLineChars="200"/>
        <w:rPr>
          <w:rFonts w:hAnsi="宋体"/>
          <w:b/>
          <w:bCs/>
          <w:szCs w:val="21"/>
        </w:rPr>
      </w:pPr>
      <w:r>
        <w:rPr>
          <w:rFonts w:hint="eastAsia" w:hAnsi="宋体"/>
          <w:b/>
          <w:bCs/>
          <w:szCs w:val="21"/>
        </w:rPr>
        <w:t xml:space="preserve">    代理人身份证扫描件</w:t>
      </w:r>
    </w:p>
    <w:p>
      <w:pPr>
        <w:pStyle w:val="20"/>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0"/>
        <w:ind w:firstLine="562"/>
        <w:rPr>
          <w:b/>
          <w:szCs w:val="21"/>
        </w:rPr>
      </w:pPr>
    </w:p>
    <w:p>
      <w:pPr>
        <w:rPr>
          <w:rFonts w:hAnsi="宋体"/>
          <w:b/>
          <w:bCs/>
          <w:szCs w:val="21"/>
        </w:rPr>
      </w:pPr>
    </w:p>
    <w:p>
      <w:pPr>
        <w:pStyle w:val="20"/>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88"/>
      <w:bookmarkEnd w:id="89"/>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90" w:name="_Toc1450"/>
      <w:bookmarkStart w:id="91" w:name="_Toc535241232"/>
      <w:bookmarkStart w:id="92" w:name="_Toc535241135"/>
      <w:bookmarkStart w:id="93" w:name="_Toc535241089"/>
      <w:bookmarkStart w:id="94" w:name="_Toc535241229"/>
      <w:bookmarkStart w:id="95" w:name="_Toc535241086"/>
      <w:bookmarkStart w:id="96" w:name="_Toc535241132"/>
      <w:r>
        <w:rPr>
          <w:rFonts w:hint="eastAsia" w:ascii="宋体" w:hAnsi="Times New Roman" w:eastAsia="宋体" w:cs="Times New Roman"/>
          <w:bCs w:val="0"/>
          <w:sz w:val="24"/>
          <w:highlight w:val="none"/>
          <w:lang w:val="en-US" w:eastAsia="zh-CN" w:bidi="ar-SA"/>
        </w:rPr>
        <w:t>五、投标人信用承诺</w:t>
      </w:r>
      <w:bookmarkEnd w:id="9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highlight w:val="none"/>
          <w:lang w:eastAsia="zh-CN"/>
        </w:rPr>
      </w:pPr>
    </w:p>
    <w:p>
      <w:pPr>
        <w:outlineLvl w:val="9"/>
        <w:rPr>
          <w:rFonts w:hint="eastAsia"/>
          <w:highlight w:val="none"/>
          <w:lang w:eastAsia="zh-CN"/>
        </w:rPr>
      </w:pPr>
    </w:p>
    <w:p>
      <w:pPr>
        <w:rPr>
          <w:rFonts w:hint="eastAsia"/>
          <w:highlight w:val="none"/>
          <w:lang w:eastAsia="zh-CN"/>
        </w:rPr>
      </w:pPr>
    </w:p>
    <w:p>
      <w:pPr>
        <w:outlineLvl w:val="9"/>
        <w:rPr>
          <w:rFonts w:hint="eastAsia"/>
          <w:highlight w:val="none"/>
          <w:lang w:eastAsia="zh-CN"/>
        </w:rPr>
      </w:pPr>
    </w:p>
    <w:p>
      <w:pPr>
        <w:rPr>
          <w:rFonts w:hint="eastAsia"/>
          <w:highlight w:val="none"/>
          <w:lang w:eastAsia="zh-CN"/>
        </w:rPr>
      </w:pPr>
    </w:p>
    <w:p>
      <w:pPr>
        <w:outlineLvl w:val="9"/>
        <w:rPr>
          <w:rFonts w:hint="eastAsia"/>
          <w:highlight w:val="none"/>
          <w:lang w:eastAsia="zh-CN"/>
        </w:rPr>
      </w:pPr>
    </w:p>
    <w:p>
      <w:pPr>
        <w:rPr>
          <w:rFonts w:hint="eastAsia"/>
          <w:highlight w:val="none"/>
          <w:lang w:eastAsia="zh-CN"/>
        </w:rPr>
      </w:pPr>
    </w:p>
    <w:p>
      <w:pPr>
        <w:outlineLvl w:val="9"/>
        <w:rPr>
          <w:rFonts w:hint="eastAsia"/>
          <w:highlight w:val="none"/>
          <w:lang w:eastAsia="zh-CN"/>
        </w:rPr>
      </w:pPr>
    </w:p>
    <w:p>
      <w:pPr>
        <w:rPr>
          <w:rFonts w:hint="eastAsia"/>
          <w:highlight w:val="none"/>
          <w:lang w:eastAsia="zh-CN"/>
        </w:rPr>
      </w:pPr>
    </w:p>
    <w:p>
      <w:pPr>
        <w:outlineLvl w:val="9"/>
        <w:rPr>
          <w:rFonts w:hint="eastAsia"/>
          <w:highlight w:val="none"/>
          <w:lang w:eastAsia="zh-CN"/>
        </w:rPr>
      </w:pPr>
    </w:p>
    <w:p>
      <w:pPr>
        <w:rPr>
          <w:rFonts w:hint="eastAsia"/>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97" w:name="_Toc26532"/>
      <w:r>
        <w:rPr>
          <w:rFonts w:hint="eastAsia" w:ascii="宋体" w:hAnsi="Times New Roman" w:eastAsia="宋体" w:cs="Times New Roman"/>
          <w:bCs w:val="0"/>
          <w:sz w:val="24"/>
          <w:highlight w:val="none"/>
          <w:lang w:val="en-US" w:eastAsia="zh-CN" w:bidi="ar-SA"/>
        </w:rPr>
        <w:t>六、投标人业绩</w:t>
      </w:r>
      <w:bookmarkEnd w:id="9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76"/>
        <w:gridCol w:w="1200"/>
        <w:gridCol w:w="1346"/>
        <w:gridCol w:w="1279"/>
        <w:gridCol w:w="1106"/>
        <w:gridCol w:w="19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80"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176"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00"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46"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27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06"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46"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46"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80"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176" w:type="dxa"/>
            <w:noWrap w:val="0"/>
            <w:vAlign w:val="center"/>
          </w:tcPr>
          <w:p>
            <w:pPr>
              <w:spacing w:line="360" w:lineRule="auto"/>
              <w:rPr>
                <w:rFonts w:ascii="宋体" w:hAnsi="宋体"/>
                <w:color w:val="auto"/>
                <w:sz w:val="22"/>
                <w:szCs w:val="22"/>
                <w:highlight w:val="none"/>
              </w:rPr>
            </w:pPr>
          </w:p>
        </w:tc>
        <w:tc>
          <w:tcPr>
            <w:tcW w:w="1200" w:type="dxa"/>
            <w:noWrap w:val="0"/>
            <w:vAlign w:val="center"/>
          </w:tcPr>
          <w:p>
            <w:pPr>
              <w:spacing w:line="360" w:lineRule="auto"/>
              <w:rPr>
                <w:rFonts w:hint="eastAsia" w:ascii="宋体" w:hAnsi="宋体" w:eastAsia="宋体"/>
                <w:color w:val="auto"/>
                <w:sz w:val="22"/>
                <w:szCs w:val="22"/>
                <w:highlight w:val="none"/>
                <w:lang w:eastAsia="zh-CN"/>
              </w:rPr>
            </w:pPr>
          </w:p>
        </w:tc>
        <w:tc>
          <w:tcPr>
            <w:tcW w:w="1346" w:type="dxa"/>
            <w:noWrap w:val="0"/>
            <w:vAlign w:val="center"/>
          </w:tcPr>
          <w:p>
            <w:pPr>
              <w:spacing w:line="360" w:lineRule="auto"/>
              <w:rPr>
                <w:rFonts w:ascii="宋体" w:hAnsi="宋体"/>
                <w:color w:val="auto"/>
                <w:sz w:val="22"/>
                <w:szCs w:val="22"/>
                <w:highlight w:val="none"/>
              </w:rPr>
            </w:pPr>
          </w:p>
        </w:tc>
        <w:tc>
          <w:tcPr>
            <w:tcW w:w="1279" w:type="dxa"/>
            <w:noWrap w:val="0"/>
            <w:vAlign w:val="center"/>
          </w:tcPr>
          <w:p>
            <w:pPr>
              <w:spacing w:line="360" w:lineRule="auto"/>
              <w:rPr>
                <w:rFonts w:ascii="宋体" w:hAnsi="宋体"/>
                <w:color w:val="auto"/>
                <w:sz w:val="22"/>
                <w:szCs w:val="22"/>
                <w:highlight w:val="none"/>
              </w:rPr>
            </w:pPr>
          </w:p>
        </w:tc>
        <w:tc>
          <w:tcPr>
            <w:tcW w:w="1106" w:type="dxa"/>
            <w:noWrap w:val="0"/>
            <w:vAlign w:val="center"/>
          </w:tcPr>
          <w:p>
            <w:pPr>
              <w:spacing w:line="360" w:lineRule="auto"/>
              <w:rPr>
                <w:rFonts w:ascii="宋体" w:hAnsi="宋体"/>
                <w:color w:val="auto"/>
                <w:sz w:val="22"/>
                <w:szCs w:val="22"/>
                <w:highlight w:val="none"/>
              </w:rPr>
            </w:pPr>
          </w:p>
        </w:tc>
        <w:tc>
          <w:tcPr>
            <w:tcW w:w="1946" w:type="dxa"/>
            <w:noWrap w:val="0"/>
            <w:vAlign w:val="center"/>
          </w:tcPr>
          <w:p>
            <w:pPr>
              <w:spacing w:line="360" w:lineRule="auto"/>
              <w:rPr>
                <w:rFonts w:ascii="宋体" w:hAnsi="宋体"/>
                <w:color w:val="auto"/>
                <w:sz w:val="22"/>
                <w:szCs w:val="22"/>
                <w:highlight w:val="none"/>
              </w:rPr>
            </w:pPr>
          </w:p>
        </w:tc>
        <w:tc>
          <w:tcPr>
            <w:tcW w:w="746"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176" w:type="dxa"/>
            <w:noWrap w:val="0"/>
            <w:vAlign w:val="center"/>
          </w:tcPr>
          <w:p>
            <w:pPr>
              <w:spacing w:line="360" w:lineRule="auto"/>
              <w:rPr>
                <w:rFonts w:ascii="宋体" w:hAnsi="宋体"/>
                <w:color w:val="auto"/>
                <w:sz w:val="22"/>
                <w:szCs w:val="22"/>
                <w:highlight w:val="none"/>
              </w:rPr>
            </w:pPr>
          </w:p>
        </w:tc>
        <w:tc>
          <w:tcPr>
            <w:tcW w:w="1200" w:type="dxa"/>
            <w:noWrap w:val="0"/>
            <w:vAlign w:val="center"/>
          </w:tcPr>
          <w:p>
            <w:pPr>
              <w:spacing w:line="360" w:lineRule="auto"/>
              <w:rPr>
                <w:rFonts w:ascii="宋体" w:hAnsi="宋体"/>
                <w:color w:val="auto"/>
                <w:sz w:val="22"/>
                <w:szCs w:val="22"/>
                <w:highlight w:val="none"/>
              </w:rPr>
            </w:pPr>
          </w:p>
        </w:tc>
        <w:tc>
          <w:tcPr>
            <w:tcW w:w="1346" w:type="dxa"/>
            <w:noWrap w:val="0"/>
            <w:vAlign w:val="center"/>
          </w:tcPr>
          <w:p>
            <w:pPr>
              <w:spacing w:line="360" w:lineRule="auto"/>
              <w:rPr>
                <w:rFonts w:ascii="宋体" w:hAnsi="宋体"/>
                <w:color w:val="auto"/>
                <w:sz w:val="22"/>
                <w:szCs w:val="22"/>
                <w:highlight w:val="none"/>
              </w:rPr>
            </w:pPr>
          </w:p>
        </w:tc>
        <w:tc>
          <w:tcPr>
            <w:tcW w:w="1279" w:type="dxa"/>
            <w:noWrap w:val="0"/>
            <w:vAlign w:val="center"/>
          </w:tcPr>
          <w:p>
            <w:pPr>
              <w:spacing w:line="360" w:lineRule="auto"/>
              <w:rPr>
                <w:rFonts w:ascii="宋体" w:hAnsi="宋体"/>
                <w:color w:val="auto"/>
                <w:sz w:val="22"/>
                <w:szCs w:val="22"/>
                <w:highlight w:val="none"/>
              </w:rPr>
            </w:pPr>
          </w:p>
        </w:tc>
        <w:tc>
          <w:tcPr>
            <w:tcW w:w="1106" w:type="dxa"/>
            <w:noWrap w:val="0"/>
            <w:vAlign w:val="center"/>
          </w:tcPr>
          <w:p>
            <w:pPr>
              <w:spacing w:line="360" w:lineRule="auto"/>
              <w:rPr>
                <w:rFonts w:ascii="宋体" w:hAnsi="宋体"/>
                <w:color w:val="auto"/>
                <w:sz w:val="22"/>
                <w:szCs w:val="22"/>
                <w:highlight w:val="none"/>
              </w:rPr>
            </w:pPr>
          </w:p>
        </w:tc>
        <w:tc>
          <w:tcPr>
            <w:tcW w:w="1946" w:type="dxa"/>
            <w:noWrap w:val="0"/>
            <w:vAlign w:val="center"/>
          </w:tcPr>
          <w:p>
            <w:pPr>
              <w:spacing w:line="360" w:lineRule="auto"/>
              <w:rPr>
                <w:rFonts w:ascii="宋体" w:hAnsi="宋体"/>
                <w:color w:val="auto"/>
                <w:sz w:val="22"/>
                <w:szCs w:val="22"/>
                <w:highlight w:val="none"/>
              </w:rPr>
            </w:pPr>
          </w:p>
        </w:tc>
        <w:tc>
          <w:tcPr>
            <w:tcW w:w="746"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highlight w:val="none"/>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98" w:name="_Toc4825"/>
      <w:r>
        <w:rPr>
          <w:rFonts w:hint="eastAsia" w:ascii="宋体" w:hAnsi="Times New Roman" w:eastAsia="宋体" w:cs="Times New Roman"/>
          <w:bCs w:val="0"/>
          <w:sz w:val="24"/>
          <w:highlight w:val="none"/>
          <w:lang w:val="en-US" w:eastAsia="zh-CN" w:bidi="ar-SA"/>
        </w:rPr>
        <w:t>七、奖项、荣誉（如有）</w:t>
      </w:r>
      <w:bookmarkEnd w:id="98"/>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99" w:name="_Toc13699"/>
      <w:r>
        <w:rPr>
          <w:rFonts w:hint="eastAsia" w:ascii="宋体" w:hAnsi="Times New Roman" w:eastAsia="宋体" w:cs="Times New Roman"/>
          <w:bCs w:val="0"/>
          <w:sz w:val="24"/>
          <w:highlight w:val="none"/>
          <w:lang w:val="en-US" w:eastAsia="zh-CN" w:bidi="ar-SA"/>
        </w:rPr>
        <w:t>八、项目管理机构</w:t>
      </w:r>
      <w:bookmarkEnd w:id="99"/>
    </w:p>
    <w:bookmarkEnd w:id="91"/>
    <w:bookmarkEnd w:id="92"/>
    <w:bookmarkEnd w:id="9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100" w:name="_Toc492300541"/>
      <w:bookmarkStart w:id="101" w:name="_Toc370676440"/>
      <w:bookmarkStart w:id="102" w:name="_Toc385943079"/>
      <w:bookmarkStart w:id="103" w:name="_Toc300835232"/>
      <w:bookmarkStart w:id="104" w:name="_Toc391394125"/>
      <w:bookmarkStart w:id="105" w:name="_Toc384308390"/>
      <w:bookmarkStart w:id="106" w:name="_Toc144974873"/>
      <w:bookmarkStart w:id="107" w:name="_Toc179632825"/>
      <w:bookmarkStart w:id="108" w:name="_Toc482188668"/>
      <w:bookmarkStart w:id="109" w:name="_Toc359594249"/>
      <w:bookmarkStart w:id="110" w:name="_Toc152045805"/>
      <w:bookmarkStart w:id="111" w:name="_Toc152042594"/>
      <w:r>
        <w:rPr>
          <w:rFonts w:hint="eastAsia" w:ascii="宋体" w:hAnsi="宋体"/>
          <w:b/>
          <w:bCs/>
          <w:color w:val="auto"/>
          <w:sz w:val="24"/>
          <w:szCs w:val="24"/>
          <w:highlight w:val="none"/>
        </w:rPr>
        <w:t>（二）主要人员简历表</w:t>
      </w:r>
      <w:bookmarkEnd w:id="100"/>
      <w:bookmarkEnd w:id="101"/>
      <w:bookmarkEnd w:id="102"/>
      <w:bookmarkEnd w:id="103"/>
      <w:bookmarkEnd w:id="104"/>
      <w:bookmarkEnd w:id="105"/>
      <w:bookmarkEnd w:id="106"/>
      <w:bookmarkEnd w:id="107"/>
      <w:bookmarkEnd w:id="108"/>
      <w:bookmarkEnd w:id="109"/>
      <w:bookmarkEnd w:id="110"/>
      <w:bookmarkEnd w:id="111"/>
    </w:p>
    <w:p>
      <w:pPr>
        <w:topLinePunct/>
        <w:spacing w:line="440" w:lineRule="exact"/>
        <w:jc w:val="center"/>
        <w:rPr>
          <w:color w:val="auto"/>
          <w:sz w:val="23"/>
          <w:highlight w:val="none"/>
        </w:rPr>
      </w:pPr>
      <w:r>
        <w:rPr>
          <w:rFonts w:hint="eastAsia"/>
          <w:color w:val="auto"/>
          <w:highlight w:val="non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83"/>
    <w:bookmarkEnd w:id="84"/>
    <w:bookmarkEnd w:id="94"/>
    <w:bookmarkEnd w:id="95"/>
    <w:bookmarkEnd w:id="96"/>
    <w:p>
      <w:pPr>
        <w:pStyle w:val="5"/>
        <w:numPr>
          <w:ilvl w:val="0"/>
          <w:numId w:val="0"/>
        </w:numPr>
        <w:jc w:val="center"/>
        <w:outlineLvl w:val="1"/>
        <w:rPr>
          <w:rFonts w:hint="eastAsia" w:ascii="宋体" w:hAnsi="Times New Roman" w:cs="Times New Roman"/>
          <w:bCs w:val="0"/>
          <w:sz w:val="24"/>
          <w:highlight w:val="none"/>
          <w:lang w:val="en-US" w:eastAsia="zh-CN" w:bidi="ar-SA"/>
        </w:rPr>
      </w:pPr>
      <w:bookmarkStart w:id="112" w:name="_Toc22936"/>
      <w:r>
        <w:rPr>
          <w:rFonts w:hint="eastAsia" w:ascii="宋体" w:hAnsi="宋体" w:eastAsia="宋体" w:cs="宋体"/>
          <w:spacing w:val="-2"/>
          <w:sz w:val="24"/>
          <w:szCs w:val="24"/>
          <w:highlight w:val="none"/>
          <w:lang w:eastAsia="zh-CN"/>
        </w:rPr>
        <w:t>九、</w:t>
      </w:r>
      <w:r>
        <w:rPr>
          <w:rFonts w:ascii="宋体" w:hAnsi="宋体" w:eastAsia="宋体" w:cs="宋体"/>
          <w:spacing w:val="-2"/>
          <w:sz w:val="24"/>
          <w:szCs w:val="24"/>
          <w:highlight w:val="none"/>
        </w:rPr>
        <w:t>主要施工方案及</w:t>
      </w:r>
      <w:r>
        <w:rPr>
          <w:rFonts w:ascii="宋体" w:hAnsi="宋体" w:eastAsia="宋体" w:cs="宋体"/>
          <w:spacing w:val="-1"/>
          <w:sz w:val="24"/>
          <w:szCs w:val="24"/>
          <w:highlight w:val="none"/>
        </w:rPr>
        <w:t>施</w:t>
      </w:r>
      <w:r>
        <w:rPr>
          <w:rFonts w:ascii="宋体" w:hAnsi="宋体" w:eastAsia="宋体" w:cs="宋体"/>
          <w:spacing w:val="-3"/>
          <w:sz w:val="24"/>
          <w:szCs w:val="24"/>
          <w:highlight w:val="none"/>
        </w:rPr>
        <w:t>工技</w:t>
      </w:r>
      <w:r>
        <w:rPr>
          <w:rFonts w:ascii="宋体" w:hAnsi="宋体" w:eastAsia="宋体" w:cs="宋体"/>
          <w:spacing w:val="-2"/>
          <w:sz w:val="24"/>
          <w:szCs w:val="24"/>
          <w:highlight w:val="none"/>
        </w:rPr>
        <w:t>术</w:t>
      </w:r>
      <w:bookmarkEnd w:id="112"/>
    </w:p>
    <w:p>
      <w:pPr>
        <w:spacing w:before="48" w:beforeLines="20" w:after="48" w:afterLines="20"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（投标人可自行制作格式）</w:t>
      </w: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highlight w:val="none"/>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9"/>
        <w:rPr>
          <w:rFonts w:hint="eastAsia" w:ascii="宋体" w:hAnsi="宋体" w:eastAsia="宋体" w:cs="宋体"/>
          <w:b/>
          <w:bCs/>
          <w:spacing w:val="-2"/>
          <w:sz w:val="24"/>
          <w:szCs w:val="24"/>
          <w:highlight w:val="none"/>
          <w:lang w:val="en-US" w:eastAsia="zh-CN"/>
        </w:rPr>
      </w:pPr>
    </w:p>
    <w:p>
      <w:pPr>
        <w:numPr>
          <w:ilvl w:val="0"/>
          <w:numId w:val="0"/>
        </w:numPr>
        <w:jc w:val="center"/>
        <w:outlineLvl w:val="1"/>
        <w:rPr>
          <w:rFonts w:hint="eastAsia" w:ascii="宋体" w:hAnsi="宋体" w:eastAsia="宋体" w:cs="宋体"/>
          <w:b/>
          <w:bCs/>
          <w:spacing w:val="-2"/>
          <w:sz w:val="24"/>
          <w:szCs w:val="24"/>
          <w:highlight w:val="none"/>
          <w:lang w:val="en-US" w:eastAsia="zh-CN"/>
        </w:rPr>
      </w:pPr>
      <w:bookmarkStart w:id="113" w:name="_Toc7757"/>
      <w:r>
        <w:rPr>
          <w:rFonts w:hint="eastAsia" w:ascii="宋体" w:hAnsi="宋体" w:eastAsia="宋体" w:cs="宋体"/>
          <w:b/>
          <w:bCs/>
          <w:spacing w:val="-2"/>
          <w:sz w:val="24"/>
          <w:szCs w:val="24"/>
          <w:highlight w:val="none"/>
          <w:lang w:val="en-US" w:eastAsia="zh-CN"/>
        </w:rPr>
        <w:t>十、后期服务方案</w:t>
      </w:r>
      <w:bookmarkEnd w:id="113"/>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highlight w:val="none"/>
          <w:lang w:val="en-US" w:eastAsia="zh-CN"/>
        </w:rPr>
      </w:pPr>
    </w:p>
    <w:p>
      <w:pPr>
        <w:outlineLvl w:val="9"/>
        <w:rPr>
          <w:rFonts w:hint="eastAsia"/>
          <w:highlight w:val="none"/>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highlight w:val="none"/>
          <w:lang w:val="en-US" w:eastAsia="zh-CN"/>
        </w:rPr>
      </w:pPr>
      <w:bookmarkStart w:id="114" w:name="_Toc32191"/>
      <w:r>
        <w:rPr>
          <w:rFonts w:hint="eastAsia" w:ascii="宋体" w:hAnsi="宋体" w:eastAsia="宋体" w:cs="宋体"/>
          <w:b/>
          <w:bCs/>
          <w:spacing w:val="-2"/>
          <w:sz w:val="24"/>
          <w:szCs w:val="24"/>
          <w:highlight w:val="none"/>
          <w:lang w:val="en-US" w:eastAsia="zh-CN"/>
        </w:rPr>
        <w:t>十一、其他资料</w:t>
      </w:r>
      <w:bookmarkEnd w:id="114"/>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Pr>
        <w:pStyle w:val="9"/>
      </w:pPr>
    </w:p>
    <w:p>
      <w:pPr>
        <w:pStyle w:val="9"/>
        <w:ind w:left="0" w:leftChars="0" w:firstLine="640" w:firstLineChars="200"/>
        <w:rPr>
          <w:rFonts w:hint="eastAsia" w:ascii="仿宋_GB2312" w:hAnsi="仿宋_GB2312" w:eastAsia="仿宋_GB2312" w:cs="仿宋_GB2312"/>
          <w:kern w:val="0"/>
          <w:sz w:val="32"/>
          <w:szCs w:val="32"/>
          <w:lang w:val="en-US" w:eastAsia="zh-CN" w:bidi="ar-SA"/>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D9432E2A"/>
    <w:multiLevelType w:val="singleLevel"/>
    <w:tmpl w:val="D9432E2A"/>
    <w:lvl w:ilvl="0" w:tentative="0">
      <w:start w:val="1"/>
      <w:numFmt w:val="decimal"/>
      <w:suff w:val="space"/>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885251A"/>
    <w:multiLevelType w:val="singleLevel"/>
    <w:tmpl w:val="3885251A"/>
    <w:lvl w:ilvl="0" w:tentative="0">
      <w:start w:val="1"/>
      <w:numFmt w:val="decimal"/>
      <w:suff w:val="nothing"/>
      <w:lvlText w:val="（%1）"/>
      <w:lvlJc w:val="left"/>
      <w:pPr>
        <w:ind w:left="120" w:firstLine="0"/>
      </w:pPr>
    </w:lvl>
  </w:abstractNum>
  <w:abstractNum w:abstractNumId="4">
    <w:nsid w:val="73ED12AA"/>
    <w:multiLevelType w:val="singleLevel"/>
    <w:tmpl w:val="73ED12AA"/>
    <w:lvl w:ilvl="0" w:tentative="0">
      <w:start w:val="0"/>
      <w:numFmt w:val="decimal"/>
      <w:suff w:val="space"/>
      <w:lvlText w:val="%1-"/>
      <w:lvlJc w:val="left"/>
    </w:lvl>
  </w:abstractNum>
  <w:abstractNum w:abstractNumId="5">
    <w:nsid w:val="7A55F52D"/>
    <w:multiLevelType w:val="singleLevel"/>
    <w:tmpl w:val="7A55F52D"/>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jZDQ3MjQ3NjU4Y2NkNWU5NWU0YmM5YWZhZmY4NzgifQ=="/>
  </w:docVars>
  <w:rsids>
    <w:rsidRoot w:val="79920A46"/>
    <w:rsid w:val="00015AB6"/>
    <w:rsid w:val="00031C26"/>
    <w:rsid w:val="00102725"/>
    <w:rsid w:val="00197E2C"/>
    <w:rsid w:val="0021376B"/>
    <w:rsid w:val="002705AB"/>
    <w:rsid w:val="003B0C62"/>
    <w:rsid w:val="00415FB2"/>
    <w:rsid w:val="00426483"/>
    <w:rsid w:val="004B2D23"/>
    <w:rsid w:val="004B6571"/>
    <w:rsid w:val="005548BB"/>
    <w:rsid w:val="005C413A"/>
    <w:rsid w:val="005E5068"/>
    <w:rsid w:val="006570DE"/>
    <w:rsid w:val="006A0ADB"/>
    <w:rsid w:val="006B3AF5"/>
    <w:rsid w:val="006E098E"/>
    <w:rsid w:val="00720FA1"/>
    <w:rsid w:val="00847C4D"/>
    <w:rsid w:val="0086290B"/>
    <w:rsid w:val="00866A35"/>
    <w:rsid w:val="008C049F"/>
    <w:rsid w:val="0098489D"/>
    <w:rsid w:val="00990F1B"/>
    <w:rsid w:val="009B427D"/>
    <w:rsid w:val="00AD0B83"/>
    <w:rsid w:val="00C34DD5"/>
    <w:rsid w:val="00C5528F"/>
    <w:rsid w:val="00CD2902"/>
    <w:rsid w:val="00E76C3F"/>
    <w:rsid w:val="00EB2783"/>
    <w:rsid w:val="00F71053"/>
    <w:rsid w:val="00FA1867"/>
    <w:rsid w:val="03FB50D2"/>
    <w:rsid w:val="04194CE4"/>
    <w:rsid w:val="06930D7E"/>
    <w:rsid w:val="08764C50"/>
    <w:rsid w:val="0A791864"/>
    <w:rsid w:val="0AF237B1"/>
    <w:rsid w:val="0B3A0B96"/>
    <w:rsid w:val="0CD43E9E"/>
    <w:rsid w:val="0D014052"/>
    <w:rsid w:val="0D9F2B0D"/>
    <w:rsid w:val="0E2D1AB8"/>
    <w:rsid w:val="0F3D4F85"/>
    <w:rsid w:val="103A226A"/>
    <w:rsid w:val="10685818"/>
    <w:rsid w:val="10F3418C"/>
    <w:rsid w:val="11B678B4"/>
    <w:rsid w:val="11D5049D"/>
    <w:rsid w:val="129B6BD2"/>
    <w:rsid w:val="13B96A23"/>
    <w:rsid w:val="140C1C3D"/>
    <w:rsid w:val="143F1473"/>
    <w:rsid w:val="1525173B"/>
    <w:rsid w:val="15D54F0F"/>
    <w:rsid w:val="15EA037C"/>
    <w:rsid w:val="15F227BF"/>
    <w:rsid w:val="169B199F"/>
    <w:rsid w:val="16FC296F"/>
    <w:rsid w:val="17680005"/>
    <w:rsid w:val="17E4768B"/>
    <w:rsid w:val="1A6525DA"/>
    <w:rsid w:val="1BC81072"/>
    <w:rsid w:val="1C070F84"/>
    <w:rsid w:val="1C731F4F"/>
    <w:rsid w:val="1C9A4961"/>
    <w:rsid w:val="1D79182C"/>
    <w:rsid w:val="1E927BD8"/>
    <w:rsid w:val="1ED31961"/>
    <w:rsid w:val="1F88116D"/>
    <w:rsid w:val="1FB93260"/>
    <w:rsid w:val="1FDA1374"/>
    <w:rsid w:val="20907EA6"/>
    <w:rsid w:val="20A22214"/>
    <w:rsid w:val="20E25009"/>
    <w:rsid w:val="21334E2C"/>
    <w:rsid w:val="21582E98"/>
    <w:rsid w:val="228237AB"/>
    <w:rsid w:val="228800B0"/>
    <w:rsid w:val="24A61FC9"/>
    <w:rsid w:val="255512CE"/>
    <w:rsid w:val="25633963"/>
    <w:rsid w:val="25861D82"/>
    <w:rsid w:val="264F6618"/>
    <w:rsid w:val="26834513"/>
    <w:rsid w:val="26D66D39"/>
    <w:rsid w:val="278E3170"/>
    <w:rsid w:val="27C532C5"/>
    <w:rsid w:val="27D92D9A"/>
    <w:rsid w:val="28072F22"/>
    <w:rsid w:val="28C06FFB"/>
    <w:rsid w:val="28DB23E5"/>
    <w:rsid w:val="299A3FD4"/>
    <w:rsid w:val="2A9071FF"/>
    <w:rsid w:val="2B5610D3"/>
    <w:rsid w:val="2CCA5A8E"/>
    <w:rsid w:val="2DF42F74"/>
    <w:rsid w:val="2EBB7CB7"/>
    <w:rsid w:val="2EF95D81"/>
    <w:rsid w:val="30890978"/>
    <w:rsid w:val="313E79B5"/>
    <w:rsid w:val="33295B05"/>
    <w:rsid w:val="334E2D46"/>
    <w:rsid w:val="33E34843"/>
    <w:rsid w:val="34963EC9"/>
    <w:rsid w:val="34C66A60"/>
    <w:rsid w:val="34E10BDF"/>
    <w:rsid w:val="359B2D59"/>
    <w:rsid w:val="36194AE2"/>
    <w:rsid w:val="386121DB"/>
    <w:rsid w:val="38635F53"/>
    <w:rsid w:val="39134623"/>
    <w:rsid w:val="392456E2"/>
    <w:rsid w:val="3A077BC4"/>
    <w:rsid w:val="3CE76720"/>
    <w:rsid w:val="3D0A2AF8"/>
    <w:rsid w:val="3D2757A1"/>
    <w:rsid w:val="40995972"/>
    <w:rsid w:val="414F2158"/>
    <w:rsid w:val="41B80F8D"/>
    <w:rsid w:val="428021DA"/>
    <w:rsid w:val="444F5D65"/>
    <w:rsid w:val="45C1250B"/>
    <w:rsid w:val="466A448B"/>
    <w:rsid w:val="467B6B5D"/>
    <w:rsid w:val="46BE1B52"/>
    <w:rsid w:val="46C93D6D"/>
    <w:rsid w:val="47094169"/>
    <w:rsid w:val="474A76D3"/>
    <w:rsid w:val="476D770A"/>
    <w:rsid w:val="4834524E"/>
    <w:rsid w:val="487E46E3"/>
    <w:rsid w:val="49AE196A"/>
    <w:rsid w:val="49AF0FF8"/>
    <w:rsid w:val="4B06733D"/>
    <w:rsid w:val="4B075B9E"/>
    <w:rsid w:val="4B50380E"/>
    <w:rsid w:val="4BBA0128"/>
    <w:rsid w:val="4C386511"/>
    <w:rsid w:val="4D04165B"/>
    <w:rsid w:val="4D963A09"/>
    <w:rsid w:val="4EEF633A"/>
    <w:rsid w:val="4F32562E"/>
    <w:rsid w:val="4F561F16"/>
    <w:rsid w:val="50267B3A"/>
    <w:rsid w:val="50835AD3"/>
    <w:rsid w:val="516245AF"/>
    <w:rsid w:val="52607653"/>
    <w:rsid w:val="52905E80"/>
    <w:rsid w:val="52A8137B"/>
    <w:rsid w:val="53E449C8"/>
    <w:rsid w:val="53EE7108"/>
    <w:rsid w:val="55E2402F"/>
    <w:rsid w:val="563D0AF0"/>
    <w:rsid w:val="56A6609A"/>
    <w:rsid w:val="570B4999"/>
    <w:rsid w:val="57675AD8"/>
    <w:rsid w:val="58F403BA"/>
    <w:rsid w:val="59C3464B"/>
    <w:rsid w:val="5B296730"/>
    <w:rsid w:val="5BB0591E"/>
    <w:rsid w:val="5CC9754A"/>
    <w:rsid w:val="5E391380"/>
    <w:rsid w:val="5E404D38"/>
    <w:rsid w:val="5E457D25"/>
    <w:rsid w:val="5F7153C9"/>
    <w:rsid w:val="610C68D8"/>
    <w:rsid w:val="647E7AED"/>
    <w:rsid w:val="65DF6369"/>
    <w:rsid w:val="66320B8F"/>
    <w:rsid w:val="665A728A"/>
    <w:rsid w:val="66C1029A"/>
    <w:rsid w:val="67DA328C"/>
    <w:rsid w:val="67FD59F4"/>
    <w:rsid w:val="68016A6B"/>
    <w:rsid w:val="68AB01A6"/>
    <w:rsid w:val="68D75A1D"/>
    <w:rsid w:val="6A9736B6"/>
    <w:rsid w:val="6B3D24B0"/>
    <w:rsid w:val="6C6873A4"/>
    <w:rsid w:val="6CD87B8F"/>
    <w:rsid w:val="6CDA23A7"/>
    <w:rsid w:val="6CFE0EA3"/>
    <w:rsid w:val="6D0D7C60"/>
    <w:rsid w:val="6D1335E3"/>
    <w:rsid w:val="6D924BC3"/>
    <w:rsid w:val="6D9B170F"/>
    <w:rsid w:val="6DBD3434"/>
    <w:rsid w:val="6F1F1ECC"/>
    <w:rsid w:val="6F6F2292"/>
    <w:rsid w:val="6F7239D3"/>
    <w:rsid w:val="6F8166E3"/>
    <w:rsid w:val="700F333B"/>
    <w:rsid w:val="711A1C31"/>
    <w:rsid w:val="720C5504"/>
    <w:rsid w:val="73B947CB"/>
    <w:rsid w:val="74EE481B"/>
    <w:rsid w:val="74F811F5"/>
    <w:rsid w:val="750165CC"/>
    <w:rsid w:val="750E3549"/>
    <w:rsid w:val="77366005"/>
    <w:rsid w:val="77C64F5B"/>
    <w:rsid w:val="78BC222D"/>
    <w:rsid w:val="78E16984"/>
    <w:rsid w:val="78FC4B91"/>
    <w:rsid w:val="79920A46"/>
    <w:rsid w:val="7A4F1934"/>
    <w:rsid w:val="7B6A4FD6"/>
    <w:rsid w:val="7D1C6FEF"/>
    <w:rsid w:val="7D376633"/>
    <w:rsid w:val="7D595E89"/>
    <w:rsid w:val="7D640FC9"/>
    <w:rsid w:val="7DB3459D"/>
    <w:rsid w:val="7DBD2FDC"/>
    <w:rsid w:val="7E891110"/>
    <w:rsid w:val="7F2C0419"/>
    <w:rsid w:val="7FBA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3">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7">
    <w:name w:val="annotation text"/>
    <w:basedOn w:val="1"/>
    <w:link w:val="30"/>
    <w:qFormat/>
    <w:uiPriority w:val="0"/>
    <w:pPr>
      <w:adjustRightInd w:val="0"/>
      <w:spacing w:line="360" w:lineRule="atLeast"/>
      <w:jc w:val="left"/>
    </w:pPr>
    <w:rPr>
      <w:kern w:val="0"/>
      <w:sz w:val="24"/>
      <w:szCs w:val="20"/>
    </w:rPr>
  </w:style>
  <w:style w:type="paragraph" w:styleId="8">
    <w:name w:val="Body Text"/>
    <w:basedOn w:val="1"/>
    <w:next w:val="9"/>
    <w:qFormat/>
    <w:uiPriority w:val="0"/>
    <w:pPr>
      <w:spacing w:after="120"/>
    </w:pPr>
  </w:style>
  <w:style w:type="paragraph" w:styleId="9">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0">
    <w:name w:val="Body Text Indent"/>
    <w:basedOn w:val="1"/>
    <w:next w:val="11"/>
    <w:link w:val="26"/>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39"/>
    <w:pPr>
      <w:ind w:left="420"/>
      <w:jc w:val="left"/>
    </w:pPr>
    <w:rPr>
      <w:rFonts w:ascii="Calibri" w:hAnsi="Calibri" w:cs="Calibri"/>
      <w:i/>
      <w:iCs/>
      <w:sz w:val="20"/>
      <w:szCs w:val="20"/>
    </w:rPr>
  </w:style>
  <w:style w:type="paragraph" w:styleId="13">
    <w:name w:val="Balloon Text"/>
    <w:basedOn w:val="1"/>
    <w:link w:val="32"/>
    <w:qFormat/>
    <w:uiPriority w:val="0"/>
    <w:rPr>
      <w:sz w:val="18"/>
      <w:szCs w:val="18"/>
    </w:rPr>
  </w:style>
  <w:style w:type="paragraph" w:styleId="14">
    <w:name w:val="footer"/>
    <w:basedOn w:val="1"/>
    <w:link w:val="35"/>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toc 2"/>
    <w:basedOn w:val="1"/>
    <w:next w:val="1"/>
    <w:qFormat/>
    <w:uiPriority w:val="39"/>
    <w:pPr>
      <w:ind w:left="210"/>
      <w:jc w:val="left"/>
    </w:pPr>
    <w:rPr>
      <w:rFonts w:ascii="Calibri" w:hAnsi="Calibri" w:cs="Calibri"/>
      <w:smallCaps/>
      <w:sz w:val="20"/>
      <w:szCs w:val="20"/>
    </w:rPr>
  </w:style>
  <w:style w:type="paragraph" w:styleId="18">
    <w:name w:val="Normal (Web)"/>
    <w:basedOn w:val="1"/>
    <w:qFormat/>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paragraph" w:styleId="19">
    <w:name w:val="annotation subject"/>
    <w:basedOn w:val="7"/>
    <w:next w:val="7"/>
    <w:link w:val="33"/>
    <w:qFormat/>
    <w:uiPriority w:val="0"/>
    <w:pPr>
      <w:adjustRightInd/>
      <w:spacing w:line="240" w:lineRule="auto"/>
    </w:pPr>
    <w:rPr>
      <w:b/>
      <w:bCs/>
      <w:kern w:val="2"/>
      <w:sz w:val="21"/>
      <w:szCs w:val="24"/>
    </w:rPr>
  </w:style>
  <w:style w:type="paragraph" w:styleId="20">
    <w:name w:val="Body Text First Indent 2"/>
    <w:basedOn w:val="10"/>
    <w:next w:val="1"/>
    <w:link w:val="27"/>
    <w:qFormat/>
    <w:uiPriority w:val="0"/>
    <w:pPr>
      <w:ind w:firstLine="420" w:firstLineChars="20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qFormat/>
    <w:uiPriority w:val="0"/>
  </w:style>
  <w:style w:type="character" w:styleId="25">
    <w:name w:val="annotation reference"/>
    <w:basedOn w:val="23"/>
    <w:qFormat/>
    <w:uiPriority w:val="0"/>
    <w:rPr>
      <w:sz w:val="21"/>
      <w:szCs w:val="21"/>
    </w:rPr>
  </w:style>
  <w:style w:type="character" w:customStyle="1" w:styleId="26">
    <w:name w:val="正文文本缩进 字符"/>
    <w:basedOn w:val="23"/>
    <w:link w:val="10"/>
    <w:qFormat/>
    <w:uiPriority w:val="0"/>
    <w:rPr>
      <w:rFonts w:ascii="Times New Roman" w:hAnsi="Times New Roman" w:eastAsia="宋体" w:cs="Times New Roman"/>
      <w:kern w:val="2"/>
      <w:sz w:val="21"/>
      <w:szCs w:val="24"/>
    </w:rPr>
  </w:style>
  <w:style w:type="character" w:customStyle="1" w:styleId="27">
    <w:name w:val="正文首行缩进 2 字符"/>
    <w:basedOn w:val="26"/>
    <w:link w:val="20"/>
    <w:qFormat/>
    <w:uiPriority w:val="0"/>
    <w:rPr>
      <w:rFonts w:ascii="Times New Roman" w:hAnsi="Times New Roman" w:eastAsia="宋体" w:cs="Times New Roman"/>
      <w:kern w:val="2"/>
      <w:sz w:val="21"/>
      <w:szCs w:val="24"/>
    </w:rPr>
  </w:style>
  <w:style w:type="paragraph" w:customStyle="1" w:styleId="28">
    <w:name w:val="首行缩进"/>
    <w:basedOn w:val="1"/>
    <w:qFormat/>
    <w:uiPriority w:val="0"/>
    <w:pPr>
      <w:spacing w:line="360" w:lineRule="auto"/>
      <w:ind w:left="210" w:leftChars="100" w:firstLine="420" w:firstLineChars="200"/>
    </w:pPr>
    <w:rPr>
      <w:rFonts w:ascii="宋体" w:hAnsi="宋体"/>
    </w:rPr>
  </w:style>
  <w:style w:type="paragraph" w:styleId="29">
    <w:name w:val="List Paragraph"/>
    <w:basedOn w:val="1"/>
    <w:unhideWhenUsed/>
    <w:qFormat/>
    <w:uiPriority w:val="99"/>
    <w:pPr>
      <w:ind w:firstLine="420" w:firstLineChars="200"/>
    </w:pPr>
  </w:style>
  <w:style w:type="character" w:customStyle="1" w:styleId="30">
    <w:name w:val="批注文字 字符"/>
    <w:basedOn w:val="23"/>
    <w:link w:val="7"/>
    <w:qFormat/>
    <w:uiPriority w:val="0"/>
    <w:rPr>
      <w:sz w:val="24"/>
    </w:rPr>
  </w:style>
  <w:style w:type="paragraph" w:customStyle="1" w:styleId="31">
    <w:name w:val="Table Paragraph"/>
    <w:basedOn w:val="1"/>
    <w:qFormat/>
    <w:uiPriority w:val="0"/>
    <w:rPr>
      <w:rFonts w:hint="eastAsia" w:ascii="宋体" w:hAnsi="宋体"/>
    </w:rPr>
  </w:style>
  <w:style w:type="character" w:customStyle="1" w:styleId="32">
    <w:name w:val="批注框文本 字符"/>
    <w:basedOn w:val="23"/>
    <w:link w:val="13"/>
    <w:qFormat/>
    <w:uiPriority w:val="0"/>
    <w:rPr>
      <w:kern w:val="2"/>
      <w:sz w:val="18"/>
      <w:szCs w:val="18"/>
    </w:rPr>
  </w:style>
  <w:style w:type="character" w:customStyle="1" w:styleId="33">
    <w:name w:val="批注主题 字符"/>
    <w:basedOn w:val="30"/>
    <w:link w:val="19"/>
    <w:qFormat/>
    <w:uiPriority w:val="0"/>
    <w:rPr>
      <w:b/>
      <w:bCs/>
      <w:kern w:val="2"/>
      <w:sz w:val="21"/>
      <w:szCs w:val="24"/>
    </w:rPr>
  </w:style>
  <w:style w:type="character" w:customStyle="1" w:styleId="34">
    <w:name w:val="页眉 字符"/>
    <w:basedOn w:val="23"/>
    <w:link w:val="15"/>
    <w:qFormat/>
    <w:uiPriority w:val="0"/>
    <w:rPr>
      <w:kern w:val="2"/>
      <w:sz w:val="18"/>
      <w:szCs w:val="18"/>
    </w:rPr>
  </w:style>
  <w:style w:type="character" w:customStyle="1" w:styleId="35">
    <w:name w:val="页脚 字符"/>
    <w:basedOn w:val="23"/>
    <w:link w:val="14"/>
    <w:qFormat/>
    <w:uiPriority w:val="0"/>
    <w:rPr>
      <w:kern w:val="2"/>
      <w:sz w:val="18"/>
      <w:szCs w:val="18"/>
    </w:rPr>
  </w:style>
  <w:style w:type="paragraph" w:customStyle="1" w:styleId="36">
    <w:name w:val="Char Char Char Char Char Char Char1 Char"/>
    <w:basedOn w:val="1"/>
    <w:qFormat/>
    <w:uiPriority w:val="0"/>
    <w:rPr>
      <w:rFonts w:ascii="Tahoma" w:hAnsi="Tahoma"/>
      <w:sz w:val="24"/>
      <w:szCs w:val="20"/>
    </w:rPr>
  </w:style>
  <w:style w:type="paragraph" w:customStyle="1" w:styleId="37">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1"/>
    <w:basedOn w:val="1"/>
    <w:next w:val="3"/>
    <w:qFormat/>
    <w:uiPriority w:val="0"/>
    <w:pPr>
      <w:spacing w:line="360" w:lineRule="auto"/>
      <w:ind w:firstLine="420" w:firstLineChars="200"/>
    </w:pPr>
    <w:rPr>
      <w:rFonts w:ascii="宋体" w:hAnsi="宋体"/>
      <w:szCs w:val="21"/>
    </w:rPr>
  </w:style>
  <w:style w:type="paragraph" w:customStyle="1" w:styleId="41">
    <w:name w:val="D&amp;L"/>
    <w:basedOn w:val="15"/>
    <w:qFormat/>
    <w:uiPriority w:val="99"/>
    <w:pPr>
      <w:pBdr>
        <w:bottom w:val="thinThickSmallGap" w:color="auto" w:sz="18" w:space="1"/>
      </w:pBdr>
      <w:adjustRightInd w:val="0"/>
      <w:snapToGrid/>
      <w:spacing w:line="240" w:lineRule="atLeast"/>
      <w:textAlignment w:val="baseline"/>
    </w:pPr>
    <w:rPr>
      <w:kern w:val="0"/>
      <w:sz w:val="24"/>
    </w:rPr>
  </w:style>
  <w:style w:type="table" w:customStyle="1" w:styleId="42">
    <w:name w:val="Table Normal"/>
    <w:unhideWhenUsed/>
    <w:qFormat/>
    <w:uiPriority w:val="0"/>
    <w:tblPr>
      <w:tblCellMar>
        <w:top w:w="0" w:type="dxa"/>
        <w:left w:w="0" w:type="dxa"/>
        <w:bottom w:w="0" w:type="dxa"/>
        <w:right w:w="0" w:type="dxa"/>
      </w:tblCellMar>
    </w:tblPr>
  </w:style>
  <w:style w:type="character" w:customStyle="1" w:styleId="43">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Pages>
  <Words>2194</Words>
  <Characters>2236</Characters>
  <Lines>34</Lines>
  <Paragraphs>9</Paragraphs>
  <TotalTime>0</TotalTime>
  <ScaleCrop>false</ScaleCrop>
  <LinksUpToDate>false</LinksUpToDate>
  <CharactersWithSpaces>2269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2023-03-09T02:28:00Z</dcterms:created>
  <dc:creator>Administrator</dc:creator>
  <cp:lastModifiedBy>Administrator</cp:lastModifiedBy>
  <cp:lastPrinted>2023-11-15T03:15:00Z</cp:lastPrinted>
  <dcterms:modified xsi:type="dcterms:W3CDTF">2023-11-29T01:48:31Z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CD45DD8111FD47548A6A411B85BFEFB8_13</vt:lpwstr>
  </property>
</Properties>
</file>