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val="en-US" w:eastAsia="zh-CN"/>
        </w:rPr>
        <w:t>安徽省原省委办公楼项目产业定位概念性方案及概念设计编制</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项目编号：2024GW000</w:t>
      </w:r>
      <w:r>
        <w:rPr>
          <w:rFonts w:hint="eastAsia" w:hAnsi="DotumChe" w:cs="宋体"/>
          <w:b/>
          <w:spacing w:val="20"/>
          <w:sz w:val="32"/>
          <w:szCs w:val="32"/>
          <w:lang w:val="en-US" w:eastAsia="zh-CN"/>
        </w:rPr>
        <w:t>3</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合肥庐阳文化旅游发展集团有限公司</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招标时间：</w:t>
      </w:r>
      <w:r>
        <w:rPr>
          <w:rFonts w:hint="eastAsia" w:hAnsi="DotumChe" w:cs="宋体"/>
          <w:b/>
          <w:spacing w:val="20"/>
          <w:sz w:val="32"/>
          <w:szCs w:val="32"/>
          <w:lang w:val="en-US" w:eastAsia="zh-CN"/>
        </w:rPr>
        <w:t>2024年1月</w:t>
      </w:r>
    </w:p>
    <w:p>
      <w:pPr>
        <w:spacing w:after="468" w:afterLines="150" w:line="540" w:lineRule="exact"/>
        <w:jc w:val="center"/>
        <w:rPr>
          <w:rFonts w:hAnsi="宋体"/>
          <w:b/>
          <w:sz w:val="52"/>
          <w:szCs w:val="52"/>
        </w:rPr>
      </w:pPr>
    </w:p>
    <w:p>
      <w:pPr>
        <w:pStyle w:val="12"/>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7"/>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7"/>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7"/>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7"/>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7"/>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29</w:t>
      </w:r>
      <w:r>
        <w:fldChar w:fldCharType="end"/>
      </w:r>
      <w:r>
        <w:fldChar w:fldCharType="end"/>
      </w:r>
    </w:p>
    <w:p>
      <w:pPr>
        <w:pStyle w:val="17"/>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34</w:t>
      </w:r>
      <w:r>
        <w:fldChar w:fldCharType="end"/>
      </w:r>
      <w:r>
        <w:fldChar w:fldCharType="end"/>
      </w:r>
    </w:p>
    <w:p>
      <w:pPr>
        <w:pStyle w:val="17"/>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35</w:t>
      </w:r>
      <w:r>
        <w:fldChar w:fldCharType="end"/>
      </w:r>
      <w:r>
        <w:fldChar w:fldCharType="end"/>
      </w:r>
    </w:p>
    <w:p>
      <w:pPr>
        <w:pStyle w:val="18"/>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35</w:t>
      </w:r>
      <w:r>
        <w:fldChar w:fldCharType="end"/>
      </w:r>
      <w:r>
        <w:fldChar w:fldCharType="end"/>
      </w:r>
    </w:p>
    <w:p>
      <w:pPr>
        <w:pStyle w:val="18"/>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36</w:t>
      </w:r>
      <w:r>
        <w:fldChar w:fldCharType="end"/>
      </w:r>
      <w:r>
        <w:fldChar w:fldCharType="end"/>
      </w:r>
    </w:p>
    <w:p>
      <w:pPr>
        <w:pStyle w:val="18"/>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37</w:t>
      </w:r>
      <w:r>
        <w:fldChar w:fldCharType="end"/>
      </w:r>
      <w:r>
        <w:fldChar w:fldCharType="end"/>
      </w:r>
    </w:p>
    <w:p>
      <w:pPr>
        <w:pStyle w:val="18"/>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38</w:t>
      </w:r>
      <w:r>
        <w:fldChar w:fldCharType="end"/>
      </w:r>
      <w:r>
        <w:fldChar w:fldCharType="end"/>
      </w:r>
    </w:p>
    <w:p>
      <w:pPr>
        <w:pStyle w:val="18"/>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39</w:t>
      </w:r>
      <w:r>
        <w:fldChar w:fldCharType="end"/>
      </w:r>
      <w:r>
        <w:fldChar w:fldCharType="end"/>
      </w:r>
    </w:p>
    <w:p>
      <w:pPr>
        <w:pStyle w:val="18"/>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43</w:t>
      </w:r>
      <w:r>
        <w:fldChar w:fldCharType="end"/>
      </w:r>
      <w:r>
        <w:fldChar w:fldCharType="end"/>
      </w:r>
    </w:p>
    <w:p>
      <w:pPr>
        <w:pStyle w:val="18"/>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44</w:t>
      </w:r>
      <w:r>
        <w:fldChar w:fldCharType="end"/>
      </w:r>
      <w:r>
        <w:fldChar w:fldCharType="end"/>
      </w:r>
    </w:p>
    <w:p>
      <w:pPr>
        <w:pStyle w:val="18"/>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45</w:t>
      </w:r>
      <w:r>
        <w:fldChar w:fldCharType="end"/>
      </w:r>
      <w:r>
        <w:fldChar w:fldCharType="end"/>
      </w:r>
    </w:p>
    <w:p>
      <w:pPr>
        <w:pStyle w:val="18"/>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46</w:t>
      </w:r>
      <w:r>
        <w:fldChar w:fldCharType="end"/>
      </w:r>
      <w:r>
        <w:fldChar w:fldCharType="end"/>
      </w:r>
    </w:p>
    <w:p>
      <w:pPr>
        <w:pStyle w:val="18"/>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47</w:t>
      </w:r>
      <w:r>
        <w:fldChar w:fldCharType="end"/>
      </w:r>
      <w:r>
        <w:fldChar w:fldCharType="end"/>
      </w:r>
    </w:p>
    <w:p>
      <w:pPr>
        <w:pStyle w:val="18"/>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47</w:t>
      </w:r>
      <w:r>
        <w:fldChar w:fldCharType="end"/>
      </w:r>
      <w:r>
        <w:fldChar w:fldCharType="end"/>
      </w:r>
    </w:p>
    <w:p>
      <w:pPr>
        <w:spacing w:line="360" w:lineRule="auto"/>
        <w:ind w:firstLine="435"/>
        <w:jc w:val="center"/>
      </w:pPr>
      <w:r>
        <w:rPr>
          <w:rFonts w:eastAsia="黑体"/>
          <w:szCs w:val="24"/>
        </w:rPr>
        <w:fldChar w:fldCharType="end"/>
      </w:r>
    </w:p>
    <w:p>
      <w:pPr>
        <w:pStyle w:val="2"/>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6"/>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安徽省原省委办公楼项目产业定位概念性方案及概念设计编制</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合肥庐阳文化旅游发展集团有限公司</w:t>
      </w:r>
      <w:r>
        <w:rPr>
          <w:rFonts w:hint="eastAsia" w:ascii="宋体" w:hAnsi="宋体" w:eastAsia="宋体"/>
          <w:kern w:val="2"/>
          <w:u w:val="single"/>
        </w:rPr>
        <w:t xml:space="preserve">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 xml:space="preserve">1.项目编号：2024GW0003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安徽省原省委办公楼项目产业定位概念性方案及概念设计编制</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ascii="宋体" w:hAnsi="宋体" w:eastAsia="宋体" w:cs="宋体"/>
          <w:color w:val="auto"/>
          <w:sz w:val="24"/>
          <w:szCs w:val="24"/>
          <w:highlight w:val="none"/>
        </w:rPr>
        <w:t>庐阳区，具体地点以业主指定为准</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合肥庐阳文化旅游发展集团有限公司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5.项目概况：安徽省原省委办公</w:t>
      </w:r>
      <w:r>
        <w:rPr>
          <w:rFonts w:hint="eastAsia" w:hAnsi="宋体"/>
          <w:szCs w:val="24"/>
          <w:lang w:val="en-US" w:eastAsia="zh-CN"/>
        </w:rPr>
        <w:t>区</w:t>
      </w:r>
      <w:r>
        <w:rPr>
          <w:rFonts w:hint="eastAsia" w:hAnsi="宋体"/>
          <w:szCs w:val="24"/>
        </w:rPr>
        <w:t>位于庐阳区红星路1号，</w:t>
      </w:r>
      <w:r>
        <w:rPr>
          <w:rFonts w:hint="eastAsia" w:hAnsi="宋体"/>
          <w:szCs w:val="24"/>
          <w:lang w:val="en-US" w:eastAsia="zh-CN"/>
        </w:rPr>
        <w:t>占地</w:t>
      </w:r>
      <w:r>
        <w:rPr>
          <w:rFonts w:hint="eastAsia" w:hAnsi="宋体"/>
          <w:szCs w:val="24"/>
        </w:rPr>
        <w:t>面积</w:t>
      </w:r>
      <w:r>
        <w:rPr>
          <w:rFonts w:hint="eastAsia" w:hAnsi="宋体"/>
          <w:szCs w:val="24"/>
          <w:lang w:val="en-US" w:eastAsia="zh-CN"/>
        </w:rPr>
        <w:t>约</w:t>
      </w:r>
      <w:r>
        <w:rPr>
          <w:rFonts w:hint="eastAsia" w:hAnsi="宋体"/>
          <w:szCs w:val="24"/>
        </w:rPr>
        <w:t xml:space="preserve">为6万平方米，招引培育视觉展演、动漫、艺术设计等业态，意向打造为安徽视觉艺术中心。为进一步做好项目业态发展规划，推动项目深化定位及设计，计划开展安徽省原省委办公楼项目的产业定位概念性方案及概念设计方案的编制工作。（以上面积数据仅供参考，具体方案编制范围以实际测量为准）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szCs w:val="24"/>
          <w:lang w:val="en-US" w:eastAsia="zh-CN"/>
        </w:rPr>
        <w:t>28.9</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ascii="宋体" w:hAnsi="宋体" w:eastAsia="宋体" w:cs="Times New Roman"/>
          <w:szCs w:val="24"/>
          <w:lang w:val="en-US" w:eastAsia="zh-CN"/>
        </w:rPr>
      </w:pPr>
      <w:r>
        <w:rPr>
          <w:rFonts w:hint="eastAsia" w:hAnsi="宋体"/>
          <w:szCs w:val="24"/>
        </w:rPr>
        <w:t>2.具有独立承担民事责任的能力，不具有独立法人的分支机构投标另须提供相应授权文件</w:t>
      </w:r>
      <w:r>
        <w:rPr>
          <w:rFonts w:hint="eastAsia" w:ascii="宋体" w:hAnsi="宋体" w:eastAsia="宋体" w:cs="Times New Roman"/>
          <w:szCs w:val="24"/>
          <w:lang w:val="en-US" w:eastAsia="zh-CN"/>
        </w:rPr>
        <w:t>；</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3</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default" w:hAnsi="宋体"/>
          <w:bCs/>
          <w:color w:val="auto"/>
          <w:szCs w:val="24"/>
          <w:highlight w:val="yellow"/>
          <w:lang w:val="en-US"/>
        </w:rPr>
      </w:pPr>
      <w:r>
        <w:rPr>
          <w:rFonts w:hint="eastAsia" w:hAnsi="宋体"/>
          <w:bCs/>
          <w:color w:val="000000"/>
          <w:szCs w:val="24"/>
        </w:rPr>
        <w:t>1.获取时间：</w:t>
      </w: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1</w:t>
      </w:r>
      <w:r>
        <w:rPr>
          <w:rFonts w:hint="eastAsia" w:hAnsi="宋体"/>
          <w:bCs/>
          <w:color w:val="auto"/>
          <w:szCs w:val="24"/>
        </w:rPr>
        <w:t>月</w:t>
      </w:r>
      <w:r>
        <w:rPr>
          <w:rFonts w:hint="eastAsia" w:hAnsi="宋体"/>
          <w:bCs/>
          <w:color w:val="auto"/>
          <w:szCs w:val="24"/>
          <w:lang w:val="en-US" w:eastAsia="zh-CN"/>
        </w:rPr>
        <w:t>22</w:t>
      </w:r>
      <w:r>
        <w:rPr>
          <w:rFonts w:hint="eastAsia" w:hAnsi="宋体"/>
          <w:bCs/>
          <w:color w:val="auto"/>
          <w:szCs w:val="24"/>
        </w:rPr>
        <w:t>日</w:t>
      </w:r>
      <w:r>
        <w:rPr>
          <w:rFonts w:hint="eastAsia" w:hAnsi="宋体"/>
          <w:bCs/>
          <w:color w:val="auto"/>
          <w:szCs w:val="24"/>
          <w:lang w:val="en-US" w:eastAsia="zh-CN"/>
        </w:rPr>
        <w:t xml:space="preserve"> 15</w:t>
      </w:r>
      <w:r>
        <w:rPr>
          <w:rFonts w:hint="eastAsia" w:hAnsi="宋体"/>
          <w:bCs/>
          <w:color w:val="auto"/>
          <w:szCs w:val="24"/>
        </w:rPr>
        <w:t>:</w:t>
      </w:r>
      <w:r>
        <w:rPr>
          <w:rFonts w:hint="eastAsia" w:hAnsi="宋体"/>
          <w:bCs/>
          <w:color w:val="auto"/>
          <w:szCs w:val="24"/>
          <w:lang w:val="en-US" w:eastAsia="zh-CN"/>
        </w:rPr>
        <w:t>00</w:t>
      </w:r>
      <w:r>
        <w:rPr>
          <w:rFonts w:hint="eastAsia" w:hAnsi="宋体"/>
          <w:bCs/>
          <w:color w:val="auto"/>
          <w:szCs w:val="24"/>
        </w:rPr>
        <w:t>至202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2</w:t>
      </w:r>
      <w:r>
        <w:rPr>
          <w:rFonts w:hint="eastAsia" w:hAnsi="宋体"/>
          <w:bCs/>
          <w:color w:val="auto"/>
          <w:szCs w:val="24"/>
        </w:rPr>
        <w:t>月</w:t>
      </w:r>
      <w:r>
        <w:rPr>
          <w:rFonts w:hint="eastAsia" w:hAnsi="宋体"/>
          <w:bCs/>
          <w:color w:val="auto"/>
          <w:szCs w:val="24"/>
          <w:lang w:val="en-US" w:eastAsia="zh-CN"/>
        </w:rPr>
        <w:t>1</w:t>
      </w:r>
      <w:r>
        <w:rPr>
          <w:rFonts w:hint="eastAsia" w:hAnsi="宋体"/>
          <w:bCs/>
          <w:color w:val="auto"/>
          <w:szCs w:val="24"/>
        </w:rPr>
        <w:t>日</w:t>
      </w:r>
      <w:r>
        <w:rPr>
          <w:rFonts w:hint="eastAsia" w:hAnsi="宋体"/>
          <w:bCs/>
          <w:color w:val="auto"/>
          <w:szCs w:val="24"/>
          <w:lang w:val="en-US" w:eastAsia="zh-CN"/>
        </w:rPr>
        <w:t>15</w:t>
      </w:r>
      <w:r>
        <w:rPr>
          <w:rFonts w:hint="eastAsia" w:hAnsi="宋体"/>
          <w:bCs/>
          <w:color w:val="auto"/>
          <w:szCs w:val="24"/>
        </w:rPr>
        <w:t>:</w:t>
      </w:r>
      <w:r>
        <w:rPr>
          <w:rFonts w:hint="eastAsia" w:hAnsi="宋体"/>
          <w:bCs/>
          <w:color w:val="auto"/>
          <w:szCs w:val="24"/>
          <w:lang w:val="en-US" w:eastAsia="zh-CN"/>
        </w:rPr>
        <w:t>00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2</w:t>
      </w:r>
      <w:r>
        <w:rPr>
          <w:rFonts w:hint="eastAsia" w:hAnsi="宋体"/>
          <w:bCs/>
          <w:color w:val="auto"/>
          <w:szCs w:val="24"/>
        </w:rPr>
        <w:t>月</w:t>
      </w:r>
      <w:r>
        <w:rPr>
          <w:rFonts w:hint="eastAsia" w:hAnsi="宋体"/>
          <w:bCs/>
          <w:color w:val="auto"/>
          <w:szCs w:val="24"/>
          <w:lang w:val="en-US" w:eastAsia="zh-CN"/>
        </w:rPr>
        <w:t>1</w:t>
      </w:r>
      <w:r>
        <w:rPr>
          <w:rFonts w:hint="eastAsia" w:hAnsi="宋体"/>
          <w:bCs/>
          <w:color w:val="auto"/>
          <w:szCs w:val="24"/>
        </w:rPr>
        <w:t>日</w:t>
      </w:r>
      <w:r>
        <w:rPr>
          <w:rFonts w:hint="eastAsia" w:hAnsi="宋体"/>
          <w:bCs/>
          <w:color w:val="auto"/>
          <w:szCs w:val="24"/>
          <w:lang w:val="en-US" w:eastAsia="zh-CN"/>
        </w:rPr>
        <w:t>15</w:t>
      </w:r>
      <w:r>
        <w:rPr>
          <w:rFonts w:hint="eastAsia" w:hAnsi="宋体"/>
          <w:bCs/>
          <w:color w:val="auto"/>
          <w:szCs w:val="24"/>
        </w:rPr>
        <w:t>:</w:t>
      </w:r>
      <w:r>
        <w:rPr>
          <w:rFonts w:hint="eastAsia" w:hAnsi="宋体"/>
          <w:bCs/>
          <w:color w:val="auto"/>
          <w:szCs w:val="24"/>
          <w:lang w:val="en-US" w:eastAsia="zh-CN"/>
        </w:rPr>
        <w:t xml:space="preserve">00 </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19"/>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19"/>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19"/>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19"/>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19"/>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合肥庐阳文化旅游发展集团有限公司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2"/>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lang w:val="en-US" w:eastAsia="zh-CN"/>
              </w:rPr>
              <w:t>合同签订之日起</w:t>
            </w:r>
            <w:r>
              <w:rPr>
                <w:rFonts w:hint="default" w:eastAsia="宋体"/>
                <w:lang w:val="en-US" w:eastAsia="zh-CN"/>
              </w:rPr>
              <w:t>4个工作周内完成项目成果初稿，初稿汇报后2个工作周完成项目终期报告。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19"/>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项目现场负责人：</w:t>
            </w:r>
            <w:r>
              <w:rPr>
                <w:rFonts w:hint="eastAsia" w:hAnsi="Times New Roman" w:cs="Times New Roman"/>
                <w:sz w:val="24"/>
                <w:szCs w:val="24"/>
                <w:lang w:val="en-US" w:eastAsia="zh-CN" w:bidi="ar-SA"/>
              </w:rPr>
              <w:t>袁工</w:t>
            </w:r>
            <w:r>
              <w:rPr>
                <w:rFonts w:hint="eastAsia" w:ascii="宋体" w:hAnsi="Times New Roman" w:eastAsia="宋体" w:cs="Times New Roman"/>
                <w:sz w:val="24"/>
                <w:szCs w:val="24"/>
                <w:lang w:val="en-US" w:eastAsia="zh-CN" w:bidi="ar-SA"/>
              </w:rPr>
              <w:t xml:space="preserve">  </w:t>
            </w:r>
            <w:r>
              <w:rPr>
                <w:rFonts w:hint="eastAsia" w:hAnsi="Times New Roman" w:cs="Times New Roman"/>
                <w:sz w:val="24"/>
                <w:szCs w:val="24"/>
                <w:lang w:val="en-US" w:eastAsia="zh-CN" w:bidi="ar-SA"/>
              </w:rPr>
              <w:t xml:space="preserve">   </w:t>
            </w:r>
            <w:r>
              <w:rPr>
                <w:rFonts w:hint="eastAsia" w:ascii="宋体" w:hAnsi="Times New Roman" w:eastAsia="宋体" w:cs="Times New Roman"/>
                <w:sz w:val="24"/>
                <w:szCs w:val="24"/>
                <w:lang w:val="en-US" w:eastAsia="zh-CN" w:bidi="ar-SA"/>
              </w:rPr>
              <w:t>联系方式：</w:t>
            </w:r>
            <w:r>
              <w:rPr>
                <w:rFonts w:hint="eastAsia" w:hAnsi="Times New Roman" w:cs="Times New Roman"/>
                <w:sz w:val="24"/>
                <w:szCs w:val="24"/>
                <w:lang w:val="en-US" w:eastAsia="zh-CN" w:bidi="ar-SA"/>
              </w:rPr>
              <w:t xml:space="preserve">17355189456 </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31</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w:t>
            </w:r>
            <w:r>
              <w:rPr>
                <w:rFonts w:hint="eastAsia" w:hAnsi="宋体"/>
                <w:szCs w:val="24"/>
                <w:lang w:val="en-US" w:eastAsia="zh-CN"/>
              </w:rPr>
              <w:t>28.9</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0"/>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rFonts w:hint="eastAsia"/>
                <w:b/>
                <w:bCs/>
                <w:u w:val="single"/>
                <w:lang w:val="en-US" w:eastAsia="zh-CN"/>
              </w:rPr>
            </w:pPr>
            <w:r>
              <w:rPr>
                <w:rFonts w:hint="eastAsia"/>
                <w:b/>
                <w:bCs/>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p>
          <w:p>
            <w:pPr>
              <w:numPr>
                <w:ilvl w:val="0"/>
                <w:numId w:val="2"/>
              </w:numPr>
              <w:snapToGrid w:val="0"/>
              <w:ind w:left="-84" w:leftChars="-35"/>
              <w:rPr>
                <w:rFonts w:hint="eastAsia"/>
                <w:b/>
                <w:bCs/>
                <w:lang w:val="en-US" w:eastAsia="zh-CN"/>
              </w:rPr>
            </w:pPr>
            <w:r>
              <w:rPr>
                <w:rFonts w:hint="eastAsia"/>
                <w:b/>
                <w:bCs/>
                <w:lang w:val="en-US" w:eastAsia="zh-CN"/>
              </w:rPr>
              <w:t>账户名称：合肥庐阳文化旅游发展集团有限公司</w:t>
            </w:r>
          </w:p>
          <w:p>
            <w:pPr>
              <w:snapToGrid w:val="0"/>
              <w:ind w:left="-84" w:leftChars="-35"/>
              <w:rPr>
                <w:rFonts w:hint="eastAsia"/>
                <w:b/>
                <w:bCs/>
                <w:lang w:val="en-US" w:eastAsia="zh-CN"/>
              </w:rPr>
            </w:pPr>
            <w:r>
              <w:rPr>
                <w:rFonts w:hint="eastAsia"/>
                <w:b/>
                <w:bCs/>
                <w:lang w:val="en-US" w:eastAsia="zh-CN"/>
              </w:rPr>
              <w:t>开户银行：徽商银行股份有限公司合肥合作化路支行</w:t>
            </w:r>
          </w:p>
          <w:p>
            <w:pPr>
              <w:snapToGrid w:val="0"/>
              <w:ind w:left="-84" w:leftChars="-35"/>
              <w:rPr>
                <w:rFonts w:hint="eastAsia"/>
                <w:b/>
                <w:bCs/>
                <w:lang w:val="en-US" w:eastAsia="zh-CN"/>
              </w:rPr>
            </w:pPr>
            <w:r>
              <w:rPr>
                <w:rFonts w:hint="eastAsia"/>
                <w:b/>
                <w:bCs/>
                <w:lang w:val="en-US" w:eastAsia="zh-CN"/>
              </w:rPr>
              <w:t>账号：1021001021000462320</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6"/>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6"/>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7"/>
        <w:adjustRightInd w:val="0"/>
        <w:snapToGrid w:val="0"/>
        <w:spacing w:line="400" w:lineRule="exact"/>
        <w:jc w:val="left"/>
        <w:rPr>
          <w:rFonts w:ascii="Times New Roman" w:hAnsi="Times New Roman"/>
          <w:bCs/>
          <w:snapToGrid w:val="0"/>
          <w:kern w:val="0"/>
          <w:szCs w:val="21"/>
        </w:rPr>
      </w:pPr>
      <w:bookmarkStart w:id="5" w:name="_Toc460226725"/>
      <w:bookmarkStart w:id="6" w:name="_Toc460660067"/>
      <w:bookmarkStart w:id="7" w:name="_Toc184635071"/>
      <w:bookmarkStart w:id="8" w:name="_Toc460226994"/>
    </w:p>
    <w:p>
      <w:pPr>
        <w:pStyle w:val="27"/>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2"/>
        <w:spacing w:line="500" w:lineRule="exact"/>
        <w:rPr>
          <w:rFonts w:eastAsia="宋体"/>
          <w:sz w:val="24"/>
          <w:szCs w:val="24"/>
        </w:rPr>
      </w:pPr>
      <w:bookmarkStart w:id="9" w:name="_Toc4981"/>
      <w:r>
        <w:rPr>
          <w:rFonts w:hint="eastAsia" w:eastAsia="宋体"/>
        </w:rPr>
        <w:t>投标人须知正文</w:t>
      </w:r>
      <w:bookmarkEnd w:id="9"/>
    </w:p>
    <w:p>
      <w:pPr>
        <w:pStyle w:val="6"/>
        <w:spacing w:line="500" w:lineRule="exact"/>
        <w:jc w:val="both"/>
        <w:rPr>
          <w:rFonts w:hAnsi="宋体"/>
          <w:sz w:val="28"/>
        </w:rPr>
      </w:pPr>
      <w:bookmarkStart w:id="10" w:name="_Hlt509650955"/>
      <w:bookmarkEnd w:id="10"/>
      <w:bookmarkStart w:id="11" w:name="_Hlt509650126"/>
      <w:bookmarkEnd w:id="11"/>
      <w:bookmarkStart w:id="12" w:name="_Hlt526418143"/>
      <w:bookmarkEnd w:id="12"/>
      <w:bookmarkStart w:id="13" w:name="_Hlt509649998"/>
      <w:bookmarkEnd w:id="13"/>
      <w:bookmarkStart w:id="14" w:name="_Hlt509649722"/>
      <w:bookmarkEnd w:id="14"/>
      <w:bookmarkStart w:id="15" w:name="_Hlt509650686"/>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6"/>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6"/>
        <w:spacing w:line="500" w:lineRule="exact"/>
        <w:jc w:val="both"/>
        <w:rPr>
          <w:rFonts w:hAnsi="宋体"/>
          <w:sz w:val="28"/>
        </w:rPr>
      </w:pPr>
      <w:bookmarkStart w:id="23" w:name="_Hlt509649724"/>
      <w:bookmarkEnd w:id="23"/>
      <w:bookmarkStart w:id="24" w:name="_Hlt509650697"/>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8"/>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6"/>
        <w:ind w:firstLine="628"/>
        <w:jc w:val="both"/>
        <w:rPr>
          <w:rFonts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6"/>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ind w:firstLine="628"/>
        <w:jc w:val="both"/>
        <w:rPr>
          <w:rFonts w:hAnsi="宋体"/>
          <w:sz w:val="28"/>
        </w:rPr>
      </w:pPr>
      <w:bookmarkStart w:id="36" w:name="_Toc460487454"/>
      <w:bookmarkStart w:id="37" w:name="_Toc50128754"/>
      <w:bookmarkStart w:id="38" w:name="_Toc522466828"/>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9"/>
        <w:snapToGrid w:val="0"/>
        <w:ind w:left="775" w:leftChars="228" w:hanging="228" w:hangingChars="95"/>
      </w:pPr>
      <w:r>
        <w:rPr>
          <w:rFonts w:hint="eastAsia"/>
        </w:rPr>
        <w:t>28</w:t>
      </w:r>
      <w:r>
        <w:t>.1</w:t>
      </w:r>
      <w:r>
        <w:rPr>
          <w:rFonts w:hint="eastAsia"/>
        </w:rPr>
        <w:t>招标人将以中标通知书形式通知中标人，其投标已被接受。</w:t>
      </w:r>
    </w:p>
    <w:p>
      <w:pPr>
        <w:pStyle w:val="29"/>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2"/>
        <w:rPr>
          <w:rFonts w:ascii="黑体" w:hAnsi="黑体"/>
          <w:b w:val="0"/>
        </w:rPr>
      </w:pPr>
      <w:bookmarkStart w:id="40" w:name="_Toc11229"/>
      <w:r>
        <w:rPr>
          <w:rFonts w:hint="eastAsia" w:ascii="黑体" w:hAnsi="黑体"/>
          <w:b w:val="0"/>
        </w:rPr>
        <w:t>第三章 招标需求</w:t>
      </w:r>
      <w:bookmarkEnd w:id="40"/>
    </w:p>
    <w:p>
      <w:pPr>
        <w:pStyle w:val="24"/>
        <w:spacing w:line="560" w:lineRule="exact"/>
        <w:ind w:left="0" w:leftChars="0" w:firstLine="562"/>
        <w:rPr>
          <w:rFonts w:ascii="仿宋_GB2312" w:hAnsi="仿宋_GB2312" w:eastAsia="仿宋_GB2312" w:cs="仿宋_GB2312"/>
          <w:b/>
          <w:sz w:val="28"/>
          <w:szCs w:val="28"/>
        </w:rPr>
      </w:pPr>
      <w:bookmarkStart w:id="41" w:name="_Hlk16461016"/>
      <w:bookmarkStart w:id="42" w:name="_Hlk23621890"/>
      <w:r>
        <w:rPr>
          <w:rFonts w:hint="eastAsia" w:ascii="仿宋_GB2312" w:hAnsi="仿宋_GB2312" w:eastAsia="仿宋_GB2312" w:cs="仿宋_GB2312"/>
          <w:b/>
          <w:sz w:val="28"/>
          <w:szCs w:val="28"/>
        </w:rPr>
        <w:t>一、项目基本情况</w:t>
      </w:r>
    </w:p>
    <w:p>
      <w:pPr>
        <w:pStyle w:val="24"/>
        <w:spacing w:line="560" w:lineRule="exact"/>
        <w:ind w:left="0" w:leftChars="0" w:firstLine="56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1.项目名称：</w:t>
      </w:r>
      <w:r>
        <w:rPr>
          <w:rFonts w:hint="eastAsia" w:ascii="仿宋_GB2312" w:hAnsi="仿宋_GB2312" w:eastAsia="仿宋_GB2312" w:cs="仿宋_GB2312"/>
          <w:bCs/>
          <w:sz w:val="28"/>
          <w:szCs w:val="28"/>
          <w:lang w:val="en-US" w:eastAsia="zh-CN"/>
        </w:rPr>
        <w:t>安徽省原省委办公楼</w:t>
      </w:r>
      <w:r>
        <w:rPr>
          <w:rFonts w:hint="eastAsia" w:ascii="仿宋_GB2312" w:hAnsi="仿宋_GB2312" w:eastAsia="仿宋_GB2312" w:cs="仿宋_GB2312"/>
          <w:bCs/>
          <w:sz w:val="28"/>
          <w:szCs w:val="28"/>
        </w:rPr>
        <w:t>项目产业定位概念性方案及</w:t>
      </w:r>
      <w:r>
        <w:rPr>
          <w:rFonts w:hint="eastAsia" w:ascii="仿宋_GB2312" w:hAnsi="仿宋_GB2312" w:eastAsia="仿宋_GB2312" w:cs="仿宋_GB2312"/>
          <w:bCs/>
          <w:sz w:val="28"/>
          <w:szCs w:val="28"/>
          <w:lang w:val="en-US" w:eastAsia="zh-CN"/>
        </w:rPr>
        <w:t>概念</w:t>
      </w:r>
      <w:r>
        <w:rPr>
          <w:rFonts w:hint="eastAsia" w:ascii="仿宋_GB2312" w:hAnsi="仿宋_GB2312" w:eastAsia="仿宋_GB2312" w:cs="仿宋_GB2312"/>
          <w:bCs/>
          <w:sz w:val="28"/>
          <w:szCs w:val="28"/>
        </w:rPr>
        <w:t>设计编制</w:t>
      </w:r>
    </w:p>
    <w:p>
      <w:pPr>
        <w:pStyle w:val="24"/>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2.服务地点：庐阳区</w:t>
      </w:r>
    </w:p>
    <w:p>
      <w:pPr>
        <w:pStyle w:val="24"/>
        <w:spacing w:line="560" w:lineRule="exact"/>
        <w:ind w:left="0" w:leftChars="0"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.预算金额：</w:t>
      </w:r>
      <w:r>
        <w:rPr>
          <w:rFonts w:hint="eastAsia" w:ascii="仿宋_GB2312" w:hAnsi="仿宋_GB2312" w:eastAsia="仿宋_GB2312" w:cs="仿宋_GB2312"/>
          <w:b w:val="0"/>
          <w:bCs/>
          <w:sz w:val="28"/>
          <w:szCs w:val="28"/>
          <w:shd w:val="clear" w:color="auto" w:fill="auto"/>
          <w:lang w:val="en-US" w:eastAsia="zh-CN"/>
        </w:rPr>
        <w:t>28.9</w:t>
      </w:r>
      <w:r>
        <w:rPr>
          <w:rFonts w:hint="eastAsia" w:ascii="仿宋_GB2312" w:hAnsi="仿宋_GB2312" w:eastAsia="仿宋_GB2312" w:cs="仿宋_GB2312"/>
          <w:b w:val="0"/>
          <w:bCs/>
          <w:sz w:val="28"/>
          <w:szCs w:val="28"/>
          <w:shd w:val="clear" w:color="auto" w:fill="auto"/>
        </w:rPr>
        <w:t>万元</w:t>
      </w:r>
    </w:p>
    <w:p>
      <w:pPr>
        <w:pStyle w:val="24"/>
        <w:spacing w:line="560" w:lineRule="exact"/>
        <w:ind w:left="0" w:leftChars="0"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.项目概况：</w:t>
      </w:r>
      <w:r>
        <w:rPr>
          <w:rFonts w:hint="eastAsia" w:ascii="仿宋_GB2312" w:hAnsi="仿宋_GB2312" w:eastAsia="仿宋_GB2312" w:cs="仿宋_GB2312"/>
          <w:bCs/>
          <w:sz w:val="28"/>
          <w:szCs w:val="28"/>
          <w:lang w:val="en-US" w:eastAsia="zh-CN"/>
        </w:rPr>
        <w:t>安徽省原省委办公区位于庐阳区红星路1号，占地面积为6万平方米，招引培育视觉展演、动漫、艺术设计等业态，意向打造</w:t>
      </w:r>
      <w:r>
        <w:rPr>
          <w:rFonts w:hint="eastAsia" w:ascii="仿宋_GB2312" w:hAnsi="仿宋_GB2312" w:eastAsia="仿宋_GB2312" w:cs="仿宋_GB2312"/>
          <w:bCs/>
          <w:sz w:val="28"/>
          <w:szCs w:val="28"/>
        </w:rPr>
        <w:t>为</w:t>
      </w:r>
      <w:r>
        <w:rPr>
          <w:rFonts w:hint="eastAsia" w:ascii="仿宋_GB2312" w:hAnsi="仿宋_GB2312" w:eastAsia="仿宋_GB2312" w:cs="仿宋_GB2312"/>
          <w:bCs/>
          <w:sz w:val="28"/>
          <w:szCs w:val="28"/>
          <w:lang w:val="en-US" w:eastAsia="zh-CN"/>
        </w:rPr>
        <w:t>安徽视觉艺术中心。为</w:t>
      </w:r>
      <w:r>
        <w:rPr>
          <w:rFonts w:hint="eastAsia" w:ascii="仿宋_GB2312" w:hAnsi="仿宋_GB2312" w:eastAsia="仿宋_GB2312" w:cs="仿宋_GB2312"/>
          <w:bCs/>
          <w:sz w:val="28"/>
          <w:szCs w:val="28"/>
        </w:rPr>
        <w:t>进一步做好项目业态发展规划，</w:t>
      </w:r>
      <w:r>
        <w:rPr>
          <w:rFonts w:hint="eastAsia" w:ascii="仿宋_GB2312" w:hAnsi="仿宋_GB2312" w:eastAsia="仿宋_GB2312" w:cs="仿宋_GB2312"/>
          <w:bCs/>
          <w:sz w:val="28"/>
          <w:szCs w:val="28"/>
          <w:lang w:val="en-US" w:eastAsia="zh-CN"/>
        </w:rPr>
        <w:t>推动项目深化定位及设计，计划开展安徽省原省委办公楼项目的产业定位概念性方案及概念设计方案的编制工作。</w:t>
      </w:r>
      <w:r>
        <w:rPr>
          <w:rFonts w:hint="eastAsia" w:ascii="仿宋_GB2312" w:hAnsi="仿宋_GB2312" w:eastAsia="仿宋_GB2312" w:cs="仿宋_GB2312"/>
          <w:bCs/>
          <w:sz w:val="28"/>
          <w:szCs w:val="28"/>
        </w:rPr>
        <w:t>（以上面积数据仅供参考，具体方案编制范围以实际测量为准）</w:t>
      </w:r>
      <w:r>
        <w:rPr>
          <w:rFonts w:hint="eastAsia" w:ascii="仿宋_GB2312" w:hAnsi="仿宋_GB2312" w:eastAsia="仿宋_GB2312" w:cs="仿宋_GB2312"/>
          <w:bCs/>
          <w:sz w:val="28"/>
          <w:szCs w:val="28"/>
          <w:lang w:val="en-US" w:eastAsia="zh-CN"/>
        </w:rPr>
        <w:t xml:space="preserve">  </w:t>
      </w:r>
    </w:p>
    <w:p>
      <w:pPr>
        <w:pStyle w:val="24"/>
        <w:spacing w:line="560" w:lineRule="exact"/>
        <w:ind w:left="0" w:leftChars="0" w:firstLine="560"/>
        <w:rPr>
          <w:rFonts w:hint="eastAsia" w:ascii="仿宋_GB2312" w:hAnsi="仿宋_GB2312" w:eastAsia="仿宋_GB2312" w:cs="仿宋_GB2312"/>
          <w:bCs/>
          <w:sz w:val="28"/>
          <w:szCs w:val="28"/>
          <w:lang w:val="en-US" w:eastAsia="zh-CN"/>
        </w:rPr>
      </w:pPr>
      <w:r>
        <w:drawing>
          <wp:anchor distT="0" distB="0" distL="114300" distR="114300" simplePos="0" relativeHeight="251664384" behindDoc="0" locked="0" layoutInCell="1" allowOverlap="1">
            <wp:simplePos x="0" y="0"/>
            <wp:positionH relativeFrom="column">
              <wp:posOffset>-9525</wp:posOffset>
            </wp:positionH>
            <wp:positionV relativeFrom="paragraph">
              <wp:posOffset>170180</wp:posOffset>
            </wp:positionV>
            <wp:extent cx="5273040" cy="3968115"/>
            <wp:effectExtent l="0" t="0" r="1016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3040" cy="3968115"/>
                    </a:xfrm>
                    <a:prstGeom prst="rect">
                      <a:avLst/>
                    </a:prstGeom>
                    <a:noFill/>
                    <a:ln>
                      <a:noFill/>
                    </a:ln>
                  </pic:spPr>
                </pic:pic>
              </a:graphicData>
            </a:graphic>
          </wp:anchor>
        </w:drawing>
      </w:r>
      <w:r>
        <w:rPr>
          <w:rFonts w:hint="eastAsia" w:ascii="仿宋_GB2312" w:hAnsi="仿宋_GB2312" w:eastAsia="仿宋_GB2312" w:cs="仿宋_GB2312"/>
          <w:bCs/>
          <w:sz w:val="28"/>
          <w:szCs w:val="28"/>
          <w:lang w:val="en-US" w:eastAsia="zh-CN"/>
        </w:rPr>
        <w:t xml:space="preserve">   </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p>
    <w:p>
      <w:pPr>
        <w:pStyle w:val="2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项目</w:t>
      </w:r>
      <w:bookmarkEnd w:id="41"/>
      <w:bookmarkEnd w:id="42"/>
      <w:r>
        <w:rPr>
          <w:rFonts w:hint="eastAsia" w:ascii="仿宋_GB2312" w:hAnsi="仿宋_GB2312" w:eastAsia="仿宋_GB2312" w:cs="仿宋_GB2312"/>
          <w:b/>
          <w:bCs/>
          <w:sz w:val="28"/>
          <w:szCs w:val="28"/>
        </w:rPr>
        <w:t>工作范围及内容</w:t>
      </w:r>
    </w:p>
    <w:p>
      <w:pPr>
        <w:pStyle w:val="24"/>
        <w:spacing w:line="560" w:lineRule="exact"/>
        <w:ind w:left="0" w:leftChars="0"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包括但不限于安徽省原省委办公楼区域的产业策划定位咨询服务和合作方资源的研判、提交市场研究报告、概念设计方案、包含前期工作如现状调查（如有）包括不限于招标范围内地形测绘、立面测绘、地质勘察、地下管线物探等相关成果。项目咨询方案及服务大纲的内容要求全面，方案需具有先进的理念，同时具备可操作性；服务大纲中的工作目标明确，组织机构健全，工作计划可行，对项目发展规划咨询内容的组织、整合、成果提交、质量控制监督体系等进行描述。 </w:t>
      </w:r>
    </w:p>
    <w:p>
      <w:pPr>
        <w:pStyle w:val="24"/>
        <w:spacing w:line="560" w:lineRule="exact"/>
        <w:ind w:left="0" w:leftChars="0" w:firstLine="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具体服务内容包含但不限于： </w:t>
      </w:r>
    </w:p>
    <w:p>
      <w:pPr>
        <w:pStyle w:val="36"/>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val="0"/>
          <w:sz w:val="28"/>
          <w:szCs w:val="28"/>
          <w:lang w:val="en-US" w:eastAsia="zh-CN" w:bidi="ar-SA"/>
        </w:rPr>
      </w:pPr>
      <w:r>
        <w:rPr>
          <w:rFonts w:hint="eastAsia" w:ascii="仿宋_GB2312" w:hAnsi="仿宋_GB2312" w:eastAsia="仿宋_GB2312" w:cs="仿宋_GB2312"/>
          <w:b/>
          <w:bCs w:val="0"/>
          <w:sz w:val="28"/>
          <w:szCs w:val="28"/>
          <w:lang w:val="en-US" w:eastAsia="zh-CN" w:bidi="ar-SA"/>
        </w:rPr>
        <w:t>策划部分</w:t>
      </w:r>
    </w:p>
    <w:p>
      <w:pPr>
        <w:pStyle w:val="36"/>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发展条件分析</w:t>
      </w:r>
    </w:p>
    <w:p>
      <w:pPr>
        <w:pStyle w:val="36"/>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区位，宏观环境</w:t>
      </w:r>
    </w:p>
    <w:p>
      <w:pPr>
        <w:pStyle w:val="36"/>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上位规划分析</w:t>
      </w:r>
    </w:p>
    <w:p>
      <w:pPr>
        <w:pStyle w:val="36"/>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区域交通条件分析</w:t>
      </w:r>
    </w:p>
    <w:p>
      <w:pPr>
        <w:pStyle w:val="36"/>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项目区位条件分析</w:t>
      </w:r>
    </w:p>
    <w:p>
      <w:pPr>
        <w:pStyle w:val="36"/>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项目周边环境及发展资源梳理</w:t>
      </w:r>
    </w:p>
    <w:p>
      <w:pPr>
        <w:pStyle w:val="36"/>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历史溯源及文化属性挖掘</w:t>
      </w:r>
    </w:p>
    <w:p>
      <w:pPr>
        <w:pStyle w:val="36"/>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对本项目的影响研判</w:t>
      </w:r>
    </w:p>
    <w:p>
      <w:pPr>
        <w:pStyle w:val="36"/>
        <w:keepNext w:val="0"/>
        <w:keepLines w:val="0"/>
        <w:pageBreakBefore w:val="0"/>
        <w:widowControl w:val="0"/>
        <w:numPr>
          <w:ilvl w:val="0"/>
          <w:numId w:val="7"/>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市场研究</w:t>
      </w:r>
    </w:p>
    <w:p>
      <w:pPr>
        <w:pStyle w:val="36"/>
        <w:keepNext w:val="0"/>
        <w:keepLines w:val="0"/>
        <w:pageBreakBefore w:val="0"/>
        <w:widowControl w:val="0"/>
        <w:numPr>
          <w:ilvl w:val="0"/>
          <w:numId w:val="8"/>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商业及办公市场研究</w:t>
      </w:r>
    </w:p>
    <w:p>
      <w:pPr>
        <w:pStyle w:val="36"/>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城市商业物业市场</w:t>
      </w:r>
    </w:p>
    <w:p>
      <w:pPr>
        <w:pStyle w:val="36"/>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周边商业物业市场分析</w:t>
      </w:r>
    </w:p>
    <w:p>
      <w:pPr>
        <w:pStyle w:val="36"/>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可比性地产商业案例分析</w:t>
      </w:r>
    </w:p>
    <w:p>
      <w:pPr>
        <w:pStyle w:val="36"/>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城市整体及区域办公物业市场研究</w:t>
      </w:r>
    </w:p>
    <w:p>
      <w:pPr>
        <w:pStyle w:val="36"/>
        <w:keepNext w:val="0"/>
        <w:keepLines w:val="0"/>
        <w:pageBreakBefore w:val="0"/>
        <w:widowControl w:val="0"/>
        <w:numPr>
          <w:ilvl w:val="0"/>
          <w:numId w:val="9"/>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区域写字楼市场分析</w:t>
      </w:r>
    </w:p>
    <w:p>
      <w:pPr>
        <w:pStyle w:val="36"/>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视觉艺术行业研究</w:t>
      </w:r>
    </w:p>
    <w:p>
      <w:pPr>
        <w:pStyle w:val="36"/>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行业规模及增速</w:t>
      </w:r>
    </w:p>
    <w:p>
      <w:pPr>
        <w:pStyle w:val="36"/>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行业格局及分布</w:t>
      </w:r>
    </w:p>
    <w:p>
      <w:pPr>
        <w:pStyle w:val="36"/>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行业上下游产业链分析</w:t>
      </w:r>
    </w:p>
    <w:p>
      <w:pPr>
        <w:pStyle w:val="36"/>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行业发展趋势</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lang w:val="en-US" w:eastAsia="zh-CN"/>
        </w:rPr>
        <w:t>三、</w:t>
      </w:r>
      <w:r>
        <w:rPr>
          <w:rFonts w:hint="eastAsia" w:ascii="仿宋_GB2312" w:hAnsi="仿宋_GB2312" w:eastAsia="仿宋_GB2312" w:cs="仿宋_GB2312"/>
          <w:b/>
          <w:bCs/>
          <w:i/>
          <w:iCs/>
          <w:sz w:val="28"/>
          <w:szCs w:val="28"/>
        </w:rPr>
        <w:t>专项案例研究</w:t>
      </w:r>
    </w:p>
    <w:p>
      <w:pPr>
        <w:pStyle w:val="36"/>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老旧物业改造案例（苏式建筑）</w:t>
      </w:r>
    </w:p>
    <w:p>
      <w:pPr>
        <w:pStyle w:val="36"/>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基本情况概况</w:t>
      </w:r>
    </w:p>
    <w:p>
      <w:pPr>
        <w:pStyle w:val="36"/>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物业功能组合</w:t>
      </w:r>
    </w:p>
    <w:p>
      <w:pPr>
        <w:pStyle w:val="36"/>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设计亮点</w:t>
      </w:r>
    </w:p>
    <w:p>
      <w:pPr>
        <w:pStyle w:val="36"/>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运营情况分析</w:t>
      </w:r>
    </w:p>
    <w:p>
      <w:pPr>
        <w:pStyle w:val="36"/>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视觉艺术主题类型物业改造案例</w:t>
      </w:r>
    </w:p>
    <w:p>
      <w:pPr>
        <w:pStyle w:val="36"/>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基本情况概况</w:t>
      </w:r>
    </w:p>
    <w:p>
      <w:pPr>
        <w:pStyle w:val="36"/>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功能物业组合</w:t>
      </w:r>
    </w:p>
    <w:p>
      <w:pPr>
        <w:pStyle w:val="36"/>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设计亮点</w:t>
      </w:r>
    </w:p>
    <w:p>
      <w:pPr>
        <w:pStyle w:val="36"/>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运营情况分析</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lang w:val="en-US" w:eastAsia="zh-CN"/>
        </w:rPr>
        <w:t>四、</w:t>
      </w:r>
      <w:r>
        <w:rPr>
          <w:rFonts w:hint="eastAsia" w:ascii="仿宋_GB2312" w:hAnsi="仿宋_GB2312" w:eastAsia="仿宋_GB2312" w:cs="仿宋_GB2312"/>
          <w:b/>
          <w:bCs/>
          <w:i/>
          <w:iCs/>
          <w:sz w:val="28"/>
          <w:szCs w:val="28"/>
        </w:rPr>
        <w:t>本项目定位及愿景</w:t>
      </w:r>
    </w:p>
    <w:p>
      <w:pPr>
        <w:pStyle w:val="36"/>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本项目主题特色定位</w:t>
      </w:r>
    </w:p>
    <w:p>
      <w:pPr>
        <w:pStyle w:val="36"/>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本项目客群定位</w:t>
      </w:r>
    </w:p>
    <w:p>
      <w:pPr>
        <w:pStyle w:val="36"/>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本项目规模及档次建议</w:t>
      </w:r>
    </w:p>
    <w:p>
      <w:pPr>
        <w:pStyle w:val="36"/>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业态组合及功能布局</w:t>
      </w:r>
    </w:p>
    <w:p>
      <w:pPr>
        <w:pStyle w:val="36"/>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发展愿景</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lang w:val="en-US" w:eastAsia="zh-CN"/>
        </w:rPr>
        <w:t>五、</w:t>
      </w:r>
      <w:r>
        <w:rPr>
          <w:rFonts w:hint="eastAsia" w:ascii="仿宋_GB2312" w:hAnsi="仿宋_GB2312" w:eastAsia="仿宋_GB2312" w:cs="仿宋_GB2312"/>
          <w:b/>
          <w:bCs/>
          <w:i/>
          <w:iCs/>
          <w:sz w:val="28"/>
          <w:szCs w:val="28"/>
        </w:rPr>
        <w:t>合作方资源研判</w:t>
      </w:r>
    </w:p>
    <w:p>
      <w:pPr>
        <w:pStyle w:val="36"/>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合作资源梳理</w:t>
      </w:r>
    </w:p>
    <w:p>
      <w:pPr>
        <w:pStyle w:val="36"/>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合作可行性分析</w:t>
      </w:r>
    </w:p>
    <w:p>
      <w:pPr>
        <w:pStyle w:val="36"/>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425"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合作策略建议</w:t>
      </w:r>
    </w:p>
    <w:p>
      <w:pPr>
        <w:keepNext w:val="0"/>
        <w:keepLines w:val="0"/>
        <w:pageBreakBefore w:val="0"/>
        <w:widowControl w:val="0"/>
        <w:kinsoku/>
        <w:wordWrap/>
        <w:overflowPunct/>
        <w:topLinePunct w:val="0"/>
        <w:autoSpaceDE/>
        <w:autoSpaceDN/>
        <w:bidi w:val="0"/>
        <w:adjustRightInd/>
        <w:snapToGrid/>
        <w:spacing w:line="560" w:lineRule="exact"/>
        <w:ind w:left="426"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*合作方类型定义：</w:t>
      </w:r>
    </w:p>
    <w:p>
      <w:pPr>
        <w:pStyle w:val="36"/>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国企/央企</w:t>
      </w:r>
    </w:p>
    <w:p>
      <w:pPr>
        <w:pStyle w:val="36"/>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外资公司（香港、新加坡、欧美、日韩企业）</w:t>
      </w:r>
    </w:p>
    <w:p>
      <w:pPr>
        <w:pStyle w:val="36"/>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世界五百强企业</w:t>
      </w:r>
    </w:p>
    <w:p>
      <w:pPr>
        <w:keepNext w:val="0"/>
        <w:keepLines w:val="0"/>
        <w:pageBreakBefore w:val="0"/>
        <w:widowControl w:val="0"/>
        <w:kinsoku/>
        <w:wordWrap/>
        <w:overflowPunct/>
        <w:topLinePunct w:val="0"/>
        <w:autoSpaceDE/>
        <w:autoSpaceDN/>
        <w:bidi w:val="0"/>
        <w:adjustRightInd/>
        <w:snapToGrid/>
        <w:spacing w:line="560" w:lineRule="exact"/>
        <w:ind w:left="42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*交付成果方式定义（合作方对接人需为总监及总监以上或相关业务条线负责人）：</w:t>
      </w:r>
    </w:p>
    <w:p>
      <w:pPr>
        <w:pStyle w:val="36"/>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项目现场带看</w:t>
      </w:r>
    </w:p>
    <w:p>
      <w:pPr>
        <w:pStyle w:val="36"/>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与合作方会议纪要并附带我司公章</w:t>
      </w:r>
    </w:p>
    <w:p>
      <w:pPr>
        <w:pStyle w:val="36"/>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书面文本材料（沟通邮件、公函等） </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lang w:val="en-US" w:eastAsia="zh-CN"/>
        </w:rPr>
        <w:t>六、</w:t>
      </w:r>
      <w:r>
        <w:rPr>
          <w:rFonts w:hint="eastAsia" w:ascii="仿宋_GB2312" w:hAnsi="仿宋_GB2312" w:eastAsia="仿宋_GB2312" w:cs="仿宋_GB2312"/>
          <w:b/>
          <w:bCs/>
          <w:i/>
          <w:iCs/>
          <w:sz w:val="28"/>
          <w:szCs w:val="28"/>
        </w:rPr>
        <w:t>财务可行性分析</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财务假设</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财务表现（成本、利润、投资回报、收益率、现金流等）</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敏感性分析</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textAlignment w:val="auto"/>
        <w:rPr>
          <w:rFonts w:hint="eastAsia" w:ascii="仿宋_GB2312" w:hAnsi="仿宋_GB2312" w:eastAsia="仿宋_GB2312" w:cs="仿宋_GB2312"/>
          <w:sz w:val="28"/>
          <w:szCs w:val="28"/>
        </w:rPr>
      </w:pPr>
    </w:p>
    <w:p>
      <w:pPr>
        <w:pStyle w:val="36"/>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u w:val="single"/>
        </w:rPr>
        <w:t>设计部分</w:t>
      </w:r>
    </w:p>
    <w:p>
      <w:pPr>
        <w:pStyle w:val="36"/>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rPr>
        <w:t>总体空间研究</w:t>
      </w:r>
    </w:p>
    <w:p>
      <w:pPr>
        <w:pStyle w:val="36"/>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设计理念</w:t>
      </w:r>
    </w:p>
    <w:p>
      <w:pPr>
        <w:pStyle w:val="36"/>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总体概念（功能结构、开放空间等研究）</w:t>
      </w:r>
    </w:p>
    <w:p>
      <w:pPr>
        <w:pStyle w:val="36"/>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总平面及指标</w:t>
      </w:r>
    </w:p>
    <w:p>
      <w:pPr>
        <w:pStyle w:val="36"/>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i/>
          <w:iCs/>
          <w:sz w:val="28"/>
          <w:szCs w:val="28"/>
        </w:rPr>
      </w:pPr>
      <w:r>
        <w:rPr>
          <w:rFonts w:hint="eastAsia" w:ascii="仿宋_GB2312" w:hAnsi="仿宋_GB2312" w:eastAsia="仿宋_GB2312" w:cs="仿宋_GB2312"/>
          <w:b/>
          <w:bCs/>
          <w:i/>
          <w:iCs/>
          <w:sz w:val="28"/>
          <w:szCs w:val="28"/>
        </w:rPr>
        <w:t>概念设计方案</w:t>
      </w:r>
    </w:p>
    <w:p>
      <w:pPr>
        <w:pStyle w:val="36"/>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总平面图及指标</w:t>
      </w:r>
    </w:p>
    <w:p>
      <w:pPr>
        <w:pStyle w:val="36"/>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交通组织</w:t>
      </w:r>
    </w:p>
    <w:p>
      <w:pPr>
        <w:pStyle w:val="36"/>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功能分析</w:t>
      </w:r>
    </w:p>
    <w:p>
      <w:pPr>
        <w:pStyle w:val="36"/>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地下空间</w:t>
      </w:r>
    </w:p>
    <w:p>
      <w:pPr>
        <w:pStyle w:val="36"/>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历史建筑更新概念方案</w:t>
      </w:r>
    </w:p>
    <w:p>
      <w:pPr>
        <w:pStyle w:val="36"/>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新建建筑概念方案</w:t>
      </w:r>
    </w:p>
    <w:p>
      <w:pPr>
        <w:pStyle w:val="36"/>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效果展示（整体鸟瞰、主要单体效果图）</w:t>
      </w:r>
    </w:p>
    <w:p>
      <w:pPr>
        <w:keepNext w:val="0"/>
        <w:keepLines w:val="0"/>
        <w:pageBreakBefore w:val="0"/>
        <w:widowControl w:val="0"/>
        <w:tabs>
          <w:tab w:val="left" w:pos="360"/>
        </w:tabs>
        <w:kinsoku/>
        <w:wordWrap/>
        <w:overflowPunct/>
        <w:topLinePunct w:val="0"/>
        <w:autoSpaceDE w:val="0"/>
        <w:autoSpaceDN w:val="0"/>
        <w:bidi w:val="0"/>
        <w:adjustRightInd w:val="0"/>
        <w:snapToGrid/>
        <w:spacing w:line="560" w:lineRule="exact"/>
        <w:ind w:left="482"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文字说明：</w:t>
      </w:r>
      <w:r>
        <w:rPr>
          <w:rFonts w:hint="eastAsia" w:ascii="仿宋_GB2312" w:hAnsi="仿宋_GB2312" w:eastAsia="仿宋_GB2312" w:cs="仿宋_GB2312"/>
          <w:bCs/>
          <w:sz w:val="28"/>
          <w:szCs w:val="28"/>
        </w:rPr>
        <w:t>中标单位应合理进行研究分析，并确保研策分析深度及结论对项目具有指导性意义，同时对数据计算成果应提供可靠、合理的基础数据或分析过程。</w:t>
      </w:r>
    </w:p>
    <w:p>
      <w:pPr>
        <w:keepNext w:val="0"/>
        <w:keepLines w:val="0"/>
        <w:pageBreakBefore w:val="0"/>
        <w:widowControl w:val="0"/>
        <w:tabs>
          <w:tab w:val="left" w:pos="360"/>
        </w:tabs>
        <w:kinsoku/>
        <w:wordWrap/>
        <w:overflowPunct/>
        <w:topLinePunct w:val="0"/>
        <w:autoSpaceDE w:val="0"/>
        <w:autoSpaceDN w:val="0"/>
        <w:bidi w:val="0"/>
        <w:adjustRightInd w:val="0"/>
        <w:snapToGrid/>
        <w:spacing w:line="560" w:lineRule="exact"/>
        <w:ind w:left="482"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包含但不局限于规划设计内容中的全部要求，能表达设计方案的意图、目标和内容，文字表达应当规范、准确、肯定、含义清楚。</w:t>
      </w:r>
    </w:p>
    <w:p>
      <w:pPr>
        <w:keepNext w:val="0"/>
        <w:keepLines w:val="0"/>
        <w:pageBreakBefore w:val="0"/>
        <w:widowControl w:val="0"/>
        <w:tabs>
          <w:tab w:val="left" w:pos="360"/>
        </w:tabs>
        <w:kinsoku/>
        <w:wordWrap/>
        <w:overflowPunct/>
        <w:topLinePunct w:val="0"/>
        <w:autoSpaceDE w:val="0"/>
        <w:autoSpaceDN w:val="0"/>
        <w:bidi w:val="0"/>
        <w:adjustRightInd w:val="0"/>
        <w:snapToGrid/>
        <w:spacing w:line="560" w:lineRule="exact"/>
        <w:ind w:firstLine="562" w:firstLineChars="200"/>
        <w:jc w:val="left"/>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三、相关要求</w:t>
      </w:r>
    </w:p>
    <w:p>
      <w:pPr>
        <w:pStyle w:val="2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
          <w:bCs/>
          <w:sz w:val="28"/>
          <w:szCs w:val="28"/>
        </w:rPr>
        <w:t>时限要求。</w:t>
      </w:r>
    </w:p>
    <w:p>
      <w:pPr>
        <w:pStyle w:val="2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服务期限：</w:t>
      </w:r>
      <w:r>
        <w:rPr>
          <w:rFonts w:hint="eastAsia" w:ascii="仿宋_GB2312" w:hAnsi="仿宋_GB2312" w:eastAsia="仿宋_GB2312" w:cs="仿宋_GB2312"/>
          <w:bCs/>
          <w:sz w:val="28"/>
          <w:szCs w:val="28"/>
          <w:lang w:val="en-US" w:eastAsia="zh-CN"/>
        </w:rPr>
        <w:t>合同签订之日起4</w:t>
      </w:r>
      <w:r>
        <w:rPr>
          <w:rFonts w:hint="eastAsia" w:ascii="仿宋_GB2312" w:hAnsi="仿宋_GB2312" w:eastAsia="仿宋_GB2312" w:cs="仿宋_GB2312"/>
          <w:bCs/>
          <w:sz w:val="28"/>
          <w:szCs w:val="28"/>
        </w:rPr>
        <w:t>个</w:t>
      </w:r>
      <w:r>
        <w:rPr>
          <w:rFonts w:hint="eastAsia" w:ascii="仿宋_GB2312" w:hAnsi="仿宋_GB2312" w:eastAsia="仿宋_GB2312" w:cs="仿宋_GB2312"/>
          <w:bCs/>
          <w:sz w:val="28"/>
          <w:szCs w:val="28"/>
          <w:lang w:val="en-US" w:eastAsia="zh-CN"/>
        </w:rPr>
        <w:t>工作周</w:t>
      </w:r>
      <w:r>
        <w:rPr>
          <w:rFonts w:hint="eastAsia" w:ascii="仿宋_GB2312" w:hAnsi="仿宋_GB2312" w:eastAsia="仿宋_GB2312" w:cs="仿宋_GB2312"/>
          <w:bCs/>
          <w:sz w:val="28"/>
          <w:szCs w:val="28"/>
        </w:rPr>
        <w:t>内完成项目成果初稿，</w:t>
      </w:r>
      <w:r>
        <w:rPr>
          <w:rFonts w:hint="eastAsia" w:ascii="仿宋_GB2312" w:hAnsi="仿宋_GB2312" w:eastAsia="仿宋_GB2312" w:cs="仿宋_GB2312"/>
          <w:bCs/>
          <w:sz w:val="28"/>
          <w:szCs w:val="28"/>
          <w:lang w:val="en-US" w:eastAsia="zh-CN"/>
        </w:rPr>
        <w:t>初稿汇报后</w:t>
      </w:r>
      <w:r>
        <w:rPr>
          <w:rFonts w:hint="eastAsia" w:ascii="仿宋_GB2312" w:hAnsi="仿宋_GB2312" w:eastAsia="仿宋_GB2312" w:cs="仿宋_GB2312"/>
          <w:bCs/>
          <w:sz w:val="28"/>
          <w:szCs w:val="28"/>
        </w:rPr>
        <w:t>2个工作周</w:t>
      </w:r>
      <w:r>
        <w:rPr>
          <w:rFonts w:hint="eastAsia" w:ascii="仿宋_GB2312" w:hAnsi="仿宋_GB2312" w:eastAsia="仿宋_GB2312" w:cs="仿宋_GB2312"/>
          <w:bCs/>
          <w:sz w:val="28"/>
          <w:szCs w:val="28"/>
          <w:lang w:val="en-US" w:eastAsia="zh-CN"/>
        </w:rPr>
        <w:t>完成项目终期报告</w:t>
      </w:r>
      <w:r>
        <w:rPr>
          <w:rFonts w:hint="eastAsia" w:ascii="仿宋_GB2312" w:hAnsi="仿宋_GB2312" w:eastAsia="仿宋_GB2312" w:cs="仿宋_GB2312"/>
          <w:bCs/>
          <w:sz w:val="28"/>
          <w:szCs w:val="28"/>
        </w:rPr>
        <w:t>。</w:t>
      </w:r>
    </w:p>
    <w:p>
      <w:pPr>
        <w:pStyle w:val="24"/>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b/>
          <w:bCs/>
          <w:sz w:val="28"/>
          <w:szCs w:val="28"/>
        </w:rPr>
        <w:t>认定标准。</w:t>
      </w:r>
      <w:r>
        <w:rPr>
          <w:rFonts w:hint="eastAsia" w:ascii="仿宋_GB2312" w:hAnsi="仿宋_GB2312" w:eastAsia="仿宋_GB2312" w:cs="仿宋_GB2312"/>
          <w:bCs/>
          <w:sz w:val="28"/>
          <w:szCs w:val="28"/>
        </w:rPr>
        <w:t>中标单位提供的服务内容成果需通过甲方过程核定，并根据甲方提出的要求进行修改完善，最终验收应以区政府提报会议通过（或会议未提出重大修改意见），并由甲方3人以上领导（部门分管负责人、集团副总经理、总经理）会签审核同意为准。</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
          <w:bCs/>
          <w:sz w:val="28"/>
          <w:szCs w:val="28"/>
        </w:rPr>
        <w:t>成果数据。</w:t>
      </w:r>
      <w:r>
        <w:rPr>
          <w:rFonts w:hint="eastAsia" w:ascii="仿宋_GB2312" w:hAnsi="仿宋_GB2312" w:eastAsia="仿宋_GB2312" w:cs="仿宋_GB2312"/>
          <w:bCs/>
          <w:sz w:val="28"/>
          <w:szCs w:val="28"/>
        </w:rPr>
        <w:t>中标单位应提供不少于5套纸质成果材料，同时提供成果及底稿电子数据，包括但不限于</w:t>
      </w:r>
      <w:r>
        <w:rPr>
          <w:rFonts w:hint="eastAsia" w:ascii="仿宋_GB2312" w:hAnsi="仿宋_GB2312" w:eastAsia="仿宋_GB2312" w:cs="仿宋_GB2312"/>
          <w:bCs/>
          <w:sz w:val="28"/>
          <w:szCs w:val="28"/>
          <w:lang w:val="en-US" w:eastAsia="zh-CN"/>
        </w:rPr>
        <w:t>项目的产业定位方案、项目的概念性设计方案、</w:t>
      </w:r>
      <w:r>
        <w:rPr>
          <w:rFonts w:hint="eastAsia" w:ascii="仿宋_GB2312" w:hAnsi="仿宋_GB2312" w:eastAsia="仿宋_GB2312" w:cs="仿宋_GB2312"/>
          <w:bCs/>
          <w:sz w:val="28"/>
          <w:szCs w:val="28"/>
        </w:rPr>
        <w:t>PPT文档成果数据、为完成成果所需的全套测算底稿、市场分析数据</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概念效果图</w:t>
      </w:r>
      <w:r>
        <w:rPr>
          <w:rFonts w:hint="eastAsia" w:ascii="仿宋_GB2312" w:hAnsi="仿宋_GB2312" w:eastAsia="仿宋_GB2312" w:cs="仿宋_GB2312"/>
          <w:bCs/>
          <w:sz w:val="28"/>
          <w:szCs w:val="28"/>
        </w:rPr>
        <w:t>等。</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b/>
          <w:bCs/>
          <w:sz w:val="28"/>
          <w:szCs w:val="28"/>
        </w:rPr>
        <w:t>版权要求。</w:t>
      </w:r>
      <w:r>
        <w:rPr>
          <w:rFonts w:hint="eastAsia" w:ascii="仿宋_GB2312" w:hAnsi="仿宋_GB2312" w:eastAsia="仿宋_GB2312" w:cs="仿宋_GB2312"/>
          <w:bCs/>
          <w:sz w:val="28"/>
          <w:szCs w:val="28"/>
        </w:rPr>
        <w:t>甲方拥有中标单位提供服务内容的所有权、使用权，乙方在未征得甲方同意前，不得向第三方单位提供工作成果。</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hint="eastAsia" w:ascii="仿宋_GB2312" w:hAnsi="仿宋_GB2312" w:eastAsia="仿宋_GB2312" w:cs="仿宋_GB2312"/>
          <w:b/>
          <w:bCs/>
          <w:sz w:val="28"/>
          <w:szCs w:val="28"/>
        </w:rPr>
        <w:t>保密要求。</w:t>
      </w:r>
      <w:r>
        <w:rPr>
          <w:rFonts w:hint="eastAsia" w:ascii="仿宋_GB2312" w:hAnsi="仿宋_GB2312" w:eastAsia="仿宋_GB2312" w:cs="仿宋_GB2312"/>
          <w:bCs/>
          <w:sz w:val="28"/>
          <w:szCs w:val="28"/>
        </w:rPr>
        <w:t>中标单位承诺对在本合同和相关服务项目内所获得有关甲方的保密信息和资料进行保密，不得向任何第三方提供和在其它服务项目内使用此类保密信息和资料。</w:t>
      </w:r>
    </w:p>
    <w:p>
      <w:pPr>
        <w:pStyle w:val="24"/>
        <w:keepNext w:val="0"/>
        <w:keepLines w:val="0"/>
        <w:pageBreakBefore w:val="0"/>
        <w:widowControl w:val="0"/>
        <w:kinsoku/>
        <w:wordWrap/>
        <w:overflowPunct/>
        <w:topLinePunct w:val="0"/>
        <w:bidi w:val="0"/>
        <w:snapToGrid/>
        <w:spacing w:line="560" w:lineRule="exact"/>
        <w:ind w:left="0" w:leftChars="0" w:firstLine="56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保密信息”是指一方（“披露方”）向另一方（“接收方”）直接或间接地披露的非公开性质的任何资料，包括披露方的商业计划或意图、定价、产品资料、设计、商业秘密、数据、各种商业和管理模式、软件、市场机会、技术方法、诀窍、产品、经营信息和业务事项有关的任何信息。</w:t>
      </w:r>
    </w:p>
    <w:p>
      <w:pPr>
        <w:pStyle w:val="24"/>
        <w:keepNext w:val="0"/>
        <w:keepLines w:val="0"/>
        <w:pageBreakBefore w:val="0"/>
        <w:widowControl w:val="0"/>
        <w:kinsoku/>
        <w:wordWrap/>
        <w:overflowPunct/>
        <w:topLinePunct w:val="0"/>
        <w:bidi w:val="0"/>
        <w:snapToGrid/>
        <w:spacing w:line="560" w:lineRule="exact"/>
        <w:ind w:left="0" w:leftChars="0"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在本项目期限内，接收方可向其任何雇员、承包商或专业顾问披露保密信息（名为“接受人”），但该种披露应以为履行本项目的合理所需为限，且接收方应促使每名接受人知晓并按照不低于接收方的标准遵守本协议顶下的全部保密义务。</w:t>
      </w:r>
    </w:p>
    <w:p>
      <w:pPr>
        <w:pStyle w:val="24"/>
        <w:keepNext w:val="0"/>
        <w:keepLines w:val="0"/>
        <w:pageBreakBefore w:val="0"/>
        <w:widowControl w:val="0"/>
        <w:kinsoku/>
        <w:wordWrap/>
        <w:overflowPunct/>
        <w:topLinePunct w:val="0"/>
        <w:bidi w:val="0"/>
        <w:snapToGrid/>
        <w:spacing w:line="560" w:lineRule="exact"/>
        <w:ind w:left="0" w:leftChars="0" w:firstLine="560"/>
        <w:textAlignment w:val="auto"/>
        <w:rPr>
          <w:rFonts w:ascii="仿宋_GB2312" w:hAnsi="仿宋_GB2312" w:eastAsia="仿宋_GB2312" w:cs="仿宋_GB2312"/>
          <w:bCs/>
          <w:sz w:val="28"/>
          <w:szCs w:val="28"/>
        </w:rPr>
      </w:pPr>
      <w:r>
        <w:rPr>
          <w:rFonts w:ascii="仿宋_GB2312" w:hAnsi="仿宋_GB2312" w:eastAsia="仿宋_GB2312" w:cs="仿宋_GB2312"/>
          <w:bCs/>
          <w:sz w:val="28"/>
          <w:szCs w:val="28"/>
        </w:rPr>
        <w:t>本保密条款在本合同未生效、终止或解除后仍继续有效。</w:t>
      </w:r>
    </w:p>
    <w:p>
      <w:pPr>
        <w:pStyle w:val="24"/>
        <w:keepNext w:val="0"/>
        <w:keepLines w:val="0"/>
        <w:pageBreakBefore w:val="0"/>
        <w:widowControl w:val="0"/>
        <w:kinsoku/>
        <w:wordWrap/>
        <w:overflowPunct/>
        <w:topLinePunct w:val="0"/>
        <w:bidi w:val="0"/>
        <w:snapToGrid/>
        <w:spacing w:line="560" w:lineRule="exact"/>
        <w:ind w:left="0" w:leftChars="0" w:firstLine="562"/>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四、报价要求 </w:t>
      </w:r>
    </w:p>
    <w:p>
      <w:pPr>
        <w:pStyle w:val="24"/>
        <w:keepNext w:val="0"/>
        <w:keepLines w:val="0"/>
        <w:pageBreakBefore w:val="0"/>
        <w:widowControl w:val="0"/>
        <w:kinsoku/>
        <w:wordWrap/>
        <w:overflowPunct/>
        <w:topLinePunct w:val="0"/>
        <w:bidi w:val="0"/>
        <w:snapToGrid/>
        <w:spacing w:line="560" w:lineRule="exact"/>
        <w:ind w:left="0" w:leftChars="0" w:firstLine="56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本次报价为</w:t>
      </w:r>
      <w:r>
        <w:rPr>
          <w:rFonts w:hint="eastAsia" w:ascii="仿宋_GB2312" w:hAnsi="仿宋_GB2312" w:eastAsia="仿宋_GB2312" w:cs="仿宋_GB2312"/>
          <w:bCs/>
          <w:sz w:val="28"/>
          <w:szCs w:val="28"/>
          <w:lang w:val="en-US" w:eastAsia="zh-CN"/>
        </w:rPr>
        <w:t>总价报价</w:t>
      </w:r>
      <w:r>
        <w:rPr>
          <w:rFonts w:hint="eastAsia" w:ascii="仿宋_GB2312" w:hAnsi="仿宋_GB2312" w:eastAsia="仿宋_GB2312" w:cs="仿宋_GB2312"/>
          <w:bCs/>
          <w:sz w:val="28"/>
          <w:szCs w:val="28"/>
        </w:rPr>
        <w:t>，投标总价仅作为评标计分、暂定投标报价的依据；本项目中标价作为合同价款，最终总结算价不超过中标价。</w:t>
      </w:r>
    </w:p>
    <w:p>
      <w:pPr>
        <w:pStyle w:val="24"/>
        <w:keepNext w:val="0"/>
        <w:keepLines w:val="0"/>
        <w:pageBreakBefore w:val="0"/>
        <w:widowControl w:val="0"/>
        <w:kinsoku/>
        <w:wordWrap/>
        <w:overflowPunct/>
        <w:topLinePunct w:val="0"/>
        <w:bidi w:val="0"/>
        <w:snapToGrid/>
        <w:spacing w:line="560" w:lineRule="exact"/>
        <w:ind w:left="0" w:leftChars="0" w:firstLine="562"/>
        <w:textAlignment w:val="auto"/>
        <w:rPr>
          <w:rFonts w:ascii="仿宋_GB2312" w:hAnsi="仿宋_GB2312" w:eastAsia="仿宋_GB2312" w:cs="仿宋_GB2312"/>
          <w:bCs/>
          <w:sz w:val="28"/>
          <w:szCs w:val="28"/>
        </w:rPr>
      </w:pPr>
      <w:r>
        <w:rPr>
          <w:rFonts w:hint="eastAsia" w:ascii="仿宋_GB2312" w:hAnsi="仿宋_GB2312" w:eastAsia="仿宋_GB2312" w:cs="仿宋_GB2312"/>
          <w:b/>
          <w:sz w:val="28"/>
          <w:szCs w:val="28"/>
        </w:rPr>
        <w:t>投标总价不得超出本项目概算</w:t>
      </w:r>
      <w:r>
        <w:rPr>
          <w:rFonts w:hint="eastAsia" w:ascii="仿宋_GB2312" w:hAnsi="仿宋_GB2312" w:eastAsia="仿宋_GB2312" w:cs="仿宋_GB2312"/>
          <w:b/>
          <w:sz w:val="28"/>
          <w:szCs w:val="28"/>
          <w:lang w:val="en-US" w:eastAsia="zh-CN"/>
        </w:rPr>
        <w:t>28.9</w:t>
      </w:r>
      <w:r>
        <w:rPr>
          <w:rFonts w:hint="eastAsia" w:ascii="仿宋_GB2312" w:hAnsi="仿宋_GB2312" w:eastAsia="仿宋_GB2312" w:cs="仿宋_GB2312"/>
          <w:b/>
          <w:sz w:val="28"/>
          <w:szCs w:val="28"/>
        </w:rPr>
        <w:t>万元，否则投标无效。</w:t>
      </w:r>
      <w:r>
        <w:rPr>
          <w:rFonts w:hint="eastAsia" w:ascii="仿宋_GB2312" w:hAnsi="仿宋_GB2312" w:eastAsia="仿宋_GB2312" w:cs="仿宋_GB2312"/>
          <w:bCs/>
          <w:sz w:val="28"/>
          <w:szCs w:val="28"/>
        </w:rPr>
        <w:t>报价包含完成本项目所发生的一切费用，包括不限于一切劳务工作、税费、交通费、勘察费、调研费</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专家评审费</w:t>
      </w:r>
      <w:r>
        <w:rPr>
          <w:rFonts w:hint="eastAsia" w:ascii="仿宋_GB2312" w:hAnsi="仿宋_GB2312" w:eastAsia="仿宋_GB2312" w:cs="仿宋_GB2312"/>
          <w:bCs/>
          <w:sz w:val="28"/>
          <w:szCs w:val="28"/>
        </w:rPr>
        <w:t>等完成项目的服务。本项目根据招标人要求单个项目规模不同，均以同一单价进行结算，中标后单价不进行调整，请投标人综合考虑报价风险。</w:t>
      </w:r>
    </w:p>
    <w:p>
      <w:pPr>
        <w:pStyle w:val="24"/>
        <w:keepNext w:val="0"/>
        <w:keepLines w:val="0"/>
        <w:pageBreakBefore w:val="0"/>
        <w:widowControl w:val="0"/>
        <w:kinsoku/>
        <w:wordWrap/>
        <w:overflowPunct/>
        <w:topLinePunct w:val="0"/>
        <w:bidi w:val="0"/>
        <w:snapToGrid/>
        <w:spacing w:line="560" w:lineRule="exact"/>
        <w:ind w:left="0" w:leftChars="0" w:firstLine="562"/>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五、付款方式</w:t>
      </w:r>
    </w:p>
    <w:p>
      <w:pPr>
        <w:pStyle w:val="12"/>
        <w:spacing w:line="560" w:lineRule="exact"/>
        <w:ind w:right="-21" w:firstLine="720"/>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合同签订后，甲方据实支付该项目任务价的30%，中标人完成项目概念性方案编制提供成果文件且方案经甲方认可</w:t>
      </w:r>
      <w:r>
        <w:rPr>
          <w:rFonts w:hint="eastAsia" w:ascii="仿宋_GB2312" w:hAnsi="仿宋_GB2312" w:cs="仿宋_GB2312"/>
          <w:bCs/>
          <w:sz w:val="28"/>
          <w:szCs w:val="28"/>
          <w:lang w:val="en-US" w:eastAsia="zh-CN" w:bidi="ar-SA"/>
        </w:rPr>
        <w:t>并出具甲方确认材料后</w:t>
      </w:r>
      <w:r>
        <w:rPr>
          <w:rFonts w:hint="eastAsia" w:ascii="仿宋_GB2312" w:hAnsi="仿宋_GB2312" w:eastAsia="仿宋_GB2312" w:cs="仿宋_GB2312"/>
          <w:bCs/>
          <w:sz w:val="28"/>
          <w:szCs w:val="28"/>
          <w:lang w:val="en-US" w:eastAsia="zh-CN" w:bidi="ar-SA"/>
        </w:rPr>
        <w:t>据实支付该项目任务价的70%；最终项目总结算价不超过本项目中标价。</w:t>
      </w:r>
    </w:p>
    <w:p>
      <w:pPr>
        <w:pStyle w:val="12"/>
        <w:keepNext w:val="0"/>
        <w:keepLines w:val="0"/>
        <w:pageBreakBefore w:val="0"/>
        <w:widowControl w:val="0"/>
        <w:kinsoku/>
        <w:wordWrap/>
        <w:overflowPunct/>
        <w:topLinePunct w:val="0"/>
        <w:bidi w:val="0"/>
        <w:snapToGrid/>
        <w:spacing w:line="560" w:lineRule="exact"/>
        <w:ind w:firstLine="630"/>
        <w:textAlignment w:val="auto"/>
        <w:rPr>
          <w:rFonts w:ascii="仿宋_GB2312" w:hAnsi="仿宋_GB2312" w:cs="仿宋_GB2312"/>
          <w:bCs/>
          <w:sz w:val="28"/>
          <w:szCs w:val="28"/>
        </w:rPr>
      </w:pPr>
      <w:r>
        <w:rPr>
          <w:rFonts w:hint="eastAsia" w:ascii="仿宋_GB2312" w:hAnsi="仿宋_GB2312" w:cs="仿宋_GB2312"/>
          <w:bCs/>
          <w:sz w:val="28"/>
          <w:szCs w:val="28"/>
        </w:rPr>
        <w:t>每次付款前，乙方须按甲方要求提供合法有效的增值税专用发票。</w:t>
      </w:r>
    </w:p>
    <w:p>
      <w:pPr>
        <w:pStyle w:val="12"/>
        <w:ind w:firstLine="540"/>
        <w:rPr>
          <w:rFonts w:ascii="宋体" w:hAnsi="宋体"/>
          <w:szCs w:val="24"/>
        </w:rPr>
      </w:pPr>
    </w:p>
    <w:p>
      <w:pPr>
        <w:rPr>
          <w:rFonts w:hint="eastAsia" w:ascii="黑体" w:hAnsi="黑体"/>
          <w:b w:val="0"/>
        </w:rPr>
      </w:pPr>
      <w:bookmarkStart w:id="43" w:name="_Toc38879335"/>
      <w:bookmarkStart w:id="44" w:name="_Toc63412030"/>
      <w:bookmarkStart w:id="45" w:name="_Toc22621"/>
      <w:r>
        <w:rPr>
          <w:rFonts w:hint="eastAsia" w:ascii="黑体" w:hAnsi="黑体"/>
          <w:b w:val="0"/>
        </w:rPr>
        <w:br w:type="page"/>
      </w:r>
    </w:p>
    <w:p>
      <w:pPr>
        <w:pStyle w:val="2"/>
        <w:rPr>
          <w:b w:val="0"/>
          <w:szCs w:val="22"/>
        </w:rPr>
      </w:pPr>
      <w:r>
        <w:rPr>
          <w:rFonts w:hint="eastAsia" w:ascii="黑体" w:hAnsi="黑体"/>
          <w:b w:val="0"/>
        </w:rPr>
        <w:t>第四章  评审方法</w:t>
      </w:r>
      <w:bookmarkEnd w:id="43"/>
      <w:bookmarkEnd w:id="44"/>
      <w:r>
        <w:rPr>
          <w:rFonts w:hint="eastAsia" w:ascii="黑体" w:hAnsi="黑体"/>
          <w:b w:val="0"/>
        </w:rPr>
        <w:t>与标准</w:t>
      </w:r>
      <w:bookmarkEnd w:id="45"/>
    </w:p>
    <w:p>
      <w:pPr>
        <w:adjustRightInd w:val="0"/>
        <w:snapToGrid w:val="0"/>
        <w:spacing w:line="360" w:lineRule="auto"/>
        <w:ind w:right="-10" w:firstLine="420" w:firstLineChars="175"/>
        <w:rPr>
          <w:rFonts w:hAnsi="宋体"/>
          <w:bCs/>
        </w:rPr>
      </w:pPr>
      <w:bookmarkStart w:id="46"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2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414"/>
        <w:gridCol w:w="2182"/>
        <w:gridCol w:w="773"/>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3"/>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3"/>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2"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0" w:type="dxa"/>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2"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0" w:type="dxa"/>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lang w:val="en-US" w:eastAsia="zh-CN"/>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2"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lang w:val="en-US" w:eastAsia="zh-CN"/>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3"/>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80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20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1"/>
        <w:tblpPr w:leftFromText="180" w:rightFromText="180" w:vertAnchor="text" w:horzAnchor="page" w:tblpX="1664" w:tblpY="440"/>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03"/>
        <w:gridCol w:w="564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23" w:type="dxa"/>
          </w:tcPr>
          <w:p>
            <w:pPr>
              <w:jc w:val="center"/>
              <w:rPr>
                <w:rFonts w:hAnsi="宋体" w:cs="宋体"/>
                <w:b/>
                <w:color w:val="000000"/>
                <w:spacing w:val="-6"/>
                <w:szCs w:val="24"/>
              </w:rPr>
            </w:pPr>
          </w:p>
          <w:p>
            <w:pPr>
              <w:jc w:val="center"/>
              <w:rPr>
                <w:szCs w:val="24"/>
              </w:rPr>
            </w:pPr>
            <w:r>
              <w:rPr>
                <w:rFonts w:hAnsi="宋体" w:cs="宋体"/>
                <w:b/>
                <w:color w:val="000000"/>
                <w:spacing w:val="-6"/>
                <w:szCs w:val="24"/>
              </w:rPr>
              <w:t>类别</w:t>
            </w:r>
          </w:p>
        </w:tc>
        <w:tc>
          <w:tcPr>
            <w:tcW w:w="1403" w:type="dxa"/>
          </w:tcPr>
          <w:p>
            <w:pPr>
              <w:jc w:val="center"/>
              <w:rPr>
                <w:rFonts w:hAnsi="宋体" w:cs="宋体"/>
                <w:b/>
                <w:color w:val="000000"/>
                <w:spacing w:val="-4"/>
                <w:szCs w:val="24"/>
              </w:rPr>
            </w:pPr>
          </w:p>
          <w:p>
            <w:pPr>
              <w:jc w:val="center"/>
              <w:rPr>
                <w:szCs w:val="24"/>
              </w:rPr>
            </w:pPr>
            <w:r>
              <w:rPr>
                <w:rFonts w:hAnsi="宋体" w:cs="宋体"/>
                <w:b/>
                <w:color w:val="000000"/>
                <w:spacing w:val="-4"/>
                <w:szCs w:val="24"/>
              </w:rPr>
              <w:t>评分</w:t>
            </w:r>
            <w:r>
              <w:rPr>
                <w:rFonts w:hAnsi="宋体" w:cs="宋体"/>
                <w:b/>
                <w:color w:val="000000"/>
                <w:spacing w:val="-2"/>
                <w:szCs w:val="24"/>
              </w:rPr>
              <w:t>内容</w:t>
            </w:r>
          </w:p>
        </w:tc>
        <w:tc>
          <w:tcPr>
            <w:tcW w:w="5646" w:type="dxa"/>
          </w:tcPr>
          <w:p>
            <w:pPr>
              <w:jc w:val="center"/>
              <w:rPr>
                <w:rFonts w:hAnsi="宋体" w:cs="宋体"/>
                <w:b/>
                <w:color w:val="000000"/>
                <w:spacing w:val="-4"/>
                <w:szCs w:val="24"/>
              </w:rPr>
            </w:pPr>
          </w:p>
          <w:p>
            <w:pPr>
              <w:jc w:val="center"/>
              <w:rPr>
                <w:szCs w:val="24"/>
              </w:rPr>
            </w:pPr>
            <w:r>
              <w:rPr>
                <w:rFonts w:hAnsi="宋体" w:cs="宋体"/>
                <w:b/>
                <w:color w:val="000000"/>
                <w:spacing w:val="-4"/>
                <w:szCs w:val="24"/>
              </w:rPr>
              <w:t>评分</w:t>
            </w:r>
            <w:r>
              <w:rPr>
                <w:rFonts w:hAnsi="宋体" w:cs="宋体"/>
                <w:b/>
                <w:color w:val="000000"/>
                <w:spacing w:val="-2"/>
                <w:szCs w:val="24"/>
              </w:rPr>
              <w:t>标准</w:t>
            </w:r>
          </w:p>
        </w:tc>
        <w:tc>
          <w:tcPr>
            <w:tcW w:w="817" w:type="dxa"/>
          </w:tcPr>
          <w:p>
            <w:pPr>
              <w:jc w:val="center"/>
              <w:rPr>
                <w:rFonts w:hAnsi="宋体" w:cs="宋体"/>
                <w:b/>
                <w:color w:val="000000"/>
                <w:spacing w:val="-4"/>
                <w:szCs w:val="24"/>
              </w:rPr>
            </w:pPr>
          </w:p>
          <w:p>
            <w:pPr>
              <w:jc w:val="center"/>
              <w:rPr>
                <w:szCs w:val="24"/>
              </w:rPr>
            </w:pPr>
            <w:r>
              <w:rPr>
                <w:rFonts w:hAnsi="宋体" w:cs="宋体"/>
                <w:b/>
                <w:color w:val="000000"/>
                <w:spacing w:val="-4"/>
                <w:szCs w:val="24"/>
              </w:rPr>
              <w:t>分值</w:t>
            </w:r>
            <w:r>
              <w:rPr>
                <w:rFonts w:hAnsi="宋体" w:cs="宋体"/>
                <w:b/>
                <w:color w:val="000000"/>
                <w:spacing w:val="-2"/>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trPr>
        <w:tc>
          <w:tcPr>
            <w:tcW w:w="923" w:type="dxa"/>
            <w:vMerge w:val="restart"/>
          </w:tcPr>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ind w:left="134"/>
              <w:jc w:val="center"/>
              <w:rPr>
                <w:rFonts w:hAnsi="宋体" w:cs="宋体"/>
                <w:color w:val="000000"/>
                <w:spacing w:val="-3"/>
                <w:szCs w:val="24"/>
              </w:rPr>
            </w:pPr>
          </w:p>
          <w:p>
            <w:pPr>
              <w:autoSpaceDE w:val="0"/>
              <w:autoSpaceDN w:val="0"/>
              <w:jc w:val="center"/>
            </w:pPr>
            <w:r>
              <w:rPr>
                <w:rFonts w:hAnsi="宋体" w:cs="宋体"/>
                <w:color w:val="000000"/>
                <w:spacing w:val="-3"/>
                <w:szCs w:val="24"/>
              </w:rPr>
              <w:t>技术</w:t>
            </w:r>
            <w:r>
              <w:rPr>
                <w:rFonts w:hAnsi="宋体" w:cs="宋体"/>
                <w:color w:val="000000"/>
                <w:spacing w:val="-2"/>
                <w:szCs w:val="24"/>
              </w:rPr>
              <w:t>资信分</w:t>
            </w:r>
          </w:p>
          <w:p>
            <w:pPr>
              <w:spacing w:line="156" w:lineRule="exact"/>
              <w:jc w:val="center"/>
            </w:pPr>
          </w:p>
          <w:p>
            <w:pPr>
              <w:jc w:val="center"/>
            </w:pPr>
            <w:r>
              <w:rPr>
                <w:rFonts w:hint="eastAsia" w:hAnsi="宋体" w:cs="宋体"/>
                <w:color w:val="000000"/>
                <w:spacing w:val="-1"/>
                <w:szCs w:val="24"/>
              </w:rPr>
              <w:t>（</w:t>
            </w:r>
            <w:r>
              <w:rPr>
                <w:rFonts w:hint="eastAsia" w:hAnsi="宋体" w:cs="宋体"/>
                <w:color w:val="000000"/>
                <w:spacing w:val="-1"/>
                <w:szCs w:val="24"/>
                <w:lang w:val="en-US" w:eastAsia="zh-CN"/>
              </w:rPr>
              <w:t>8</w:t>
            </w:r>
            <w:r>
              <w:rPr>
                <w:rFonts w:hAnsi="宋体" w:cs="宋体"/>
                <w:color w:val="000000"/>
                <w:spacing w:val="-1"/>
                <w:szCs w:val="24"/>
              </w:rPr>
              <w:t>0</w:t>
            </w:r>
            <w:r>
              <w:rPr>
                <w:rFonts w:hAnsi="宋体" w:cs="宋体"/>
                <w:spacing w:val="-61"/>
                <w:szCs w:val="24"/>
              </w:rPr>
              <w:t xml:space="preserve"> </w:t>
            </w:r>
            <w:r>
              <w:rPr>
                <w:rFonts w:hAnsi="宋体" w:cs="宋体"/>
                <w:color w:val="000000"/>
                <w:spacing w:val="-3"/>
                <w:szCs w:val="24"/>
              </w:rPr>
              <w:t>分</w:t>
            </w:r>
            <w:r>
              <w:rPr>
                <w:rFonts w:hint="eastAsia" w:hAnsi="宋体" w:cs="宋体"/>
                <w:color w:val="000000"/>
                <w:spacing w:val="-1"/>
                <w:szCs w:val="24"/>
              </w:rPr>
              <w:t>）</w:t>
            </w:r>
          </w:p>
        </w:tc>
        <w:tc>
          <w:tcPr>
            <w:tcW w:w="1403" w:type="dxa"/>
            <w:vAlign w:val="center"/>
          </w:tcPr>
          <w:p>
            <w:pPr>
              <w:jc w:val="center"/>
            </w:pPr>
            <w:r>
              <w:rPr>
                <w:rFonts w:hint="eastAsia"/>
                <w:b/>
                <w:bCs/>
                <w:szCs w:val="24"/>
              </w:rPr>
              <w:t>投标人业绩</w:t>
            </w:r>
          </w:p>
        </w:tc>
        <w:tc>
          <w:tcPr>
            <w:tcW w:w="5646" w:type="dxa"/>
            <w:vAlign w:val="center"/>
          </w:tcPr>
          <w:p>
            <w:pPr>
              <w:pStyle w:val="4"/>
              <w:rPr>
                <w:rFonts w:hint="eastAsia" w:hAnsi="宋体"/>
                <w:szCs w:val="21"/>
                <w:lang w:val="en-US" w:eastAsia="zh-CN"/>
              </w:rPr>
            </w:pPr>
            <w:r>
              <w:rPr>
                <w:rFonts w:hint="eastAsia" w:hAnsi="宋体"/>
                <w:szCs w:val="21"/>
              </w:rPr>
              <w:t>投标人自2020年1月1日以来，（以合同签订时间为准），投标人承担过城市更新、存量资产</w:t>
            </w:r>
            <w:r>
              <w:rPr>
                <w:rFonts w:hint="eastAsia" w:hAnsi="宋体"/>
                <w:szCs w:val="21"/>
                <w:lang w:val="en-US" w:eastAsia="zh-CN"/>
              </w:rPr>
              <w:t>优化</w:t>
            </w:r>
            <w:r>
              <w:rPr>
                <w:rFonts w:hint="eastAsia" w:hAnsi="宋体"/>
                <w:szCs w:val="21"/>
              </w:rPr>
              <w:t>等相关规划、研究或咨询类的</w:t>
            </w:r>
            <w:r>
              <w:rPr>
                <w:rFonts w:hint="eastAsia" w:hAnsi="宋体"/>
                <w:szCs w:val="21"/>
                <w:lang w:val="en-US" w:eastAsia="zh-CN"/>
              </w:rPr>
              <w:t>服务业绩</w:t>
            </w:r>
            <w:r>
              <w:rPr>
                <w:rFonts w:hint="eastAsia" w:hAnsi="宋体"/>
                <w:szCs w:val="21"/>
              </w:rPr>
              <w:t>，</w:t>
            </w:r>
            <w:r>
              <w:rPr>
                <w:rFonts w:hint="eastAsia" w:hAnsi="宋体"/>
                <w:szCs w:val="21"/>
                <w:lang w:val="en-US" w:eastAsia="zh-CN"/>
              </w:rPr>
              <w:t>且满足以下条件的：</w:t>
            </w:r>
          </w:p>
          <w:p>
            <w:pPr>
              <w:keepNext w:val="0"/>
              <w:keepLines w:val="0"/>
              <w:widowControl/>
              <w:suppressLineNumbers w:val="0"/>
              <w:jc w:val="both"/>
              <w:rPr>
                <w:rFonts w:hint="eastAsia" w:ascii="Courier New" w:hAnsi="宋体" w:eastAsia="宋体" w:cs="Times New Roman"/>
                <w:sz w:val="24"/>
                <w:szCs w:val="21"/>
                <w:lang w:val="en-US" w:eastAsia="zh-CN" w:bidi="ar-SA"/>
              </w:rPr>
            </w:pPr>
            <w:r>
              <w:rPr>
                <w:rFonts w:hint="eastAsia" w:ascii="Courier New" w:hAnsi="宋体" w:eastAsia="宋体" w:cs="Times New Roman"/>
                <w:sz w:val="24"/>
                <w:szCs w:val="21"/>
                <w:lang w:val="en-US" w:eastAsia="zh-CN" w:bidi="ar-SA"/>
              </w:rPr>
              <w:t xml:space="preserve">(1) 单个合同总金额不低于 </w:t>
            </w:r>
            <w:r>
              <w:rPr>
                <w:rFonts w:hint="eastAsia" w:ascii="Courier New" w:hAnsi="宋体" w:cs="Times New Roman"/>
                <w:sz w:val="24"/>
                <w:szCs w:val="21"/>
                <w:lang w:val="en-US" w:eastAsia="zh-CN" w:bidi="ar-SA"/>
              </w:rPr>
              <w:t>4</w:t>
            </w:r>
            <w:r>
              <w:rPr>
                <w:rFonts w:hint="eastAsia" w:ascii="Courier New" w:hAnsi="宋体" w:eastAsia="宋体" w:cs="Times New Roman"/>
                <w:sz w:val="24"/>
                <w:szCs w:val="21"/>
                <w:lang w:val="en-US" w:eastAsia="zh-CN" w:bidi="ar-SA"/>
              </w:rPr>
              <w:t xml:space="preserve">0 万元(含)的，每个得 </w:t>
            </w:r>
            <w:r>
              <w:rPr>
                <w:rFonts w:hint="eastAsia" w:ascii="Courier New" w:hAnsi="宋体" w:cs="Times New Roman"/>
                <w:sz w:val="24"/>
                <w:szCs w:val="21"/>
                <w:lang w:val="en-US" w:eastAsia="zh-CN" w:bidi="ar-SA"/>
              </w:rPr>
              <w:t>5</w:t>
            </w:r>
            <w:r>
              <w:rPr>
                <w:rFonts w:hint="eastAsia" w:ascii="Courier New" w:hAnsi="宋体" w:eastAsia="宋体" w:cs="Times New Roman"/>
                <w:sz w:val="24"/>
                <w:szCs w:val="21"/>
                <w:lang w:val="en-US" w:eastAsia="zh-CN" w:bidi="ar-SA"/>
              </w:rPr>
              <w:t xml:space="preserve">分; </w:t>
            </w:r>
          </w:p>
          <w:p>
            <w:pPr>
              <w:keepNext w:val="0"/>
              <w:keepLines w:val="0"/>
              <w:widowControl/>
              <w:suppressLineNumbers w:val="0"/>
              <w:jc w:val="both"/>
              <w:rPr>
                <w:rFonts w:hint="eastAsia" w:ascii="Courier New" w:hAnsi="宋体" w:eastAsia="宋体" w:cs="Times New Roman"/>
                <w:sz w:val="24"/>
                <w:szCs w:val="21"/>
                <w:lang w:val="en-US" w:eastAsia="zh-CN" w:bidi="ar-SA"/>
              </w:rPr>
            </w:pPr>
            <w:r>
              <w:rPr>
                <w:rFonts w:hint="eastAsia" w:ascii="Courier New" w:hAnsi="宋体" w:eastAsia="宋体" w:cs="Times New Roman"/>
                <w:sz w:val="24"/>
                <w:szCs w:val="21"/>
                <w:lang w:val="en-US" w:eastAsia="zh-CN" w:bidi="ar-SA"/>
              </w:rPr>
              <w:t xml:space="preserve">(2) 单个合同总金额在 </w:t>
            </w:r>
            <w:r>
              <w:rPr>
                <w:rFonts w:hint="eastAsia" w:ascii="Courier New" w:hAnsi="宋体" w:cs="Times New Roman"/>
                <w:sz w:val="24"/>
                <w:szCs w:val="21"/>
                <w:lang w:val="en-US" w:eastAsia="zh-CN" w:bidi="ar-SA"/>
              </w:rPr>
              <w:t>3</w:t>
            </w:r>
            <w:r>
              <w:rPr>
                <w:rFonts w:hint="eastAsia" w:ascii="Courier New" w:hAnsi="宋体" w:eastAsia="宋体" w:cs="Times New Roman"/>
                <w:sz w:val="24"/>
                <w:szCs w:val="21"/>
                <w:lang w:val="en-US" w:eastAsia="zh-CN" w:bidi="ar-SA"/>
              </w:rPr>
              <w:t>0 万元(含)-</w:t>
            </w:r>
            <w:r>
              <w:rPr>
                <w:rFonts w:hint="eastAsia" w:ascii="Courier New" w:hAnsi="宋体" w:cs="Times New Roman"/>
                <w:sz w:val="24"/>
                <w:szCs w:val="21"/>
                <w:lang w:val="en-US" w:eastAsia="zh-CN" w:bidi="ar-SA"/>
              </w:rPr>
              <w:t>4</w:t>
            </w:r>
            <w:r>
              <w:rPr>
                <w:rFonts w:hint="eastAsia" w:ascii="Courier New" w:hAnsi="宋体" w:eastAsia="宋体" w:cs="Times New Roman"/>
                <w:sz w:val="24"/>
                <w:szCs w:val="21"/>
                <w:lang w:val="en-US" w:eastAsia="zh-CN" w:bidi="ar-SA"/>
              </w:rPr>
              <w:t>0 万元(不含)的， 每个业绩得</w:t>
            </w:r>
            <w:r>
              <w:rPr>
                <w:rFonts w:hint="eastAsia" w:ascii="Courier New" w:hAnsi="宋体" w:cs="Times New Roman"/>
                <w:sz w:val="24"/>
                <w:szCs w:val="21"/>
                <w:lang w:val="en-US" w:eastAsia="zh-CN" w:bidi="ar-SA"/>
              </w:rPr>
              <w:t>3</w:t>
            </w:r>
            <w:r>
              <w:rPr>
                <w:rFonts w:hint="eastAsia" w:ascii="Courier New" w:hAnsi="宋体" w:eastAsia="宋体" w:cs="Times New Roman"/>
                <w:sz w:val="24"/>
                <w:szCs w:val="21"/>
                <w:lang w:val="en-US" w:eastAsia="zh-CN" w:bidi="ar-SA"/>
              </w:rPr>
              <w:t xml:space="preserve">分; </w:t>
            </w:r>
          </w:p>
          <w:p>
            <w:pPr>
              <w:keepNext w:val="0"/>
              <w:keepLines w:val="0"/>
              <w:widowControl/>
              <w:suppressLineNumbers w:val="0"/>
              <w:jc w:val="both"/>
              <w:rPr>
                <w:rFonts w:hint="eastAsia" w:ascii="Courier New" w:hAnsi="宋体" w:eastAsia="宋体" w:cs="Times New Roman"/>
                <w:sz w:val="24"/>
                <w:szCs w:val="21"/>
                <w:lang w:val="en-US" w:eastAsia="zh-CN" w:bidi="ar-SA"/>
              </w:rPr>
            </w:pPr>
            <w:r>
              <w:rPr>
                <w:rFonts w:hint="eastAsia" w:ascii="Courier New" w:hAnsi="宋体" w:eastAsia="宋体" w:cs="Times New Roman"/>
                <w:sz w:val="24"/>
                <w:szCs w:val="21"/>
                <w:lang w:val="en-US" w:eastAsia="zh-CN" w:bidi="ar-SA"/>
              </w:rPr>
              <w:t xml:space="preserve">(3)单个合同总金额在 </w:t>
            </w:r>
            <w:r>
              <w:rPr>
                <w:rFonts w:hint="eastAsia" w:ascii="Courier New" w:hAnsi="宋体" w:cs="Times New Roman"/>
                <w:sz w:val="24"/>
                <w:szCs w:val="21"/>
                <w:lang w:val="en-US" w:eastAsia="zh-CN" w:bidi="ar-SA"/>
              </w:rPr>
              <w:t>2</w:t>
            </w:r>
            <w:r>
              <w:rPr>
                <w:rFonts w:hint="eastAsia" w:ascii="Courier New" w:hAnsi="宋体" w:eastAsia="宋体" w:cs="Times New Roman"/>
                <w:sz w:val="24"/>
                <w:szCs w:val="21"/>
                <w:lang w:val="en-US" w:eastAsia="zh-CN" w:bidi="ar-SA"/>
              </w:rPr>
              <w:t>0 万元(含)-</w:t>
            </w:r>
            <w:r>
              <w:rPr>
                <w:rFonts w:hint="eastAsia" w:ascii="Courier New" w:hAnsi="宋体" w:cs="Times New Roman"/>
                <w:sz w:val="24"/>
                <w:szCs w:val="21"/>
                <w:lang w:val="en-US" w:eastAsia="zh-CN" w:bidi="ar-SA"/>
              </w:rPr>
              <w:t>3</w:t>
            </w:r>
            <w:r>
              <w:rPr>
                <w:rFonts w:hint="eastAsia" w:ascii="Courier New" w:hAnsi="宋体" w:eastAsia="宋体" w:cs="Times New Roman"/>
                <w:sz w:val="24"/>
                <w:szCs w:val="21"/>
                <w:lang w:val="en-US" w:eastAsia="zh-CN" w:bidi="ar-SA"/>
              </w:rPr>
              <w:t xml:space="preserve">0 万元(不含)的， 每个业绩得 </w:t>
            </w:r>
            <w:r>
              <w:rPr>
                <w:rFonts w:hint="eastAsia" w:ascii="Courier New" w:hAnsi="宋体" w:cs="Times New Roman"/>
                <w:sz w:val="24"/>
                <w:szCs w:val="21"/>
                <w:lang w:val="en-US" w:eastAsia="zh-CN" w:bidi="ar-SA"/>
              </w:rPr>
              <w:t>1</w:t>
            </w:r>
            <w:r>
              <w:rPr>
                <w:rFonts w:hint="eastAsia" w:ascii="Courier New" w:hAnsi="宋体" w:eastAsia="宋体" w:cs="Times New Roman"/>
                <w:sz w:val="24"/>
                <w:szCs w:val="21"/>
                <w:lang w:val="en-US" w:eastAsia="zh-CN" w:bidi="ar-SA"/>
              </w:rPr>
              <w:t xml:space="preserve">分; </w:t>
            </w:r>
          </w:p>
          <w:p>
            <w:pPr>
              <w:keepNext w:val="0"/>
              <w:keepLines w:val="0"/>
              <w:widowControl/>
              <w:suppressLineNumbers w:val="0"/>
              <w:jc w:val="both"/>
              <w:rPr>
                <w:rFonts w:hint="default" w:ascii="Courier New" w:hAnsi="宋体" w:eastAsia="宋体" w:cs="Times New Roman"/>
                <w:sz w:val="24"/>
                <w:szCs w:val="21"/>
                <w:lang w:val="en-US" w:eastAsia="zh-CN" w:bidi="ar-SA"/>
              </w:rPr>
            </w:pPr>
            <w:r>
              <w:rPr>
                <w:rFonts w:hint="eastAsia" w:ascii="Courier New" w:hAnsi="宋体" w:eastAsia="宋体" w:cs="Times New Roman"/>
                <w:sz w:val="24"/>
                <w:szCs w:val="21"/>
                <w:lang w:val="en-US" w:eastAsia="zh-CN" w:bidi="ar-SA"/>
              </w:rPr>
              <w:t>（4）单个合同总金额低于20万元（不含）的，不得分</w:t>
            </w:r>
            <w:r>
              <w:rPr>
                <w:rFonts w:hint="eastAsia" w:ascii="Courier New" w:hAnsi="宋体" w:cs="Times New Roman"/>
                <w:sz w:val="24"/>
                <w:szCs w:val="21"/>
                <w:lang w:val="en-US" w:eastAsia="zh-CN" w:bidi="ar-SA"/>
              </w:rPr>
              <w:t>。</w:t>
            </w:r>
          </w:p>
          <w:p>
            <w:pPr>
              <w:keepNext w:val="0"/>
              <w:keepLines w:val="0"/>
              <w:widowControl/>
              <w:suppressLineNumbers w:val="0"/>
              <w:jc w:val="left"/>
              <w:rPr>
                <w:rFonts w:hint="eastAsia" w:eastAsia="宋体"/>
                <w:lang w:eastAsia="zh-CN"/>
              </w:rPr>
            </w:pPr>
            <w:r>
              <w:rPr>
                <w:rFonts w:hint="eastAsia" w:hAnsi="宋体" w:cs="宋体"/>
                <w:b/>
                <w:bCs/>
                <w:color w:val="000000"/>
                <w:szCs w:val="24"/>
                <w:lang w:val="en-US" w:eastAsia="zh-CN" w:bidi="ar"/>
              </w:rPr>
              <w:t>注：</w:t>
            </w:r>
            <w:r>
              <w:rPr>
                <w:rFonts w:hAnsi="宋体" w:cs="宋体"/>
                <w:b/>
                <w:bCs/>
                <w:color w:val="000000"/>
                <w:szCs w:val="24"/>
                <w:lang w:bidi="ar"/>
              </w:rPr>
              <w:t>（1）本项满分</w:t>
            </w:r>
            <w:r>
              <w:rPr>
                <w:rFonts w:hint="eastAsia" w:hAnsi="宋体" w:cs="宋体"/>
                <w:b/>
                <w:bCs/>
                <w:color w:val="000000"/>
                <w:szCs w:val="24"/>
                <w:lang w:val="en-US" w:eastAsia="zh-CN" w:bidi="ar"/>
              </w:rPr>
              <w:t>25</w:t>
            </w:r>
            <w:bookmarkStart w:id="94" w:name="_GoBack"/>
            <w:bookmarkEnd w:id="94"/>
            <w:r>
              <w:rPr>
                <w:rFonts w:hAnsi="宋体" w:cs="宋体"/>
                <w:b/>
                <w:bCs/>
                <w:color w:val="000000"/>
                <w:szCs w:val="24"/>
                <w:lang w:bidi="ar"/>
              </w:rPr>
              <w:t>分</w:t>
            </w:r>
            <w:r>
              <w:rPr>
                <w:rFonts w:hint="eastAsia" w:hAnsi="宋体" w:cs="宋体"/>
                <w:b/>
                <w:bCs/>
                <w:color w:val="000000"/>
                <w:szCs w:val="24"/>
                <w:lang w:eastAsia="zh-CN" w:bidi="ar"/>
              </w:rPr>
              <w:t>，</w:t>
            </w:r>
            <w:r>
              <w:rPr>
                <w:rFonts w:hAnsi="宋体" w:cs="宋体"/>
                <w:b/>
                <w:bCs/>
                <w:color w:val="000000"/>
                <w:szCs w:val="24"/>
                <w:lang w:val="en-US" w:eastAsia="zh-CN" w:bidi="ar"/>
              </w:rPr>
              <w:t>最多仅计取5个业绩</w:t>
            </w:r>
          </w:p>
          <w:p>
            <w:pPr>
              <w:widowControl/>
            </w:pPr>
            <w:r>
              <w:rPr>
                <w:rFonts w:hAnsi="宋体" w:cs="宋体"/>
                <w:b/>
                <w:bCs/>
                <w:color w:val="000000"/>
                <w:szCs w:val="24"/>
                <w:lang w:bidi="ar"/>
              </w:rPr>
              <w:t>（2）投标文件中须提供业绩合同</w:t>
            </w:r>
            <w:r>
              <w:rPr>
                <w:rFonts w:hint="eastAsia" w:hAnsi="宋体" w:cs="宋体"/>
                <w:b/>
                <w:bCs/>
                <w:color w:val="000000"/>
                <w:szCs w:val="24"/>
                <w:lang w:bidi="ar"/>
              </w:rPr>
              <w:t>复印</w:t>
            </w:r>
            <w:r>
              <w:rPr>
                <w:rFonts w:hAnsi="宋体" w:cs="宋体"/>
                <w:b/>
                <w:bCs/>
                <w:color w:val="000000"/>
                <w:szCs w:val="24"/>
                <w:lang w:bidi="ar"/>
              </w:rPr>
              <w:t>件。</w:t>
            </w:r>
          </w:p>
          <w:p>
            <w:pPr>
              <w:widowControl/>
            </w:pPr>
            <w:r>
              <w:rPr>
                <w:rFonts w:hAnsi="宋体" w:cs="宋体"/>
                <w:b/>
                <w:bCs/>
                <w:color w:val="000000"/>
                <w:szCs w:val="24"/>
                <w:lang w:bidi="ar"/>
              </w:rPr>
              <w:t>（3）如投标人提供的业绩合同</w:t>
            </w:r>
            <w:r>
              <w:rPr>
                <w:rFonts w:hint="eastAsia" w:hAnsi="宋体" w:cs="宋体"/>
                <w:b/>
                <w:bCs/>
                <w:color w:val="000000"/>
                <w:szCs w:val="24"/>
                <w:lang w:bidi="ar"/>
              </w:rPr>
              <w:t>复印</w:t>
            </w:r>
            <w:r>
              <w:rPr>
                <w:rFonts w:hAnsi="宋体" w:cs="宋体"/>
                <w:b/>
                <w:bCs/>
                <w:color w:val="000000"/>
                <w:szCs w:val="24"/>
                <w:lang w:bidi="ar"/>
              </w:rPr>
              <w:t>件未能明确反映出磋商文件所要求的内容的（如合同总金额、服务内容等），应另附业主（或合同甲方）证明材料予以明确说明，须加盖项目业主单位或合同甲方公章，否则磋商小组不予认可。</w:t>
            </w:r>
          </w:p>
          <w:p>
            <w:r>
              <w:rPr>
                <w:rFonts w:hAnsi="宋体" w:cs="宋体"/>
                <w:b/>
                <w:bCs/>
                <w:color w:val="000000"/>
                <w:szCs w:val="24"/>
                <w:lang w:bidi="ar"/>
              </w:rPr>
              <w:t>（4）</w:t>
            </w:r>
            <w:r>
              <w:rPr>
                <w:rFonts w:hint="eastAsia" w:hAnsi="宋体" w:cs="宋体"/>
                <w:b/>
                <w:bCs/>
                <w:color w:val="000000"/>
                <w:szCs w:val="24"/>
                <w:lang w:val="en-US" w:eastAsia="zh-CN" w:bidi="ar"/>
              </w:rPr>
              <w:t>不同年度</w:t>
            </w:r>
            <w:r>
              <w:rPr>
                <w:rFonts w:hAnsi="宋体" w:cs="宋体"/>
                <w:b/>
                <w:bCs/>
                <w:color w:val="000000"/>
                <w:szCs w:val="24"/>
                <w:lang w:bidi="ar"/>
              </w:rPr>
              <w:t>同一业绩同时满足以上要求的，仅认可一次。</w:t>
            </w:r>
          </w:p>
        </w:tc>
        <w:tc>
          <w:tcPr>
            <w:tcW w:w="817" w:type="dxa"/>
          </w:tcPr>
          <w:p>
            <w:pPr>
              <w:spacing w:line="332" w:lineRule="exact"/>
              <w:jc w:val="left"/>
            </w:pPr>
          </w:p>
          <w:p>
            <w:pPr>
              <w:jc w:val="left"/>
              <w:rPr>
                <w:rFonts w:hAnsi="宋体" w:cs="宋体"/>
                <w:color w:val="000000"/>
                <w:spacing w:val="-2"/>
                <w:szCs w:val="24"/>
              </w:rPr>
            </w:pPr>
          </w:p>
          <w:p>
            <w:pPr>
              <w:jc w:val="left"/>
              <w:rPr>
                <w:rFonts w:hAnsi="宋体" w:cs="宋体"/>
                <w:color w:val="000000"/>
                <w:spacing w:val="-2"/>
                <w:szCs w:val="24"/>
              </w:rPr>
            </w:pPr>
          </w:p>
          <w:p>
            <w:pPr>
              <w:jc w:val="center"/>
            </w:pPr>
          </w:p>
          <w:p>
            <w:pPr>
              <w:rPr>
                <w:rFonts w:hAnsi="宋体" w:cs="宋体"/>
                <w:color w:val="000000"/>
                <w:spacing w:val="-2"/>
                <w:szCs w:val="24"/>
              </w:rPr>
            </w:pPr>
          </w:p>
          <w:p>
            <w:pPr>
              <w:rPr>
                <w:rFonts w:hAnsi="宋体" w:cs="宋体"/>
                <w:color w:val="000000"/>
                <w:spacing w:val="-2"/>
                <w:szCs w:val="24"/>
              </w:rPr>
            </w:pPr>
          </w:p>
          <w:p>
            <w:pPr>
              <w:rPr>
                <w:rFonts w:hAnsi="宋体" w:cs="宋体"/>
                <w:color w:val="000000"/>
                <w:spacing w:val="-2"/>
                <w:szCs w:val="24"/>
              </w:rPr>
            </w:pPr>
          </w:p>
          <w:p>
            <w:pPr>
              <w:jc w:val="center"/>
              <w:rPr>
                <w:rFonts w:hAnsi="宋体" w:cs="宋体"/>
                <w:color w:val="000000"/>
                <w:spacing w:val="-2"/>
                <w:szCs w:val="24"/>
              </w:rPr>
            </w:pPr>
          </w:p>
          <w:p>
            <w:pPr>
              <w:jc w:val="center"/>
            </w:pPr>
            <w:r>
              <w:rPr>
                <w:rFonts w:hAnsi="宋体" w:cs="宋体"/>
                <w:color w:val="000000"/>
                <w:spacing w:val="-2"/>
                <w:szCs w:val="24"/>
              </w:rPr>
              <w:t>0-</w:t>
            </w:r>
            <w:r>
              <w:rPr>
                <w:rFonts w:hint="eastAsia" w:hAnsi="宋体" w:cs="宋体"/>
                <w:color w:val="000000"/>
                <w:spacing w:val="-2"/>
                <w:szCs w:val="24"/>
                <w:lang w:val="en-US" w:eastAsia="zh-CN"/>
              </w:rPr>
              <w:t>25</w:t>
            </w:r>
            <w:r>
              <w:rPr>
                <w:rFonts w:hAnsi="宋体" w:cs="宋体"/>
                <w:color w:val="000000"/>
                <w:spacing w:val="-2"/>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jc w:val="center"/>
            </w:pPr>
            <w:r>
              <w:rPr>
                <w:rFonts w:hint="eastAsia"/>
                <w:b/>
                <w:bCs/>
                <w:szCs w:val="24"/>
              </w:rPr>
              <w:t>项目组成员</w:t>
            </w:r>
          </w:p>
        </w:tc>
        <w:tc>
          <w:tcPr>
            <w:tcW w:w="5646" w:type="dxa"/>
            <w:vAlign w:val="center"/>
          </w:tcPr>
          <w:p>
            <w:pPr>
              <w:pStyle w:val="4"/>
              <w:numPr>
                <w:ilvl w:val="0"/>
                <w:numId w:val="0"/>
              </w:numPr>
              <w:rPr>
                <w:rFonts w:hint="default" w:hAnsi="宋体"/>
                <w:szCs w:val="21"/>
                <w:lang w:val="en-US" w:eastAsia="zh-CN"/>
              </w:rPr>
            </w:pPr>
            <w:r>
              <w:rPr>
                <w:rFonts w:hint="eastAsia" w:hAnsi="宋体"/>
                <w:szCs w:val="21"/>
                <w:lang w:eastAsia="zh-CN"/>
              </w:rPr>
              <w:t>（</w:t>
            </w:r>
            <w:r>
              <w:rPr>
                <w:rFonts w:hint="eastAsia" w:hAnsi="宋体"/>
                <w:szCs w:val="21"/>
                <w:lang w:val="en-US" w:eastAsia="zh-CN"/>
              </w:rPr>
              <w:t>1</w:t>
            </w:r>
            <w:r>
              <w:rPr>
                <w:rFonts w:hint="eastAsia" w:hAnsi="宋体"/>
                <w:szCs w:val="21"/>
                <w:lang w:eastAsia="zh-CN"/>
              </w:rPr>
              <w:t>）</w:t>
            </w:r>
            <w:r>
              <w:rPr>
                <w:rFonts w:hint="eastAsia" w:hAnsi="宋体"/>
                <w:szCs w:val="21"/>
                <w:lang w:val="en-US" w:eastAsia="zh-CN"/>
              </w:rPr>
              <w:t>项目负责人业绩（4分）</w:t>
            </w:r>
          </w:p>
          <w:p>
            <w:pPr>
              <w:pStyle w:val="4"/>
              <w:numPr>
                <w:ilvl w:val="0"/>
                <w:numId w:val="0"/>
              </w:numPr>
              <w:rPr>
                <w:rFonts w:hint="eastAsia" w:hAnsi="宋体"/>
                <w:szCs w:val="21"/>
              </w:rPr>
            </w:pPr>
            <w:r>
              <w:rPr>
                <w:rFonts w:hint="eastAsia" w:hAnsi="宋体"/>
                <w:szCs w:val="21"/>
              </w:rPr>
              <w:t>自2020年1月1日以来，（以合同签订时间为准）项目负责人承担过至少1个规划、研究或咨询类</w:t>
            </w:r>
            <w:r>
              <w:rPr>
                <w:rFonts w:hint="eastAsia" w:hAnsi="宋体"/>
                <w:szCs w:val="21"/>
                <w:lang w:val="en-US" w:eastAsia="zh-CN"/>
              </w:rPr>
              <w:t>项目</w:t>
            </w:r>
            <w:r>
              <w:rPr>
                <w:rFonts w:hint="eastAsia" w:hAnsi="宋体"/>
                <w:szCs w:val="21"/>
              </w:rPr>
              <w:t>的每有1个得2分，最高的</w:t>
            </w:r>
            <w:r>
              <w:rPr>
                <w:rFonts w:hint="eastAsia" w:hAnsi="宋体"/>
                <w:szCs w:val="21"/>
                <w:lang w:val="en-US" w:eastAsia="zh-CN"/>
              </w:rPr>
              <w:t>4</w:t>
            </w:r>
            <w:r>
              <w:rPr>
                <w:rFonts w:hint="eastAsia" w:hAnsi="宋体"/>
                <w:szCs w:val="21"/>
              </w:rPr>
              <w:t>分。</w:t>
            </w:r>
          </w:p>
          <w:p>
            <w:pPr>
              <w:pStyle w:val="4"/>
              <w:numPr>
                <w:ilvl w:val="0"/>
                <w:numId w:val="0"/>
              </w:numPr>
              <w:rPr>
                <w:rFonts w:hint="default" w:hAnsi="宋体"/>
                <w:szCs w:val="21"/>
                <w:lang w:val="en-US" w:eastAsia="zh-CN"/>
              </w:rPr>
            </w:pPr>
            <w:r>
              <w:rPr>
                <w:rFonts w:hint="eastAsia" w:hAnsi="宋体"/>
                <w:szCs w:val="21"/>
                <w:lang w:eastAsia="zh-CN"/>
              </w:rPr>
              <w:t>（</w:t>
            </w:r>
            <w:r>
              <w:rPr>
                <w:rFonts w:hint="eastAsia" w:hAnsi="宋体"/>
                <w:szCs w:val="21"/>
                <w:lang w:val="en-US" w:eastAsia="zh-CN"/>
              </w:rPr>
              <w:t>2</w:t>
            </w:r>
            <w:r>
              <w:rPr>
                <w:rFonts w:hint="eastAsia" w:hAnsi="宋体"/>
                <w:szCs w:val="21"/>
                <w:lang w:eastAsia="zh-CN"/>
              </w:rPr>
              <w:t>）</w:t>
            </w:r>
            <w:r>
              <w:rPr>
                <w:rFonts w:hint="eastAsia" w:hAnsi="宋体"/>
                <w:szCs w:val="21"/>
                <w:lang w:val="en-US" w:eastAsia="zh-CN"/>
              </w:rPr>
              <w:t>项目组成员学历要求（5分）</w:t>
            </w:r>
          </w:p>
          <w:p>
            <w:pPr>
              <w:pStyle w:val="4"/>
              <w:numPr>
                <w:ilvl w:val="0"/>
                <w:numId w:val="0"/>
              </w:numPr>
              <w:rPr>
                <w:rFonts w:hAnsi="宋体"/>
                <w:szCs w:val="21"/>
              </w:rPr>
            </w:pPr>
            <w:r>
              <w:rPr>
                <w:rFonts w:hint="eastAsia" w:hAnsi="宋体"/>
                <w:szCs w:val="21"/>
              </w:rPr>
              <w:t>项目组成员有博士生学历的每有1位得2分；硕士学历每有1位得1分；最高得5分。</w:t>
            </w:r>
          </w:p>
          <w:p>
            <w:pPr>
              <w:tabs>
                <w:tab w:val="left" w:pos="348"/>
              </w:tabs>
              <w:autoSpaceDE w:val="0"/>
              <w:autoSpaceDN w:val="0"/>
              <w:rPr>
                <w:rFonts w:hAnsi="宋体" w:cs="宋体"/>
                <w:b/>
                <w:bCs/>
                <w:spacing w:val="-7"/>
                <w:szCs w:val="24"/>
                <w:lang w:bidi="zh-CN"/>
              </w:rPr>
            </w:pPr>
            <w:r>
              <w:rPr>
                <w:rFonts w:hint="eastAsia" w:hAnsi="宋体" w:cs="宋体"/>
                <w:b/>
                <w:bCs/>
                <w:spacing w:val="-7"/>
                <w:szCs w:val="24"/>
                <w:lang w:bidi="zh-CN"/>
              </w:rPr>
              <w:t>注：（1）上述拟配人员不得兼任，</w:t>
            </w:r>
            <w:r>
              <w:rPr>
                <w:rFonts w:hint="eastAsia" w:hAnsi="宋体" w:cs="宋体"/>
                <w:b/>
                <w:bCs/>
                <w:spacing w:val="-7"/>
                <w:szCs w:val="24"/>
                <w:lang w:val="en-US" w:bidi="zh-CN"/>
              </w:rPr>
              <w:t>人员团队名单自拟。</w:t>
            </w:r>
            <w:r>
              <w:rPr>
                <w:rFonts w:hint="eastAsia" w:hAnsi="宋体" w:cs="宋体"/>
                <w:b/>
                <w:bCs/>
                <w:spacing w:val="-7"/>
                <w:szCs w:val="24"/>
                <w:lang w:bidi="zh-CN"/>
              </w:rPr>
              <w:t>投标文件中提供人员证件（证书或奖状或获奖文件）的影印件〔学历证书需同时提供学信网截图、等级证书需同时提供技能人才评价证书全国联网查询截图）作为评审依据，上述材料须体现人员姓名、证书的类别、证书的发放单位，</w:t>
            </w:r>
            <w:r>
              <w:rPr>
                <w:rFonts w:hint="eastAsia" w:hAnsi="宋体" w:cs="宋体"/>
                <w:b/>
                <w:bCs/>
                <w:spacing w:val="-7"/>
                <w:szCs w:val="24"/>
                <w:lang w:val="zh-CN" w:bidi="zh-CN"/>
              </w:rPr>
              <w:t>如无法体现，须另附颁奖单位的相</w:t>
            </w:r>
            <w:r>
              <w:rPr>
                <w:rFonts w:hint="eastAsia" w:hAnsi="宋体" w:cs="宋体"/>
                <w:b/>
                <w:bCs/>
                <w:szCs w:val="24"/>
                <w:lang w:val="zh-CN" w:bidi="zh-CN"/>
              </w:rPr>
              <w:t>关证明材料扫描件，</w:t>
            </w:r>
            <w:r>
              <w:rPr>
                <w:rFonts w:hint="eastAsia" w:hAnsi="宋体" w:cs="宋体"/>
                <w:b/>
                <w:bCs/>
                <w:spacing w:val="-7"/>
                <w:szCs w:val="24"/>
                <w:lang w:bidi="zh-CN"/>
              </w:rPr>
              <w:t>未提供或提供不全的，不得分。</w:t>
            </w:r>
          </w:p>
          <w:p>
            <w:pPr>
              <w:pStyle w:val="9"/>
              <w:numPr>
                <w:ilvl w:val="0"/>
                <w:numId w:val="24"/>
              </w:numPr>
              <w:ind w:firstLine="0"/>
              <w:rPr>
                <w:rFonts w:hint="eastAsia" w:hAnsi="宋体" w:cs="宋体"/>
                <w:b/>
                <w:bCs/>
                <w:spacing w:val="-7"/>
                <w:szCs w:val="24"/>
                <w:lang w:bidi="zh-CN"/>
              </w:rPr>
            </w:pPr>
            <w:r>
              <w:rPr>
                <w:rFonts w:hint="eastAsia" w:hAnsi="宋体" w:cs="宋体"/>
                <w:b/>
                <w:bCs/>
                <w:spacing w:val="-7"/>
                <w:szCs w:val="24"/>
                <w:lang w:val="en-US" w:bidi="zh-CN"/>
              </w:rPr>
              <w:t>提供拟派人员名单（格式自拟）。</w:t>
            </w:r>
            <w:r>
              <w:rPr>
                <w:rFonts w:hint="eastAsia" w:hAnsi="宋体" w:cs="宋体"/>
                <w:b/>
                <w:bCs/>
                <w:spacing w:val="-7"/>
                <w:szCs w:val="24"/>
                <w:lang w:bidi="zh-CN"/>
              </w:rPr>
              <w:t>除以上证明材料外，投标文件中须提供供应商为上述人员缴纳的</w:t>
            </w:r>
            <w:r>
              <w:rPr>
                <w:rFonts w:hint="eastAsia" w:hAnsi="宋体" w:cs="宋体"/>
                <w:b/>
                <w:bCs/>
                <w:spacing w:val="-7"/>
                <w:szCs w:val="24"/>
                <w:lang w:val="en-US" w:bidi="zh-CN"/>
              </w:rPr>
              <w:t>近三个月任意一个月</w:t>
            </w:r>
            <w:r>
              <w:rPr>
                <w:rFonts w:hint="eastAsia" w:hAnsi="宋体" w:cs="宋体"/>
                <w:b/>
                <w:bCs/>
                <w:spacing w:val="-7"/>
                <w:szCs w:val="24"/>
                <w:lang w:bidi="zh-CN"/>
              </w:rPr>
              <w:t>的社保证明材料，社保证明材料具体要求详见投标供应商须知前附表。未提供社保证明不得分。</w:t>
            </w:r>
          </w:p>
          <w:p>
            <w:pPr>
              <w:pStyle w:val="9"/>
              <w:numPr>
                <w:ilvl w:val="0"/>
                <w:numId w:val="24"/>
              </w:numPr>
              <w:ind w:firstLine="0"/>
              <w:rPr>
                <w:rFonts w:hint="eastAsia" w:hAnsi="宋体" w:cs="宋体"/>
                <w:b/>
                <w:bCs/>
                <w:spacing w:val="-7"/>
                <w:szCs w:val="24"/>
                <w:lang w:bidi="zh-CN"/>
              </w:rPr>
            </w:pPr>
            <w:r>
              <w:rPr>
                <w:rFonts w:hAnsi="宋体" w:cs="宋体"/>
                <w:b/>
                <w:bCs/>
                <w:color w:val="000000"/>
                <w:szCs w:val="24"/>
                <w:lang w:bidi="ar"/>
              </w:rPr>
              <w:t>如投标人提供的业绩合同</w:t>
            </w:r>
            <w:r>
              <w:rPr>
                <w:rFonts w:hint="eastAsia" w:hAnsi="宋体" w:cs="宋体"/>
                <w:b/>
                <w:bCs/>
                <w:color w:val="000000"/>
                <w:szCs w:val="24"/>
                <w:lang w:bidi="ar"/>
              </w:rPr>
              <w:t>复印</w:t>
            </w:r>
            <w:r>
              <w:rPr>
                <w:rFonts w:hAnsi="宋体" w:cs="宋体"/>
                <w:b/>
                <w:bCs/>
                <w:color w:val="000000"/>
                <w:szCs w:val="24"/>
                <w:lang w:bidi="ar"/>
              </w:rPr>
              <w:t>件未能明确反映出磋商文件所要求的内容的（如服务内容等），应另附业主（或合同甲方）证明材料予以明确说明，须加盖项目业主单位或合同甲方公章，否则磋商小组不予认可。</w:t>
            </w:r>
          </w:p>
        </w:tc>
        <w:tc>
          <w:tcPr>
            <w:tcW w:w="817" w:type="dxa"/>
          </w:tcPr>
          <w:p>
            <w:pPr>
              <w:rPr>
                <w:rFonts w:hAnsi="宋体" w:cs="宋体"/>
                <w:color w:val="000000"/>
                <w:spacing w:val="-2"/>
                <w:szCs w:val="24"/>
              </w:rPr>
            </w:pPr>
          </w:p>
          <w:p>
            <w:pPr>
              <w:rPr>
                <w:rFonts w:hAnsi="宋体" w:cs="宋体"/>
                <w:color w:val="000000"/>
                <w:spacing w:val="-2"/>
                <w:szCs w:val="24"/>
              </w:rPr>
            </w:pPr>
          </w:p>
          <w:p>
            <w:pPr>
              <w:jc w:val="center"/>
              <w:rPr>
                <w:rFonts w:hAnsi="宋体" w:cs="宋体"/>
                <w:color w:val="000000"/>
                <w:spacing w:val="-2"/>
                <w:szCs w:val="24"/>
              </w:rPr>
            </w:pPr>
          </w:p>
          <w:p>
            <w:pPr>
              <w:jc w:val="center"/>
              <w:rPr>
                <w:rFonts w:hAnsi="宋体" w:cs="宋体"/>
                <w:color w:val="000000"/>
                <w:spacing w:val="-2"/>
                <w:szCs w:val="24"/>
              </w:rPr>
            </w:pPr>
          </w:p>
          <w:p>
            <w:pPr>
              <w:jc w:val="center"/>
            </w:pPr>
            <w:r>
              <w:rPr>
                <w:rFonts w:hAnsi="宋体" w:cs="宋体"/>
                <w:color w:val="000000"/>
                <w:spacing w:val="-2"/>
                <w:szCs w:val="24"/>
              </w:rPr>
              <w:t>0-</w:t>
            </w:r>
            <w:r>
              <w:rPr>
                <w:rFonts w:hint="eastAsia" w:hAnsi="宋体" w:cs="宋体"/>
                <w:color w:val="000000"/>
                <w:spacing w:val="-2"/>
                <w:szCs w:val="24"/>
                <w:lang w:val="en-US" w:eastAsia="zh-CN"/>
              </w:rPr>
              <w:t>9</w:t>
            </w:r>
            <w:r>
              <w:rPr>
                <w:rFonts w:hAnsi="宋体" w:cs="宋体"/>
                <w:color w:val="000000"/>
                <w:spacing w:val="-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widowControl/>
              <w:jc w:val="center"/>
              <w:textAlignment w:val="center"/>
              <w:rPr>
                <w:rFonts w:hint="eastAsia" w:eastAsia="宋体"/>
                <w:b/>
                <w:bCs/>
                <w:lang w:val="en-US" w:eastAsia="zh-CN"/>
              </w:rPr>
            </w:pPr>
            <w:r>
              <w:rPr>
                <w:rFonts w:hint="eastAsia"/>
                <w:b/>
                <w:bCs/>
              </w:rPr>
              <w:t>项目</w:t>
            </w:r>
            <w:r>
              <w:rPr>
                <w:rFonts w:hint="eastAsia"/>
                <w:b/>
                <w:bCs/>
                <w:lang w:val="en-US" w:eastAsia="zh-CN"/>
              </w:rPr>
              <w:t>定位认知</w:t>
            </w:r>
          </w:p>
          <w:p>
            <w:pPr>
              <w:jc w:val="center"/>
            </w:pPr>
          </w:p>
        </w:tc>
        <w:tc>
          <w:tcPr>
            <w:tcW w:w="5646" w:type="dxa"/>
            <w:vAlign w:val="center"/>
          </w:tcPr>
          <w:p>
            <w:pPr>
              <w:pStyle w:val="4"/>
              <w:rPr>
                <w:rFonts w:hAnsi="宋体"/>
                <w:szCs w:val="21"/>
              </w:rPr>
            </w:pPr>
            <w:r>
              <w:rPr>
                <w:rFonts w:hint="eastAsia" w:hAnsi="宋体"/>
                <w:szCs w:val="21"/>
              </w:rPr>
              <w:t>评委根据投标人对项目</w:t>
            </w:r>
            <w:r>
              <w:rPr>
                <w:rFonts w:hint="eastAsia" w:hAnsi="宋体"/>
                <w:szCs w:val="21"/>
                <w:lang w:val="en-US" w:eastAsia="zh-CN"/>
              </w:rPr>
              <w:t>的定位认知</w:t>
            </w:r>
            <w:r>
              <w:rPr>
                <w:rFonts w:hint="eastAsia" w:hAnsi="宋体"/>
                <w:szCs w:val="21"/>
              </w:rPr>
              <w:t>，进行评分：</w:t>
            </w:r>
          </w:p>
          <w:p>
            <w:pPr>
              <w:pStyle w:val="4"/>
              <w:rPr>
                <w:rFonts w:hAnsi="宋体"/>
                <w:szCs w:val="21"/>
              </w:rPr>
            </w:pPr>
            <w:r>
              <w:rPr>
                <w:rFonts w:hint="eastAsia" w:hAnsi="宋体"/>
                <w:szCs w:val="21"/>
              </w:rPr>
              <w:t>项目</w:t>
            </w:r>
            <w:r>
              <w:rPr>
                <w:rFonts w:hint="eastAsia" w:hAnsi="宋体"/>
                <w:szCs w:val="21"/>
                <w:lang w:val="en-US" w:eastAsia="zh-CN"/>
              </w:rPr>
              <w:t>认知</w:t>
            </w:r>
            <w:r>
              <w:rPr>
                <w:rFonts w:hint="eastAsia" w:hAnsi="宋体"/>
                <w:szCs w:val="21"/>
              </w:rPr>
              <w:t>全面，对项目定位的重难点理解到位、准确，定位方案合理、切实可行的，得</w:t>
            </w:r>
            <w:r>
              <w:rPr>
                <w:rFonts w:hint="eastAsia" w:ascii="宋体" w:hAnsi="宋体" w:eastAsia="宋体" w:cs="宋体"/>
                <w:b w:val="0"/>
                <w:bCs w:val="0"/>
                <w:color w:val="000000"/>
                <w:kern w:val="0"/>
                <w:sz w:val="21"/>
                <w:szCs w:val="21"/>
                <w:lang w:val="en-US" w:eastAsia="zh-CN" w:bidi="ar"/>
              </w:rPr>
              <w:t xml:space="preserve"> </w:t>
            </w:r>
            <w:r>
              <w:rPr>
                <w:rFonts w:hint="eastAsia" w:ascii="宋体" w:hAnsi="宋体" w:cs="宋体"/>
                <w:b w:val="0"/>
                <w:bCs w:val="0"/>
                <w:color w:val="000000"/>
                <w:kern w:val="0"/>
                <w:sz w:val="21"/>
                <w:szCs w:val="21"/>
                <w:lang w:val="en-US" w:eastAsia="zh-CN" w:bidi="ar"/>
              </w:rPr>
              <w:t>10</w:t>
            </w:r>
            <w:r>
              <w:rPr>
                <w:rFonts w:hint="eastAsia" w:ascii="宋体" w:hAnsi="宋体" w:eastAsia="宋体" w:cs="宋体"/>
                <w:b w:val="0"/>
                <w:bCs w:val="0"/>
                <w:color w:val="000000"/>
                <w:kern w:val="0"/>
                <w:sz w:val="21"/>
                <w:szCs w:val="21"/>
                <w:lang w:val="en-US" w:eastAsia="zh-CN" w:bidi="ar"/>
              </w:rPr>
              <w:t>≤F≤</w:t>
            </w:r>
            <w:r>
              <w:rPr>
                <w:rFonts w:hint="eastAsia" w:ascii="宋体" w:hAnsi="宋体" w:cs="宋体"/>
                <w:b w:val="0"/>
                <w:bCs w:val="0"/>
                <w:color w:val="000000"/>
                <w:kern w:val="0"/>
                <w:sz w:val="21"/>
                <w:szCs w:val="21"/>
                <w:lang w:val="en-US" w:eastAsia="zh-CN" w:bidi="ar"/>
              </w:rPr>
              <w:t>13</w:t>
            </w:r>
            <w:r>
              <w:rPr>
                <w:rFonts w:hint="eastAsia" w:ascii="宋体" w:hAnsi="宋体"/>
                <w:szCs w:val="21"/>
              </w:rPr>
              <w:t>分</w:t>
            </w:r>
            <w:r>
              <w:rPr>
                <w:rFonts w:hint="eastAsia" w:hAnsi="宋体"/>
                <w:szCs w:val="21"/>
              </w:rPr>
              <w:t>；</w:t>
            </w:r>
          </w:p>
          <w:p>
            <w:pPr>
              <w:pStyle w:val="4"/>
              <w:rPr>
                <w:rFonts w:hAnsi="宋体"/>
                <w:szCs w:val="21"/>
              </w:rPr>
            </w:pPr>
            <w:r>
              <w:rPr>
                <w:rFonts w:hint="eastAsia" w:hAnsi="宋体"/>
                <w:szCs w:val="21"/>
              </w:rPr>
              <w:t>项目</w:t>
            </w:r>
            <w:r>
              <w:rPr>
                <w:rFonts w:hint="eastAsia" w:hAnsi="宋体"/>
                <w:szCs w:val="21"/>
                <w:lang w:val="en-US" w:eastAsia="zh-CN"/>
              </w:rPr>
              <w:t>认知</w:t>
            </w:r>
            <w:r>
              <w:rPr>
                <w:rFonts w:hint="eastAsia" w:hAnsi="宋体"/>
                <w:szCs w:val="21"/>
              </w:rPr>
              <w:t>较全面，理解较完整、准确，项目定位方案具有一定理解和参考价值的，得</w:t>
            </w:r>
            <w:r>
              <w:rPr>
                <w:rFonts w:hint="eastAsia" w:ascii="宋体" w:hAnsi="宋体" w:cs="宋体"/>
                <w:b w:val="0"/>
                <w:bCs w:val="0"/>
                <w:color w:val="000000"/>
                <w:kern w:val="0"/>
                <w:sz w:val="21"/>
                <w:szCs w:val="21"/>
                <w:lang w:val="en-US" w:eastAsia="zh-CN" w:bidi="ar"/>
              </w:rPr>
              <w:t>6</w:t>
            </w:r>
            <w:r>
              <w:rPr>
                <w:rFonts w:hint="eastAsia" w:ascii="宋体" w:hAnsi="宋体" w:eastAsia="宋体" w:cs="宋体"/>
                <w:b w:val="0"/>
                <w:bCs w:val="0"/>
                <w:color w:val="000000"/>
                <w:kern w:val="0"/>
                <w:sz w:val="21"/>
                <w:szCs w:val="21"/>
                <w:lang w:val="en-US" w:eastAsia="zh-CN" w:bidi="ar"/>
              </w:rPr>
              <w:t>≤F＜</w:t>
            </w:r>
            <w:r>
              <w:rPr>
                <w:rFonts w:hint="eastAsia" w:ascii="宋体" w:hAnsi="宋体" w:cs="宋体"/>
                <w:b w:val="0"/>
                <w:bCs w:val="0"/>
                <w:color w:val="000000"/>
                <w:kern w:val="0"/>
                <w:sz w:val="21"/>
                <w:szCs w:val="21"/>
                <w:lang w:val="en-US" w:eastAsia="zh-CN" w:bidi="ar"/>
              </w:rPr>
              <w:t>10</w:t>
            </w:r>
            <w:r>
              <w:rPr>
                <w:rFonts w:hint="eastAsia" w:hAnsi="宋体"/>
                <w:szCs w:val="21"/>
              </w:rPr>
              <w:t>分；</w:t>
            </w:r>
          </w:p>
          <w:p>
            <w:pPr>
              <w:pStyle w:val="4"/>
              <w:rPr>
                <w:rFonts w:hAnsi="宋体"/>
                <w:szCs w:val="21"/>
              </w:rPr>
            </w:pPr>
            <w:r>
              <w:rPr>
                <w:rFonts w:hint="eastAsia" w:hAnsi="宋体"/>
                <w:szCs w:val="21"/>
              </w:rPr>
              <w:t>项目</w:t>
            </w:r>
            <w:r>
              <w:rPr>
                <w:rFonts w:hint="eastAsia" w:hAnsi="宋体"/>
                <w:szCs w:val="21"/>
                <w:lang w:val="en-US" w:eastAsia="zh-CN"/>
              </w:rPr>
              <w:t>认知</w:t>
            </w:r>
            <w:r>
              <w:rPr>
                <w:rFonts w:hint="eastAsia" w:hAnsi="宋体"/>
                <w:szCs w:val="21"/>
              </w:rPr>
              <w:t>基本全面，理解基本完整、准确的，得</w:t>
            </w:r>
            <w:r>
              <w:rPr>
                <w:rFonts w:hint="eastAsia" w:ascii="宋体" w:hAnsi="宋体" w:eastAsia="宋体" w:cs="宋体"/>
                <w:b w:val="0"/>
                <w:bCs w:val="0"/>
                <w:color w:val="000000"/>
                <w:kern w:val="0"/>
                <w:sz w:val="21"/>
                <w:szCs w:val="21"/>
                <w:lang w:val="en-US" w:eastAsia="zh-CN" w:bidi="ar"/>
              </w:rPr>
              <w:t xml:space="preserve"> 0＜F＜6</w:t>
            </w:r>
            <w:r>
              <w:rPr>
                <w:rFonts w:hint="eastAsia" w:hAnsi="宋体"/>
                <w:szCs w:val="21"/>
              </w:rPr>
              <w:t>分；</w:t>
            </w:r>
          </w:p>
          <w:p>
            <w:pPr>
              <w:widowControl/>
              <w:jc w:val="left"/>
            </w:pPr>
            <w:r>
              <w:rPr>
                <w:rFonts w:hint="eastAsia" w:hAnsi="宋体"/>
                <w:szCs w:val="21"/>
                <w:lang w:val="en-US" w:eastAsia="zh-CN"/>
              </w:rPr>
              <w:t>未提供</w:t>
            </w:r>
            <w:r>
              <w:rPr>
                <w:rFonts w:hint="eastAsia" w:hAnsi="宋体"/>
                <w:szCs w:val="21"/>
              </w:rPr>
              <w:t>不得分。</w:t>
            </w:r>
          </w:p>
        </w:tc>
        <w:tc>
          <w:tcPr>
            <w:tcW w:w="817" w:type="dxa"/>
          </w:tcPr>
          <w:p>
            <w:pPr>
              <w:rPr>
                <w:rFonts w:hAnsi="宋体" w:cs="宋体"/>
                <w:color w:val="000000"/>
                <w:spacing w:val="-2"/>
                <w:szCs w:val="24"/>
              </w:rPr>
            </w:pPr>
          </w:p>
          <w:p>
            <w:pPr>
              <w:rPr>
                <w:rFonts w:hAnsi="宋体" w:cs="宋体"/>
                <w:color w:val="000000"/>
                <w:spacing w:val="-2"/>
                <w:szCs w:val="24"/>
              </w:rPr>
            </w:pPr>
          </w:p>
          <w:p>
            <w:pPr>
              <w:jc w:val="center"/>
            </w:pPr>
            <w:r>
              <w:rPr>
                <w:rFonts w:hAnsi="宋体" w:cs="宋体"/>
                <w:color w:val="000000"/>
                <w:spacing w:val="-2"/>
                <w:szCs w:val="24"/>
              </w:rPr>
              <w:t>0-</w:t>
            </w:r>
            <w:r>
              <w:rPr>
                <w:rFonts w:hint="eastAsia" w:hAnsi="宋体" w:cs="宋体"/>
                <w:color w:val="000000"/>
                <w:spacing w:val="-2"/>
                <w:szCs w:val="24"/>
                <w:lang w:val="en-US" w:eastAsia="zh-CN"/>
              </w:rPr>
              <w:t>13</w:t>
            </w:r>
            <w:r>
              <w:rPr>
                <w:rFonts w:hAnsi="宋体" w:cs="宋体"/>
                <w:color w:val="000000"/>
                <w:spacing w:val="-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widowControl/>
              <w:jc w:val="center"/>
              <w:textAlignment w:val="center"/>
              <w:rPr>
                <w:b/>
                <w:bCs/>
              </w:rPr>
            </w:pPr>
            <w:r>
              <w:rPr>
                <w:rFonts w:hint="eastAsia"/>
                <w:b/>
                <w:bCs/>
              </w:rPr>
              <w:t>总体工作思路、技术路线</w:t>
            </w:r>
          </w:p>
          <w:p>
            <w:pPr>
              <w:jc w:val="center"/>
            </w:pPr>
          </w:p>
        </w:tc>
        <w:tc>
          <w:tcPr>
            <w:tcW w:w="5646" w:type="dxa"/>
            <w:vAlign w:val="center"/>
          </w:tcPr>
          <w:p>
            <w:pPr>
              <w:pStyle w:val="4"/>
              <w:rPr>
                <w:rFonts w:hAnsi="宋体"/>
                <w:szCs w:val="21"/>
              </w:rPr>
            </w:pPr>
            <w:r>
              <w:rPr>
                <w:rFonts w:hint="eastAsia" w:hAnsi="宋体"/>
                <w:szCs w:val="21"/>
              </w:rPr>
              <w:t>（1）总体工作思路</w:t>
            </w:r>
            <w:r>
              <w:rPr>
                <w:rFonts w:hint="eastAsia" w:hAnsi="宋体"/>
                <w:szCs w:val="21"/>
                <w:lang w:val="en-US" w:eastAsia="zh-CN"/>
              </w:rPr>
              <w:t>是否</w:t>
            </w:r>
            <w:r>
              <w:rPr>
                <w:rFonts w:hint="eastAsia" w:hAnsi="宋体"/>
                <w:szCs w:val="21"/>
              </w:rPr>
              <w:t>清晰严谨、能充分满足本项目要求</w:t>
            </w:r>
            <w:r>
              <w:rPr>
                <w:rFonts w:hint="eastAsia" w:hAnsi="宋体"/>
                <w:szCs w:val="21"/>
                <w:lang w:eastAsia="zh-CN"/>
              </w:rPr>
              <w:t>，</w:t>
            </w:r>
            <w:r>
              <w:rPr>
                <w:rFonts w:hint="eastAsia" w:hAnsi="宋体"/>
                <w:szCs w:val="21"/>
              </w:rPr>
              <w:t>技术路线技术手段、研究步骤</w:t>
            </w:r>
            <w:r>
              <w:rPr>
                <w:rFonts w:hint="eastAsia" w:hAnsi="宋体"/>
                <w:szCs w:val="21"/>
                <w:lang w:val="en-US" w:eastAsia="zh-CN"/>
              </w:rPr>
              <w:t>是否</w:t>
            </w:r>
            <w:r>
              <w:rPr>
                <w:rFonts w:hint="eastAsia" w:hAnsi="宋体"/>
                <w:szCs w:val="21"/>
              </w:rPr>
              <w:t>科学合理，主要研究途径和关键性问题解决方法针对性、可行性</w:t>
            </w:r>
            <w:r>
              <w:rPr>
                <w:rFonts w:hint="eastAsia" w:hAnsi="宋体"/>
                <w:szCs w:val="21"/>
                <w:lang w:eastAsia="zh-CN"/>
              </w:rPr>
              <w:t>由评标委员会进行综合打分。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 xml:space="preserve">优秀的得 </w:t>
            </w:r>
            <w:r>
              <w:rPr>
                <w:rFonts w:hint="eastAsia" w:hAnsi="宋体" w:cs="Times New Roman"/>
                <w:szCs w:val="21"/>
                <w:lang w:val="en-US" w:eastAsia="zh-CN"/>
              </w:rPr>
              <w:t>10</w:t>
            </w:r>
            <w:r>
              <w:rPr>
                <w:rFonts w:hint="eastAsia" w:hAnsi="宋体" w:eastAsia="宋体" w:cs="Times New Roman"/>
                <w:szCs w:val="21"/>
                <w:lang w:val="en-US" w:eastAsia="zh-CN"/>
              </w:rPr>
              <w:t>≤F≤</w:t>
            </w:r>
            <w:r>
              <w:rPr>
                <w:rFonts w:hint="eastAsia" w:hAnsi="宋体" w:cs="Times New Roman"/>
                <w:szCs w:val="21"/>
                <w:lang w:val="en-US" w:eastAsia="zh-CN"/>
              </w:rPr>
              <w:t>13</w:t>
            </w:r>
            <w:r>
              <w:rPr>
                <w:rFonts w:hint="eastAsia" w:hAnsi="宋体" w:eastAsia="宋体" w:cs="Times New Roman"/>
                <w:szCs w:val="21"/>
                <w:lang w:val="en-US" w:eastAsia="zh-CN"/>
              </w:rPr>
              <w:t>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良好得 6≤F＜</w:t>
            </w:r>
            <w:r>
              <w:rPr>
                <w:rFonts w:hint="eastAsia" w:hAnsi="宋体" w:cs="Times New Roman"/>
                <w:szCs w:val="21"/>
                <w:lang w:val="en-US" w:eastAsia="zh-CN"/>
              </w:rPr>
              <w:t>10</w:t>
            </w:r>
            <w:r>
              <w:rPr>
                <w:rFonts w:hint="eastAsia" w:hAnsi="宋体" w:eastAsia="宋体" w:cs="Times New Roman"/>
                <w:szCs w:val="21"/>
                <w:lang w:val="en-US" w:eastAsia="zh-CN"/>
              </w:rPr>
              <w:t>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一般得 0＜F＜6分，</w:t>
            </w:r>
          </w:p>
          <w:p>
            <w:pPr>
              <w:widowControl/>
              <w:jc w:val="left"/>
            </w:pPr>
            <w:r>
              <w:rPr>
                <w:rFonts w:hint="eastAsia" w:hAnsi="宋体" w:eastAsia="宋体" w:cs="Times New Roman"/>
                <w:szCs w:val="21"/>
                <w:lang w:val="en-US" w:eastAsia="zh-CN"/>
              </w:rPr>
              <w:t>未提供的不得分</w:t>
            </w:r>
          </w:p>
        </w:tc>
        <w:tc>
          <w:tcPr>
            <w:tcW w:w="817" w:type="dxa"/>
          </w:tcPr>
          <w:p>
            <w:pPr>
              <w:jc w:val="center"/>
              <w:rPr>
                <w:rFonts w:hAnsi="宋体" w:cs="宋体"/>
                <w:color w:val="000000"/>
                <w:spacing w:val="-2"/>
                <w:szCs w:val="24"/>
              </w:rPr>
            </w:pPr>
          </w:p>
          <w:p>
            <w:pPr>
              <w:jc w:val="center"/>
              <w:rPr>
                <w:rFonts w:hAnsi="宋体" w:cs="宋体"/>
                <w:color w:val="000000"/>
                <w:spacing w:val="-2"/>
                <w:szCs w:val="24"/>
              </w:rPr>
            </w:pPr>
          </w:p>
          <w:p>
            <w:pPr>
              <w:jc w:val="center"/>
              <w:rPr>
                <w:rFonts w:hAnsi="宋体" w:cs="宋体"/>
                <w:color w:val="000000"/>
                <w:spacing w:val="-2"/>
                <w:szCs w:val="24"/>
              </w:rPr>
            </w:pPr>
          </w:p>
          <w:p>
            <w:pPr>
              <w:jc w:val="center"/>
            </w:pPr>
            <w:r>
              <w:rPr>
                <w:rFonts w:hAnsi="宋体" w:cs="宋体"/>
                <w:color w:val="000000"/>
                <w:spacing w:val="-2"/>
                <w:szCs w:val="24"/>
              </w:rPr>
              <w:t>0</w:t>
            </w:r>
            <w:r>
              <w:rPr>
                <w:rFonts w:hAnsi="宋体" w:cs="宋体"/>
                <w:color w:val="000000"/>
                <w:spacing w:val="-3"/>
                <w:szCs w:val="24"/>
              </w:rPr>
              <w:t>-</w:t>
            </w:r>
            <w:r>
              <w:rPr>
                <w:rFonts w:hint="eastAsia" w:hAnsi="宋体" w:cs="宋体"/>
                <w:color w:val="000000"/>
                <w:spacing w:val="-3"/>
                <w:szCs w:val="24"/>
                <w:lang w:val="en-US" w:eastAsia="zh-CN"/>
              </w:rPr>
              <w:t>13</w:t>
            </w:r>
            <w:r>
              <w:rPr>
                <w:rFonts w:hAnsi="宋体" w:cs="宋体"/>
                <w:color w:val="000000"/>
                <w:spacing w:val="-5"/>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widowControl/>
              <w:jc w:val="center"/>
              <w:textAlignment w:val="center"/>
              <w:rPr>
                <w:b/>
                <w:bCs/>
              </w:rPr>
            </w:pPr>
            <w:r>
              <w:rPr>
                <w:rFonts w:hint="eastAsia"/>
                <w:b/>
                <w:bCs/>
              </w:rPr>
              <w:t>质量、进度保障措施</w:t>
            </w:r>
          </w:p>
          <w:p>
            <w:pPr>
              <w:jc w:val="center"/>
              <w:rPr>
                <w:rFonts w:hAnsi="宋体" w:cs="宋体"/>
                <w:color w:val="000000"/>
                <w:spacing w:val="-3"/>
                <w:szCs w:val="24"/>
              </w:rPr>
            </w:pPr>
          </w:p>
        </w:tc>
        <w:tc>
          <w:tcPr>
            <w:tcW w:w="5646" w:type="dxa"/>
            <w:vAlign w:val="center"/>
          </w:tcPr>
          <w:p>
            <w:pPr>
              <w:pStyle w:val="4"/>
              <w:rPr>
                <w:rFonts w:hint="eastAsia" w:hAnsi="宋体"/>
                <w:szCs w:val="21"/>
              </w:rPr>
            </w:pPr>
            <w:r>
              <w:rPr>
                <w:rFonts w:hint="eastAsia" w:hAnsi="宋体"/>
                <w:szCs w:val="21"/>
              </w:rPr>
              <w:t>质量保障措施</w:t>
            </w:r>
            <w:r>
              <w:rPr>
                <w:rFonts w:hint="eastAsia" w:hAnsi="宋体"/>
                <w:szCs w:val="21"/>
                <w:lang w:val="en-US" w:eastAsia="zh-CN"/>
              </w:rPr>
              <w:t>与</w:t>
            </w:r>
            <w:r>
              <w:rPr>
                <w:rFonts w:hint="eastAsia" w:hAnsi="宋体"/>
                <w:szCs w:val="21"/>
              </w:rPr>
              <w:t>进度保障措施</w:t>
            </w:r>
            <w:r>
              <w:rPr>
                <w:rFonts w:hint="eastAsia" w:hAnsi="宋体"/>
                <w:szCs w:val="21"/>
                <w:lang w:val="en-US" w:eastAsia="zh-CN"/>
              </w:rPr>
              <w:t>是否完整，</w:t>
            </w:r>
            <w:r>
              <w:rPr>
                <w:rFonts w:hint="eastAsia" w:hAnsi="宋体"/>
                <w:szCs w:val="21"/>
              </w:rPr>
              <w:t>科学合理、切实可行理</w:t>
            </w:r>
            <w:r>
              <w:rPr>
                <w:rFonts w:hint="eastAsia" w:hAnsi="宋体"/>
                <w:szCs w:val="21"/>
                <w:lang w:eastAsia="zh-CN"/>
              </w:rPr>
              <w:t>，由评标委员会进行综合打分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优秀的得 6≤F≤10分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良好得 3≤F＜6分，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一般得 0＜F＜3分，</w:t>
            </w:r>
          </w:p>
          <w:p>
            <w:pPr>
              <w:widowControl/>
              <w:jc w:val="left"/>
              <w:rPr>
                <w:rFonts w:hAnsi="宋体" w:cs="宋体"/>
                <w:spacing w:val="-3"/>
                <w:szCs w:val="24"/>
              </w:rPr>
            </w:pPr>
            <w:r>
              <w:rPr>
                <w:rFonts w:hint="eastAsia" w:hAnsi="宋体" w:eastAsia="宋体" w:cs="Times New Roman"/>
                <w:szCs w:val="21"/>
                <w:lang w:val="en-US" w:eastAsia="zh-CN"/>
              </w:rPr>
              <w:t>未提供的不得分</w:t>
            </w:r>
          </w:p>
        </w:tc>
        <w:tc>
          <w:tcPr>
            <w:tcW w:w="817" w:type="dxa"/>
          </w:tcPr>
          <w:p>
            <w:pPr>
              <w:rPr>
                <w:rFonts w:hAnsi="宋体" w:cs="宋体"/>
                <w:spacing w:val="-2"/>
                <w:szCs w:val="24"/>
              </w:rPr>
            </w:pPr>
          </w:p>
          <w:p>
            <w:pPr>
              <w:jc w:val="center"/>
              <w:rPr>
                <w:rFonts w:hAnsi="宋体" w:cs="宋体"/>
                <w:spacing w:val="-2"/>
                <w:szCs w:val="24"/>
              </w:rPr>
            </w:pPr>
            <w:r>
              <w:rPr>
                <w:rFonts w:hAnsi="宋体" w:cs="宋体"/>
                <w:spacing w:val="-2"/>
                <w:szCs w:val="24"/>
              </w:rPr>
              <w:t>0</w:t>
            </w:r>
            <w:r>
              <w:rPr>
                <w:rFonts w:hAnsi="宋体" w:cs="宋体"/>
                <w:spacing w:val="-3"/>
                <w:szCs w:val="24"/>
              </w:rPr>
              <w:t>-</w:t>
            </w:r>
            <w:r>
              <w:rPr>
                <w:rFonts w:hAnsi="宋体" w:cs="宋体"/>
                <w:spacing w:val="-2"/>
                <w:szCs w:val="24"/>
              </w:rPr>
              <w:t>10</w:t>
            </w:r>
            <w:r>
              <w:rPr>
                <w:rFonts w:hAnsi="宋体" w:cs="宋体"/>
                <w:spacing w:val="-5"/>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Merge w:val="continue"/>
          </w:tcPr>
          <w:p/>
        </w:tc>
        <w:tc>
          <w:tcPr>
            <w:tcW w:w="1403" w:type="dxa"/>
            <w:vAlign w:val="center"/>
          </w:tcPr>
          <w:p>
            <w:pPr>
              <w:widowControl/>
              <w:jc w:val="center"/>
              <w:textAlignment w:val="center"/>
              <w:rPr>
                <w:b/>
                <w:bCs/>
              </w:rPr>
            </w:pPr>
            <w:r>
              <w:rPr>
                <w:rFonts w:hint="eastAsia"/>
                <w:b/>
                <w:bCs/>
              </w:rPr>
              <w:t xml:space="preserve"> 后续服务的安排与承诺</w:t>
            </w:r>
          </w:p>
          <w:p>
            <w:pPr>
              <w:jc w:val="center"/>
              <w:rPr>
                <w:rFonts w:hAnsi="宋体" w:cs="宋体"/>
                <w:color w:val="000000"/>
                <w:spacing w:val="-3"/>
                <w:szCs w:val="24"/>
              </w:rPr>
            </w:pPr>
          </w:p>
        </w:tc>
        <w:tc>
          <w:tcPr>
            <w:tcW w:w="5646" w:type="dxa"/>
            <w:vAlign w:val="center"/>
          </w:tcPr>
          <w:p>
            <w:pPr>
              <w:pStyle w:val="4"/>
              <w:rPr>
                <w:rFonts w:hint="eastAsia" w:hAnsi="宋体"/>
                <w:szCs w:val="21"/>
                <w:lang w:eastAsia="zh-CN"/>
              </w:rPr>
            </w:pPr>
            <w:r>
              <w:rPr>
                <w:rFonts w:hint="eastAsia" w:hAnsi="宋体"/>
                <w:szCs w:val="21"/>
              </w:rPr>
              <w:t>后续服务安排科学</w:t>
            </w:r>
            <w:r>
              <w:rPr>
                <w:rFonts w:hint="eastAsia" w:hAnsi="宋体"/>
                <w:szCs w:val="21"/>
                <w:lang w:val="en-US" w:eastAsia="zh-CN"/>
              </w:rPr>
              <w:t>性</w:t>
            </w:r>
            <w:r>
              <w:rPr>
                <w:rFonts w:hint="eastAsia" w:hAnsi="宋体"/>
                <w:szCs w:val="21"/>
              </w:rPr>
              <w:t>、针对性、可操作性，服务承诺内容响应</w:t>
            </w:r>
            <w:r>
              <w:rPr>
                <w:rFonts w:hint="eastAsia" w:hAnsi="宋体"/>
                <w:szCs w:val="21"/>
                <w:lang w:val="en-US" w:eastAsia="zh-CN"/>
              </w:rPr>
              <w:t>情况是否</w:t>
            </w:r>
            <w:r>
              <w:rPr>
                <w:rFonts w:hint="eastAsia" w:hAnsi="宋体"/>
                <w:szCs w:val="21"/>
              </w:rPr>
              <w:t>具体全面，充分满足项目需求切实可行</w:t>
            </w:r>
            <w:r>
              <w:rPr>
                <w:rFonts w:hint="eastAsia" w:hAnsi="宋体"/>
                <w:szCs w:val="21"/>
                <w:lang w:eastAsia="zh-CN"/>
              </w:rPr>
              <w:t>，由评标委员会进行综合打分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优秀的得 6≤F≤10分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良好得 3≤F＜6分，</w:t>
            </w:r>
          </w:p>
          <w:p>
            <w:pPr>
              <w:pStyle w:val="4"/>
              <w:rPr>
                <w:rFonts w:hint="eastAsia" w:hAnsi="宋体" w:eastAsia="宋体" w:cs="Times New Roman"/>
                <w:szCs w:val="21"/>
                <w:lang w:val="en-US" w:eastAsia="zh-CN"/>
              </w:rPr>
            </w:pPr>
            <w:r>
              <w:rPr>
                <w:rFonts w:hint="eastAsia" w:hAnsi="宋体" w:eastAsia="宋体" w:cs="Times New Roman"/>
                <w:szCs w:val="21"/>
                <w:lang w:val="en-US" w:eastAsia="zh-CN"/>
              </w:rPr>
              <w:t>一般得 0＜F＜3分，</w:t>
            </w:r>
          </w:p>
          <w:p>
            <w:pPr>
              <w:widowControl/>
              <w:jc w:val="left"/>
              <w:rPr>
                <w:rFonts w:hint="default" w:hAnsi="宋体" w:cs="宋体"/>
                <w:spacing w:val="17"/>
                <w:szCs w:val="24"/>
                <w:lang w:val="en-US"/>
              </w:rPr>
            </w:pPr>
            <w:r>
              <w:rPr>
                <w:rFonts w:hint="eastAsia" w:hAnsi="宋体" w:eastAsia="宋体" w:cs="Times New Roman"/>
                <w:szCs w:val="21"/>
                <w:lang w:val="en-US" w:eastAsia="zh-CN"/>
              </w:rPr>
              <w:t>未提供的不得分</w:t>
            </w:r>
          </w:p>
        </w:tc>
        <w:tc>
          <w:tcPr>
            <w:tcW w:w="817" w:type="dxa"/>
          </w:tcPr>
          <w:p>
            <w:pPr>
              <w:rPr>
                <w:rFonts w:hAnsi="宋体" w:cs="宋体"/>
                <w:color w:val="000000"/>
                <w:spacing w:val="-2"/>
                <w:szCs w:val="24"/>
              </w:rPr>
            </w:pPr>
          </w:p>
          <w:p>
            <w:pPr>
              <w:jc w:val="center"/>
              <w:rPr>
                <w:rFonts w:hAnsi="宋体" w:cs="宋体"/>
                <w:color w:val="000000"/>
                <w:spacing w:val="-2"/>
                <w:szCs w:val="24"/>
              </w:rPr>
            </w:pPr>
            <w:r>
              <w:rPr>
                <w:rFonts w:hAnsi="宋体" w:cs="宋体"/>
                <w:color w:val="000000"/>
                <w:spacing w:val="-2"/>
                <w:szCs w:val="24"/>
              </w:rPr>
              <w:t>0</w:t>
            </w:r>
            <w:r>
              <w:rPr>
                <w:rFonts w:hAnsi="宋体" w:cs="宋体"/>
                <w:color w:val="000000"/>
                <w:spacing w:val="-3"/>
                <w:szCs w:val="24"/>
              </w:rPr>
              <w:t>-</w:t>
            </w:r>
            <w:r>
              <w:rPr>
                <w:rFonts w:hAnsi="宋体" w:cs="宋体"/>
                <w:color w:val="000000"/>
                <w:spacing w:val="-2"/>
                <w:szCs w:val="24"/>
              </w:rPr>
              <w:t>10</w:t>
            </w:r>
            <w:r>
              <w:rPr>
                <w:rFonts w:hAnsi="宋体" w:cs="宋体"/>
                <w:spacing w:val="-60"/>
                <w:szCs w:val="24"/>
              </w:rPr>
              <w:t xml:space="preserve"> </w:t>
            </w:r>
            <w:r>
              <w:rPr>
                <w:rFonts w:hAnsi="宋体" w:cs="宋体"/>
                <w:color w:val="000000"/>
                <w:spacing w:val="-5"/>
                <w:szCs w:val="24"/>
              </w:rPr>
              <w:t>分</w:t>
            </w:r>
          </w:p>
        </w:tc>
      </w:tr>
    </w:tbl>
    <w:p>
      <w:pPr>
        <w:pStyle w:val="11"/>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0"/>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2</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2</w:t>
            </w:r>
            <w:r>
              <w:rPr>
                <w:rFonts w:hint="eastAsia" w:hAnsi="宋体" w:cs="宋体"/>
                <w:u w:val="single"/>
              </w:rPr>
              <w:t xml:space="preserve">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2</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25"/>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25"/>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6"/>
    <w:p>
      <w:pPr>
        <w:adjustRightInd w:val="0"/>
        <w:snapToGrid w:val="0"/>
        <w:spacing w:line="360" w:lineRule="auto"/>
        <w:ind w:right="-10" w:firstLine="420" w:firstLineChars="175"/>
        <w:rPr>
          <w:rFonts w:hAnsi="宋体"/>
          <w:bCs/>
        </w:rPr>
      </w:pPr>
      <w:bookmarkStart w:id="47"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8" w:name="_Hlk514735510"/>
      <w:r>
        <w:rPr>
          <w:rFonts w:hint="eastAsia" w:hAnsi="宋体"/>
          <w:bCs/>
        </w:rPr>
        <w:t>则采取磋商小组抽签方式确定其前后次序。</w:t>
      </w:r>
      <w:bookmarkEnd w:id="48"/>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2"/>
        <w:rPr>
          <w:rFonts w:hAnsi="Times New Roman" w:eastAsia="宋体"/>
          <w:bCs/>
        </w:rPr>
      </w:pPr>
      <w:bookmarkStart w:id="49" w:name="_Toc7528"/>
      <w:r>
        <w:rPr>
          <w:rFonts w:hint="eastAsia" w:hAnsi="Times New Roman" w:eastAsia="宋体"/>
          <w:bCs/>
        </w:rPr>
        <w:t>第五章 合同条款及格式</w:t>
      </w:r>
      <w:bookmarkEnd w:id="47"/>
      <w:r>
        <w:rPr>
          <w:rFonts w:hint="eastAsia" w:hAnsi="Times New Roman" w:eastAsia="宋体"/>
          <w:bCs/>
        </w:rPr>
        <w:t>（另行提供）</w:t>
      </w:r>
      <w:bookmarkEnd w:id="49"/>
    </w:p>
    <w:p>
      <w:pPr>
        <w:jc w:val="center"/>
        <w:rPr>
          <w:rFonts w:ascii="黑体" w:hAnsi="黑体" w:eastAsia="黑体"/>
          <w:bCs/>
          <w:kern w:val="44"/>
          <w:sz w:val="32"/>
          <w:szCs w:val="44"/>
        </w:rPr>
      </w:pPr>
    </w:p>
    <w:p>
      <w:pPr>
        <w:pStyle w:val="24"/>
        <w:ind w:left="240" w:firstLine="480"/>
        <w:rPr>
          <w:b/>
          <w:color w:val="000000"/>
        </w:rPr>
      </w:pPr>
    </w:p>
    <w:p>
      <w:pPr>
        <w:pStyle w:val="24"/>
        <w:ind w:left="240" w:firstLine="480"/>
        <w:rPr>
          <w:b/>
          <w:color w:val="000000"/>
        </w:rPr>
      </w:pPr>
    </w:p>
    <w:p>
      <w:pPr>
        <w:pStyle w:val="2"/>
        <w:rPr>
          <w:rFonts w:hAnsi="Times New Roman" w:eastAsia="宋体"/>
          <w:bCs/>
        </w:rPr>
      </w:pPr>
      <w:r>
        <w:rPr>
          <w:rFonts w:hint="eastAsia" w:hAnsi="Times New Roman" w:eastAsia="宋体"/>
          <w:bCs/>
        </w:rPr>
        <w:br w:type="page"/>
      </w:r>
      <w:bookmarkStart w:id="50" w:name="_Toc11159"/>
      <w:r>
        <w:rPr>
          <w:rFonts w:hint="eastAsia" w:hAnsi="Times New Roman" w:eastAsia="宋体"/>
          <w:bCs/>
        </w:rPr>
        <w:t>第六章 响应文件格式</w:t>
      </w:r>
      <w:bookmarkEnd w:id="50"/>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5"/>
        <w:jc w:val="center"/>
        <w:rPr>
          <w:rFonts w:ascii="黑体" w:hAnsi="黑体" w:eastAsia="黑体"/>
          <w:b w:val="0"/>
          <w:sz w:val="44"/>
          <w:szCs w:val="44"/>
        </w:rPr>
      </w:pPr>
      <w:bookmarkStart w:id="51" w:name="_Toc29256"/>
      <w:bookmarkStart w:id="52" w:name="_Toc26391"/>
      <w:r>
        <w:rPr>
          <w:rFonts w:hint="eastAsia" w:ascii="黑体" w:hAnsi="黑体" w:eastAsia="黑体"/>
          <w:b w:val="0"/>
          <w:sz w:val="44"/>
          <w:szCs w:val="44"/>
        </w:rPr>
        <w:t>响应文件</w:t>
      </w:r>
      <w:bookmarkEnd w:id="51"/>
    </w:p>
    <w:bookmarkEnd w:id="52"/>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5"/>
        <w:spacing w:before="120" w:after="120" w:line="400" w:lineRule="exact"/>
        <w:jc w:val="center"/>
        <w:rPr>
          <w:rFonts w:ascii="黑体" w:eastAsia="黑体"/>
          <w:sz w:val="28"/>
          <w:szCs w:val="28"/>
        </w:rPr>
      </w:pPr>
      <w:r>
        <w:rPr>
          <w:rFonts w:ascii="黑体" w:eastAsia="黑体"/>
          <w:sz w:val="28"/>
          <w:szCs w:val="28"/>
        </w:rPr>
        <w:br w:type="page"/>
      </w:r>
      <w:bookmarkStart w:id="53" w:name="_Toc28394"/>
      <w:r>
        <w:rPr>
          <w:rFonts w:hint="eastAsia" w:ascii="黑体" w:eastAsia="黑体"/>
          <w:sz w:val="28"/>
          <w:szCs w:val="28"/>
        </w:rPr>
        <w:t>目  录</w:t>
      </w:r>
      <w:bookmarkEnd w:id="53"/>
    </w:p>
    <w:p/>
    <w:p/>
    <w:p>
      <w:pPr>
        <w:spacing w:line="600" w:lineRule="exact"/>
        <w:rPr>
          <w:rFonts w:hAnsi="宋体"/>
          <w:szCs w:val="21"/>
        </w:rPr>
      </w:pPr>
      <w:bookmarkStart w:id="54"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19"/>
        <w:ind w:firstLine="480"/>
        <w:rPr>
          <w:rFonts w:hAnsi="Times New Roman"/>
          <w:bCs w:val="0"/>
          <w:sz w:val="24"/>
        </w:rPr>
      </w:pPr>
    </w:p>
    <w:p/>
    <w:p>
      <w:pPr>
        <w:jc w:val="center"/>
        <w:outlineLvl w:val="1"/>
      </w:pPr>
      <w:bookmarkStart w:id="55" w:name="_Toc22933"/>
      <w:r>
        <w:rPr>
          <w:rFonts w:hint="eastAsia"/>
        </w:rPr>
        <w:t>一、开标一览表</w:t>
      </w:r>
      <w:bookmarkEnd w:id="5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pStyle w:val="19"/>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19"/>
              <w:rPr>
                <w:rFonts w:hint="eastAsia"/>
                <w:lang w:val="en-US" w:eastAsia="zh-CN"/>
              </w:rPr>
            </w:pPr>
          </w:p>
          <w:p>
            <w:pPr>
              <w:pStyle w:val="19"/>
              <w:rPr>
                <w:rFonts w:hint="eastAsia"/>
                <w:u w:val="single"/>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int="eastAsia" w:hAnsi="宋体"/>
          <w:bCs/>
        </w:rPr>
      </w:pPr>
      <w:r>
        <w:rPr>
          <w:rFonts w:hint="eastAsia" w:hAnsi="宋体"/>
          <w:bCs/>
        </w:rPr>
        <w:t>日期：</w:t>
      </w:r>
    </w:p>
    <w:p>
      <w:pPr>
        <w:pStyle w:val="19"/>
      </w:pP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6" w:name="_Toc16336"/>
      <w:r>
        <w:rPr>
          <w:rFonts w:hint="eastAsia"/>
        </w:rPr>
        <w:t>二、投标人基本情况表</w:t>
      </w:r>
      <w:bookmarkEnd w:id="56"/>
    </w:p>
    <w:tbl>
      <w:tblPr>
        <w:tblStyle w:val="2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4"/>
    <w:p>
      <w:pPr>
        <w:pStyle w:val="6"/>
        <w:jc w:val="center"/>
        <w:rPr>
          <w:rFonts w:ascii="宋体" w:hAnsi="Times New Roman" w:eastAsia="宋体"/>
          <w:bCs w:val="0"/>
        </w:rPr>
      </w:pPr>
      <w:bookmarkStart w:id="57" w:name="_Toc665"/>
      <w:bookmarkStart w:id="58" w:name="_Toc460660223"/>
      <w:bookmarkStart w:id="59" w:name="_Toc421917001"/>
      <w:bookmarkStart w:id="60" w:name="_Toc460227108"/>
      <w:bookmarkStart w:id="61" w:name="_Toc224103496"/>
      <w:bookmarkStart w:id="62" w:name="_Toc390411621"/>
      <w:r>
        <w:rPr>
          <w:rFonts w:hint="eastAsia" w:ascii="宋体" w:hAnsi="Times New Roman" w:eastAsia="宋体"/>
          <w:bCs w:val="0"/>
        </w:rPr>
        <w:t>三、投标函</w:t>
      </w:r>
      <w:bookmarkEnd w:id="57"/>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8"/>
      <w:bookmarkEnd w:id="59"/>
      <w:bookmarkEnd w:id="60"/>
      <w:bookmarkEnd w:id="61"/>
      <w:bookmarkEnd w:id="62"/>
      <w:bookmarkStart w:id="63" w:name="_Toc460227110"/>
      <w:bookmarkStart w:id="64" w:name="_Toc460660225"/>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084"/>
      <w:bookmarkStart w:id="66" w:name="_Toc535241227"/>
      <w:bookmarkStart w:id="67" w:name="_Toc535241130"/>
      <w:bookmarkStart w:id="68" w:name="_Toc224103497"/>
      <w:bookmarkStart w:id="69" w:name="_Toc224103498"/>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4"/>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4"/>
          <w:rFonts w:hint="default"/>
          <w:b/>
          <w:bCs/>
          <w:color w:val="auto"/>
        </w:rPr>
        <w:t>法定代表人身份证明</w:t>
      </w:r>
    </w:p>
    <w:p>
      <w:pPr>
        <w:pStyle w:val="19"/>
        <w:rPr>
          <w:rStyle w:val="34"/>
          <w:rFonts w:hint="default"/>
          <w:b/>
          <w:bCs/>
          <w:color w:val="auto"/>
        </w:rPr>
      </w:pPr>
    </w:p>
    <w:p>
      <w:pPr>
        <w:pStyle w:val="19"/>
        <w:rPr>
          <w:rStyle w:val="34"/>
          <w:rFonts w:hint="default"/>
          <w:b/>
          <w:bCs/>
          <w:color w:val="auto"/>
        </w:rPr>
      </w:pPr>
    </w:p>
    <w:p>
      <w:pPr>
        <w:pStyle w:val="19"/>
        <w:rPr>
          <w:rStyle w:val="34"/>
          <w:rFonts w:hint="default"/>
          <w:b/>
          <w:bCs/>
          <w:color w:val="auto"/>
        </w:rPr>
      </w:pPr>
    </w:p>
    <w:p>
      <w:pPr>
        <w:pStyle w:val="19"/>
        <w:rPr>
          <w:rStyle w:val="34"/>
          <w:rFonts w:hint="default"/>
          <w:b/>
          <w:bCs/>
          <w:color w:val="auto"/>
        </w:rPr>
      </w:pPr>
    </w:p>
    <w:p>
      <w:pPr>
        <w:pStyle w:val="19"/>
        <w:rPr>
          <w:rStyle w:val="34"/>
          <w:rFonts w:hint="default"/>
          <w:b/>
          <w:bCs/>
          <w:color w:val="auto"/>
        </w:rPr>
      </w:pPr>
    </w:p>
    <w:p>
      <w:pPr>
        <w:rPr>
          <w:rStyle w:val="34"/>
          <w:rFonts w:hint="default"/>
          <w:b/>
          <w:bCs/>
          <w:color w:val="auto"/>
        </w:rPr>
      </w:pPr>
    </w:p>
    <w:p>
      <w:pPr>
        <w:pStyle w:val="19"/>
        <w:rPr>
          <w:rStyle w:val="34"/>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19"/>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19"/>
        <w:rPr>
          <w:rFonts w:hint="eastAsia" w:hAnsi="宋体"/>
          <w:b/>
          <w:bCs/>
          <w:szCs w:val="21"/>
        </w:rPr>
      </w:pPr>
    </w:p>
    <w:p>
      <w:pPr>
        <w:rPr>
          <w:rFonts w:hint="eastAsia" w:hAnsi="宋体"/>
          <w:b/>
          <w:bCs/>
          <w:szCs w:val="21"/>
        </w:rPr>
      </w:pPr>
    </w:p>
    <w:p>
      <w:pPr>
        <w:pStyle w:val="19"/>
        <w:rPr>
          <w:rFonts w:hint="eastAsia" w:hAnsi="宋体"/>
          <w:b/>
          <w:bCs/>
          <w:szCs w:val="21"/>
        </w:rPr>
      </w:pPr>
    </w:p>
    <w:p>
      <w:pPr>
        <w:pStyle w:val="19"/>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rPr>
          <w:rFonts w:eastAsia="黑体"/>
        </w:rPr>
      </w:pPr>
    </w:p>
    <w:p>
      <w:pPr>
        <w:spacing w:before="240" w:beforeLines="100" w:line="510" w:lineRule="exact"/>
        <w:jc w:val="center"/>
        <w:outlineLvl w:val="1"/>
      </w:pPr>
      <w:bookmarkStart w:id="70" w:name="_Toc24894"/>
      <w:bookmarkStart w:id="71" w:name="_Toc535241089"/>
      <w:bookmarkStart w:id="72" w:name="_Toc535241232"/>
      <w:bookmarkStart w:id="73" w:name="_Toc535241135"/>
      <w:bookmarkStart w:id="74" w:name="_Toc535241132"/>
      <w:bookmarkStart w:id="75" w:name="_Toc535241229"/>
      <w:bookmarkStart w:id="76" w:name="_Toc535241086"/>
      <w:r>
        <w:rPr>
          <w:rFonts w:hint="eastAsia"/>
        </w:rPr>
        <w:t>五、投标人信用承诺</w:t>
      </w:r>
      <w:bookmarkEnd w:id="70"/>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7" w:name="_Toc31234"/>
      <w:r>
        <w:rPr>
          <w:rFonts w:hint="eastAsia"/>
        </w:rPr>
        <w:t>六、投标人业绩</w:t>
      </w:r>
      <w:bookmarkEnd w:id="77"/>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0"/>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8" w:name="_Toc21642"/>
      <w:r>
        <w:rPr>
          <w:rFonts w:hint="eastAsia"/>
        </w:rPr>
        <w:t>七、奖项、荣誉（如有）</w:t>
      </w:r>
      <w:bookmarkEnd w:id="78"/>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9" w:name="_Toc19879"/>
      <w:r>
        <w:rPr>
          <w:rFonts w:hint="eastAsia"/>
        </w:rPr>
        <w:t>八、项目管理机构</w:t>
      </w:r>
      <w:bookmarkEnd w:id="79"/>
    </w:p>
    <w:bookmarkEnd w:id="71"/>
    <w:bookmarkEnd w:id="72"/>
    <w:bookmarkEnd w:id="73"/>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80" w:name="_Toc482188668"/>
      <w:bookmarkStart w:id="81" w:name="_Toc492300541"/>
      <w:bookmarkStart w:id="82" w:name="_Toc152045805"/>
      <w:bookmarkStart w:id="83" w:name="_Toc152042594"/>
      <w:bookmarkStart w:id="84" w:name="_Toc144974873"/>
      <w:bookmarkStart w:id="85" w:name="_Toc384308390"/>
      <w:bookmarkStart w:id="86" w:name="_Toc179632825"/>
      <w:bookmarkStart w:id="87" w:name="_Toc391394125"/>
      <w:bookmarkStart w:id="88" w:name="_Toc359594249"/>
      <w:bookmarkStart w:id="89" w:name="_Toc385943079"/>
      <w:bookmarkStart w:id="90" w:name="_Toc370676440"/>
      <w:bookmarkStart w:id="91" w:name="_Toc300835232"/>
      <w:r>
        <w:rPr>
          <w:rFonts w:hint="eastAsia" w:hAnsi="宋体"/>
          <w:b/>
          <w:bCs/>
          <w:szCs w:val="24"/>
        </w:rPr>
        <w:t>（二）主要人员简历表</w:t>
      </w:r>
      <w:bookmarkEnd w:id="80"/>
      <w:bookmarkEnd w:id="81"/>
      <w:bookmarkEnd w:id="82"/>
      <w:bookmarkEnd w:id="83"/>
      <w:bookmarkEnd w:id="84"/>
      <w:bookmarkEnd w:id="85"/>
      <w:bookmarkEnd w:id="86"/>
      <w:bookmarkEnd w:id="87"/>
      <w:bookmarkEnd w:id="88"/>
      <w:bookmarkEnd w:id="89"/>
      <w:bookmarkEnd w:id="90"/>
      <w:bookmarkEnd w:id="91"/>
    </w:p>
    <w:p>
      <w:pPr>
        <w:topLinePunct/>
        <w:spacing w:line="440" w:lineRule="exact"/>
        <w:jc w:val="center"/>
        <w:rPr>
          <w:sz w:val="23"/>
        </w:rPr>
      </w:pPr>
      <w:r>
        <w:rPr>
          <w:rFonts w:hint="eastAsia"/>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3"/>
    <w:bookmarkEnd w:id="64"/>
    <w:bookmarkEnd w:id="74"/>
    <w:bookmarkEnd w:id="75"/>
    <w:bookmarkEnd w:id="76"/>
    <w:p>
      <w:pPr>
        <w:jc w:val="center"/>
        <w:rPr>
          <w:rFonts w:hAnsi="宋体" w:cs="宋体"/>
          <w:b/>
          <w:bCs/>
          <w:spacing w:val="-2"/>
          <w:szCs w:val="24"/>
        </w:rPr>
      </w:pPr>
    </w:p>
    <w:p>
      <w:pPr>
        <w:jc w:val="center"/>
        <w:outlineLvl w:val="1"/>
        <w:rPr>
          <w:rFonts w:hAnsi="宋体" w:cs="宋体"/>
          <w:b/>
          <w:bCs/>
          <w:spacing w:val="-2"/>
          <w:szCs w:val="24"/>
        </w:rPr>
      </w:pPr>
      <w:bookmarkStart w:id="92" w:name="_Toc8868"/>
      <w:r>
        <w:rPr>
          <w:rFonts w:hint="eastAsia" w:hAnsi="宋体" w:cs="宋体"/>
          <w:b/>
          <w:bCs/>
          <w:spacing w:val="-2"/>
          <w:szCs w:val="24"/>
        </w:rPr>
        <w:t>九、后期服务方案</w:t>
      </w:r>
      <w:bookmarkEnd w:id="92"/>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3" w:name="_Toc4961"/>
      <w:r>
        <w:rPr>
          <w:rFonts w:hint="eastAsia" w:hAnsi="宋体" w:cs="宋体"/>
          <w:b/>
          <w:bCs/>
          <w:spacing w:val="-2"/>
          <w:szCs w:val="24"/>
        </w:rPr>
        <w:t>十、其他资料</w:t>
      </w:r>
      <w:bookmarkEnd w:id="93"/>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7</w:t>
    </w:r>
    <w:r>
      <w:rPr>
        <w:rFonts w:hint="eastAsia" w:ascii="仿宋_GB2312" w:eastAsia="仿宋_GB2312"/>
        <w:sz w:val="21"/>
        <w:szCs w:val="21"/>
      </w:rP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rPr>
    </w:pPr>
    <w:r>
      <w:rPr>
        <w:rFonts w:hint="eastAsia" w:ascii="仿宋_GB2312" w:eastAsia="仿宋_GB2312"/>
      </w:rPr>
      <w:fldChar w:fldCharType="begin"/>
    </w:r>
    <w:r>
      <w:rPr>
        <w:rStyle w:val="23"/>
        <w:rFonts w:hint="eastAsia" w:ascii="仿宋_GB2312" w:eastAsia="仿宋_GB2312"/>
      </w:rPr>
      <w:instrText xml:space="preserve">PAGE  </w:instrText>
    </w:r>
    <w:r>
      <w:rPr>
        <w:rFonts w:hint="eastAsia" w:ascii="仿宋_GB2312" w:eastAsia="仿宋_GB2312"/>
      </w:rPr>
      <w:fldChar w:fldCharType="separate"/>
    </w:r>
    <w:r>
      <w:rPr>
        <w:rStyle w:val="23"/>
        <w:rFonts w:ascii="仿宋_GB2312" w:eastAsia="仿宋_GB2312"/>
      </w:rPr>
      <w:t>39</w:t>
    </w:r>
    <w:r>
      <w:rPr>
        <w:rFonts w:hint="eastAsia" w:ascii="仿宋_GB2312" w:eastAsia="仿宋_GB2312"/>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3D8A5"/>
    <w:multiLevelType w:val="singleLevel"/>
    <w:tmpl w:val="8AD3D8A5"/>
    <w:lvl w:ilvl="0" w:tentative="0">
      <w:start w:val="1"/>
      <w:numFmt w:val="bullet"/>
      <w:lvlText w:val=""/>
      <w:lvlJc w:val="left"/>
      <w:pPr>
        <w:ind w:left="420" w:hanging="420"/>
      </w:pPr>
      <w:rPr>
        <w:rFonts w:hint="default" w:ascii="Wingdings" w:hAnsi="Wingdings"/>
      </w:rPr>
    </w:lvl>
  </w:abstractNum>
  <w:abstractNum w:abstractNumId="1">
    <w:nsid w:val="9C94E34E"/>
    <w:multiLevelType w:val="singleLevel"/>
    <w:tmpl w:val="9C94E34E"/>
    <w:lvl w:ilvl="0" w:tentative="0">
      <w:start w:val="1"/>
      <w:numFmt w:val="decimal"/>
      <w:lvlText w:val="%1."/>
      <w:lvlJc w:val="left"/>
      <w:pPr>
        <w:ind w:left="425" w:hanging="425"/>
      </w:pPr>
      <w:rPr>
        <w:rFonts w:hint="default"/>
      </w:rPr>
    </w:lvl>
  </w:abstractNum>
  <w:abstractNum w:abstractNumId="2">
    <w:nsid w:val="A0C6ED11"/>
    <w:multiLevelType w:val="singleLevel"/>
    <w:tmpl w:val="A0C6ED11"/>
    <w:lvl w:ilvl="0" w:tentative="0">
      <w:start w:val="2"/>
      <w:numFmt w:val="decimal"/>
      <w:suff w:val="nothing"/>
      <w:lvlText w:val="（%1）"/>
      <w:lvlJc w:val="left"/>
    </w:lvl>
  </w:abstractNum>
  <w:abstractNum w:abstractNumId="3">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4">
    <w:nsid w:val="AD2E4CD1"/>
    <w:multiLevelType w:val="singleLevel"/>
    <w:tmpl w:val="AD2E4CD1"/>
    <w:lvl w:ilvl="0" w:tentative="0">
      <w:start w:val="1"/>
      <w:numFmt w:val="decimal"/>
      <w:lvlText w:val="%1."/>
      <w:lvlJc w:val="left"/>
      <w:pPr>
        <w:ind w:left="425" w:hanging="425"/>
      </w:pPr>
      <w:rPr>
        <w:rFonts w:hint="default"/>
      </w:rPr>
    </w:lvl>
  </w:abstractNum>
  <w:abstractNum w:abstractNumId="5">
    <w:nsid w:val="B9D6FB25"/>
    <w:multiLevelType w:val="singleLevel"/>
    <w:tmpl w:val="B9D6FB25"/>
    <w:lvl w:ilvl="0" w:tentative="0">
      <w:start w:val="2"/>
      <w:numFmt w:val="decimal"/>
      <w:suff w:val="nothing"/>
      <w:lvlText w:val="（%1）"/>
      <w:lvlJc w:val="left"/>
    </w:lvl>
  </w:abstractNum>
  <w:abstractNum w:abstractNumId="6">
    <w:nsid w:val="C3F415C6"/>
    <w:multiLevelType w:val="singleLevel"/>
    <w:tmpl w:val="C3F415C6"/>
    <w:lvl w:ilvl="0" w:tentative="0">
      <w:start w:val="2"/>
      <w:numFmt w:val="decimal"/>
      <w:lvlText w:val="(%1)"/>
      <w:lvlJc w:val="left"/>
      <w:pPr>
        <w:tabs>
          <w:tab w:val="left" w:pos="420"/>
        </w:tabs>
        <w:ind w:left="425" w:leftChars="0" w:hanging="425" w:firstLineChars="0"/>
      </w:pPr>
      <w:rPr>
        <w:rFonts w:hint="default"/>
      </w:rPr>
    </w:lvl>
  </w:abstractNum>
  <w:abstractNum w:abstractNumId="7">
    <w:nsid w:val="ED4F2606"/>
    <w:multiLevelType w:val="singleLevel"/>
    <w:tmpl w:val="ED4F2606"/>
    <w:lvl w:ilvl="0" w:tentative="0">
      <w:start w:val="1"/>
      <w:numFmt w:val="bullet"/>
      <w:lvlText w:val=""/>
      <w:lvlJc w:val="left"/>
      <w:pPr>
        <w:ind w:left="420" w:hanging="420"/>
      </w:pPr>
      <w:rPr>
        <w:rFonts w:hint="default" w:ascii="Wingdings" w:hAnsi="Wingdings"/>
      </w:rPr>
    </w:lvl>
  </w:abstractNum>
  <w:abstractNum w:abstractNumId="8">
    <w:nsid w:val="F7F5B9BA"/>
    <w:multiLevelType w:val="singleLevel"/>
    <w:tmpl w:val="F7F5B9BA"/>
    <w:lvl w:ilvl="0" w:tentative="0">
      <w:start w:val="2"/>
      <w:numFmt w:val="chineseCounting"/>
      <w:suff w:val="nothing"/>
      <w:lvlText w:val="%1、"/>
      <w:lvlJc w:val="left"/>
      <w:rPr>
        <w:rFonts w:hint="eastAsia"/>
      </w:rPr>
    </w:lvl>
  </w:abstractNum>
  <w:abstractNum w:abstractNumId="9">
    <w:nsid w:val="FD6B18C7"/>
    <w:multiLevelType w:val="singleLevel"/>
    <w:tmpl w:val="FD6B18C7"/>
    <w:lvl w:ilvl="0" w:tentative="0">
      <w:start w:val="1"/>
      <w:numFmt w:val="bullet"/>
      <w:lvlText w:val=""/>
      <w:lvlJc w:val="left"/>
      <w:pPr>
        <w:ind w:left="420" w:hanging="420"/>
      </w:pPr>
      <w:rPr>
        <w:rFonts w:hint="default" w:ascii="Wingdings" w:hAnsi="Wingdings"/>
      </w:rPr>
    </w:lvl>
  </w:abstractNum>
  <w:abstractNum w:abstractNumId="10">
    <w:nsid w:val="0104AA94"/>
    <w:multiLevelType w:val="singleLevel"/>
    <w:tmpl w:val="0104AA94"/>
    <w:lvl w:ilvl="0" w:tentative="0">
      <w:start w:val="1"/>
      <w:numFmt w:val="decimal"/>
      <w:lvlText w:val="%1."/>
      <w:lvlJc w:val="left"/>
      <w:pPr>
        <w:ind w:left="425" w:hanging="425"/>
      </w:pPr>
      <w:rPr>
        <w:rFonts w:hint="default"/>
      </w:rPr>
    </w:lvl>
  </w:abstractNum>
  <w:abstractNum w:abstractNumId="11">
    <w:nsid w:val="084278A9"/>
    <w:multiLevelType w:val="multilevel"/>
    <w:tmpl w:val="084278A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0B433CE7"/>
    <w:multiLevelType w:val="multilevel"/>
    <w:tmpl w:val="0B433CE7"/>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0D400F8F"/>
    <w:multiLevelType w:val="multilevel"/>
    <w:tmpl w:val="0D400F8F"/>
    <w:lvl w:ilvl="0" w:tentative="0">
      <w:start w:val="1"/>
      <w:numFmt w:val="decimal"/>
      <w:lvlText w:val="%1、"/>
      <w:lvlJc w:val="left"/>
      <w:pPr>
        <w:ind w:left="72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4AF497A"/>
    <w:multiLevelType w:val="singleLevel"/>
    <w:tmpl w:val="14AF497A"/>
    <w:lvl w:ilvl="0" w:tentative="0">
      <w:start w:val="1"/>
      <w:numFmt w:val="chineseCounting"/>
      <w:suff w:val="space"/>
      <w:lvlText w:val="第%1章"/>
      <w:lvlJc w:val="left"/>
      <w:rPr>
        <w:rFonts w:hint="eastAsia"/>
      </w:rPr>
    </w:lvl>
  </w:abstractNum>
  <w:abstractNum w:abstractNumId="15">
    <w:nsid w:val="2E8A0FF9"/>
    <w:multiLevelType w:val="multilevel"/>
    <w:tmpl w:val="2E8A0FF9"/>
    <w:lvl w:ilvl="0" w:tentative="0">
      <w:start w:val="1"/>
      <w:numFmt w:val="lowerLetter"/>
      <w:lvlText w:val="%1)"/>
      <w:lvlJc w:val="left"/>
      <w:pPr>
        <w:ind w:left="866" w:hanging="440"/>
      </w:p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6">
    <w:nsid w:val="4439A5F2"/>
    <w:multiLevelType w:val="singleLevel"/>
    <w:tmpl w:val="4439A5F2"/>
    <w:lvl w:ilvl="0" w:tentative="0">
      <w:start w:val="1"/>
      <w:numFmt w:val="bullet"/>
      <w:lvlText w:val=""/>
      <w:lvlJc w:val="left"/>
      <w:pPr>
        <w:ind w:left="420" w:hanging="420"/>
      </w:pPr>
      <w:rPr>
        <w:rFonts w:hint="default" w:ascii="Wingdings" w:hAnsi="Wingdings"/>
      </w:rPr>
    </w:lvl>
  </w:abstractNum>
  <w:abstractNum w:abstractNumId="17">
    <w:nsid w:val="47F13EE4"/>
    <w:multiLevelType w:val="multilevel"/>
    <w:tmpl w:val="47F13EE4"/>
    <w:lvl w:ilvl="0" w:tentative="0">
      <w:start w:val="1"/>
      <w:numFmt w:val="decimal"/>
      <w:lvlText w:val="%1、"/>
      <w:lvlJc w:val="left"/>
      <w:pPr>
        <w:ind w:left="72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520C58EA"/>
    <w:multiLevelType w:val="singleLevel"/>
    <w:tmpl w:val="520C58EA"/>
    <w:lvl w:ilvl="0" w:tentative="0">
      <w:start w:val="2"/>
      <w:numFmt w:val="decimal"/>
      <w:lvlText w:val="%1."/>
      <w:lvlJc w:val="left"/>
      <w:pPr>
        <w:tabs>
          <w:tab w:val="left" w:pos="420"/>
        </w:tabs>
        <w:ind w:left="425" w:leftChars="0" w:hanging="425" w:firstLineChars="0"/>
      </w:pPr>
      <w:rPr>
        <w:rFonts w:hint="default"/>
      </w:rPr>
    </w:lvl>
  </w:abstractNum>
  <w:abstractNum w:abstractNumId="19">
    <w:nsid w:val="60213CFF"/>
    <w:multiLevelType w:val="singleLevel"/>
    <w:tmpl w:val="60213CFF"/>
    <w:lvl w:ilvl="0" w:tentative="0">
      <w:start w:val="2"/>
      <w:numFmt w:val="decimal"/>
      <w:lvlText w:val="%1."/>
      <w:lvlJc w:val="left"/>
      <w:pPr>
        <w:tabs>
          <w:tab w:val="left" w:pos="420"/>
        </w:tabs>
        <w:ind w:left="425" w:leftChars="0" w:hanging="425" w:firstLineChars="0"/>
      </w:pPr>
      <w:rPr>
        <w:rFonts w:hint="default"/>
      </w:rPr>
    </w:lvl>
  </w:abstractNum>
  <w:abstractNum w:abstractNumId="20">
    <w:nsid w:val="6056A134"/>
    <w:multiLevelType w:val="singleLevel"/>
    <w:tmpl w:val="6056A134"/>
    <w:lvl w:ilvl="0" w:tentative="0">
      <w:start w:val="1"/>
      <w:numFmt w:val="decimal"/>
      <w:lvlText w:val="(%1)"/>
      <w:lvlJc w:val="left"/>
      <w:pPr>
        <w:ind w:left="425" w:hanging="425"/>
      </w:pPr>
      <w:rPr>
        <w:rFonts w:hint="default"/>
      </w:rPr>
    </w:lvl>
  </w:abstractNum>
  <w:abstractNum w:abstractNumId="21">
    <w:nsid w:val="6376006C"/>
    <w:multiLevelType w:val="singleLevel"/>
    <w:tmpl w:val="6376006C"/>
    <w:lvl w:ilvl="0" w:tentative="0">
      <w:start w:val="1"/>
      <w:numFmt w:val="bullet"/>
      <w:lvlText w:val=""/>
      <w:lvlJc w:val="left"/>
      <w:pPr>
        <w:ind w:left="420" w:hanging="420"/>
      </w:pPr>
      <w:rPr>
        <w:rFonts w:hint="default" w:ascii="Wingdings" w:hAnsi="Wingdings"/>
      </w:rPr>
    </w:lvl>
  </w:abstractNum>
  <w:abstractNum w:abstractNumId="22">
    <w:nsid w:val="69AB075B"/>
    <w:multiLevelType w:val="multilevel"/>
    <w:tmpl w:val="69AB07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
    <w:nsid w:val="75616E05"/>
    <w:multiLevelType w:val="singleLevel"/>
    <w:tmpl w:val="75616E05"/>
    <w:lvl w:ilvl="0" w:tentative="0">
      <w:start w:val="1"/>
      <w:numFmt w:val="decimal"/>
      <w:lvlText w:val="%1."/>
      <w:lvlJc w:val="left"/>
      <w:pPr>
        <w:ind w:left="425" w:hanging="425"/>
      </w:pPr>
      <w:rPr>
        <w:rFonts w:hint="default"/>
      </w:rPr>
    </w:lvl>
  </w:abstractNum>
  <w:abstractNum w:abstractNumId="24">
    <w:nsid w:val="7A55F52D"/>
    <w:multiLevelType w:val="singleLevel"/>
    <w:tmpl w:val="7A55F52D"/>
    <w:lvl w:ilvl="0" w:tentative="0">
      <w:start w:val="1"/>
      <w:numFmt w:val="decimal"/>
      <w:suff w:val="nothing"/>
      <w:lvlText w:val="（%1）"/>
      <w:lvlJc w:val="left"/>
    </w:lvl>
  </w:abstractNum>
  <w:num w:numId="1">
    <w:abstractNumId w:val="14"/>
  </w:num>
  <w:num w:numId="2">
    <w:abstractNumId w:val="5"/>
  </w:num>
  <w:num w:numId="3">
    <w:abstractNumId w:val="8"/>
  </w:num>
  <w:num w:numId="4">
    <w:abstractNumId w:val="22"/>
  </w:num>
  <w:num w:numId="5">
    <w:abstractNumId w:val="10"/>
  </w:num>
  <w:num w:numId="6">
    <w:abstractNumId w:val="7"/>
  </w:num>
  <w:num w:numId="7">
    <w:abstractNumId w:val="18"/>
  </w:num>
  <w:num w:numId="8">
    <w:abstractNumId w:val="20"/>
  </w:num>
  <w:num w:numId="9">
    <w:abstractNumId w:val="16"/>
  </w:num>
  <w:num w:numId="10">
    <w:abstractNumId w:val="6"/>
  </w:num>
  <w:num w:numId="11">
    <w:abstractNumId w:val="9"/>
  </w:num>
  <w:num w:numId="12">
    <w:abstractNumId w:val="23"/>
  </w:num>
  <w:num w:numId="13">
    <w:abstractNumId w:val="21"/>
  </w:num>
  <w:num w:numId="14">
    <w:abstractNumId w:val="19"/>
  </w:num>
  <w:num w:numId="15">
    <w:abstractNumId w:val="0"/>
  </w:num>
  <w:num w:numId="16">
    <w:abstractNumId w:val="1"/>
  </w:num>
  <w:num w:numId="17">
    <w:abstractNumId w:val="4"/>
  </w:num>
  <w:num w:numId="18">
    <w:abstractNumId w:val="15"/>
  </w:num>
  <w:num w:numId="19">
    <w:abstractNumId w:val="12"/>
  </w:num>
  <w:num w:numId="20">
    <w:abstractNumId w:val="11"/>
  </w:num>
  <w:num w:numId="21">
    <w:abstractNumId w:val="13"/>
  </w:num>
  <w:num w:numId="22">
    <w:abstractNumId w:val="17"/>
  </w:num>
  <w:num w:numId="23">
    <w:abstractNumId w:val="3"/>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4861149"/>
    <w:rsid w:val="0670745B"/>
    <w:rsid w:val="086A0C6A"/>
    <w:rsid w:val="097C7B0E"/>
    <w:rsid w:val="134D1C10"/>
    <w:rsid w:val="185F3509"/>
    <w:rsid w:val="1D535C2D"/>
    <w:rsid w:val="1F232979"/>
    <w:rsid w:val="21476AA8"/>
    <w:rsid w:val="232B619C"/>
    <w:rsid w:val="24297791"/>
    <w:rsid w:val="2981011C"/>
    <w:rsid w:val="31835131"/>
    <w:rsid w:val="3DB3403F"/>
    <w:rsid w:val="3DE4476A"/>
    <w:rsid w:val="414371CE"/>
    <w:rsid w:val="44857BF7"/>
    <w:rsid w:val="44F55484"/>
    <w:rsid w:val="48313F66"/>
    <w:rsid w:val="48DA11DA"/>
    <w:rsid w:val="4CF80524"/>
    <w:rsid w:val="4E6471A3"/>
    <w:rsid w:val="4FC9778F"/>
    <w:rsid w:val="51680684"/>
    <w:rsid w:val="530507C0"/>
    <w:rsid w:val="57D231C1"/>
    <w:rsid w:val="5E44107C"/>
    <w:rsid w:val="606B4AAA"/>
    <w:rsid w:val="69F45B07"/>
    <w:rsid w:val="6CAD32C3"/>
    <w:rsid w:val="6E4F60A8"/>
    <w:rsid w:val="7AB114DA"/>
    <w:rsid w:val="7AC14AF6"/>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3"/>
    <w:next w:val="4"/>
    <w:autoRedefine/>
    <w:qFormat/>
    <w:uiPriority w:val="0"/>
    <w:pPr>
      <w:keepNext/>
      <w:keepLines/>
      <w:outlineLvl w:val="0"/>
    </w:pPr>
    <w:rPr>
      <w:b/>
      <w:bCs w:val="0"/>
      <w:kern w:val="44"/>
      <w:sz w:val="32"/>
      <w:szCs w:val="44"/>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120" w:after="120" w:line="360" w:lineRule="auto"/>
      <w:jc w:val="left"/>
      <w:outlineLvl w:val="2"/>
    </w:pPr>
    <w:rPr>
      <w:rFonts w:ascii="黑体" w:hAnsi="黑体" w:eastAsia="黑体"/>
      <w:bCs/>
    </w:rPr>
  </w:style>
  <w:style w:type="paragraph" w:styleId="7">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spacing w:line="360" w:lineRule="auto"/>
      <w:jc w:val="center"/>
    </w:pPr>
    <w:rPr>
      <w:rFonts w:hAnsi="宋体" w:eastAsia="黑体"/>
      <w:bCs/>
      <w:smallCaps/>
      <w:snapToGrid w:val="0"/>
      <w:sz w:val="44"/>
      <w:szCs w:val="24"/>
    </w:rPr>
  </w:style>
  <w:style w:type="paragraph" w:styleId="4">
    <w:name w:val="Plain Text"/>
    <w:basedOn w:val="1"/>
    <w:autoRedefine/>
    <w:qFormat/>
    <w:uiPriority w:val="0"/>
    <w:rPr>
      <w:rFonts w:ascii="Courier New" w:hAnsi="Courier New"/>
    </w:rPr>
  </w:style>
  <w:style w:type="paragraph" w:styleId="8">
    <w:name w:val="table of authorities"/>
    <w:basedOn w:val="1"/>
    <w:next w:val="1"/>
    <w:autoRedefine/>
    <w:qFormat/>
    <w:uiPriority w:val="0"/>
    <w:pPr>
      <w:ind w:left="420" w:leftChars="200"/>
    </w:pPr>
  </w:style>
  <w:style w:type="paragraph" w:styleId="9">
    <w:name w:val="Normal Indent"/>
    <w:basedOn w:val="1"/>
    <w:autoRedefine/>
    <w:qFormat/>
    <w:uiPriority w:val="0"/>
    <w:pPr>
      <w:autoSpaceDE w:val="0"/>
      <w:autoSpaceDN w:val="0"/>
      <w:adjustRightInd w:val="0"/>
      <w:ind w:firstLine="420"/>
      <w:jc w:val="left"/>
    </w:pPr>
  </w:style>
  <w:style w:type="paragraph" w:styleId="10">
    <w:name w:val="annotation text"/>
    <w:basedOn w:val="1"/>
    <w:autoRedefine/>
    <w:qFormat/>
    <w:uiPriority w:val="0"/>
    <w:pPr>
      <w:jc w:val="left"/>
    </w:pPr>
  </w:style>
  <w:style w:type="paragraph" w:styleId="11">
    <w:name w:val="Body Text"/>
    <w:basedOn w:val="1"/>
    <w:next w:val="12"/>
    <w:autoRedefine/>
    <w:qFormat/>
    <w:uiPriority w:val="0"/>
    <w:pPr>
      <w:spacing w:after="120"/>
    </w:pPr>
  </w:style>
  <w:style w:type="paragraph" w:styleId="12">
    <w:name w:val="Body Text First Indent"/>
    <w:basedOn w:val="11"/>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3">
    <w:name w:val="Body Text Indent"/>
    <w:basedOn w:val="1"/>
    <w:next w:val="14"/>
    <w:autoRedefine/>
    <w:qFormat/>
    <w:uiPriority w:val="0"/>
    <w:pPr>
      <w:ind w:firstLine="560" w:firstLineChars="200"/>
    </w:pPr>
    <w:rPr>
      <w:rFonts w:hAnsi="宋体"/>
      <w:bCs/>
      <w:sz w:val="28"/>
      <w:szCs w:val="32"/>
    </w:rPr>
  </w:style>
  <w:style w:type="paragraph" w:styleId="14">
    <w:name w:val="envelope return"/>
    <w:basedOn w:val="1"/>
    <w:autoRedefine/>
    <w:qFormat/>
    <w:uiPriority w:val="0"/>
    <w:pPr>
      <w:snapToGrid w:val="0"/>
    </w:pPr>
    <w:rPr>
      <w:rFonts w:ascii="Arial" w:hAnsi="Arial"/>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rFonts w:ascii="Calibri" w:hAnsi="Calibri" w:cs="Calibri"/>
      <w:b/>
      <w:bCs/>
      <w:caps/>
      <w:sz w:val="20"/>
    </w:rPr>
  </w:style>
  <w:style w:type="paragraph" w:styleId="18">
    <w:name w:val="toc 2"/>
    <w:basedOn w:val="1"/>
    <w:next w:val="1"/>
    <w:autoRedefine/>
    <w:qFormat/>
    <w:uiPriority w:val="39"/>
    <w:pPr>
      <w:ind w:left="210"/>
      <w:jc w:val="left"/>
    </w:pPr>
    <w:rPr>
      <w:rFonts w:ascii="Calibri" w:hAnsi="Calibri" w:cs="Calibri"/>
      <w:smallCaps/>
      <w:sz w:val="20"/>
    </w:rPr>
  </w:style>
  <w:style w:type="paragraph" w:styleId="19">
    <w:name w:val="Body Text First Indent 2"/>
    <w:basedOn w:val="13"/>
    <w:next w:val="1"/>
    <w:autoRedefine/>
    <w:qFormat/>
    <w:uiPriority w:val="0"/>
    <w:pPr>
      <w:ind w:left="420"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autoRedefine/>
    <w:qFormat/>
    <w:uiPriority w:val="0"/>
  </w:style>
  <w:style w:type="paragraph" w:customStyle="1" w:styleId="24">
    <w:name w:val="首行缩进"/>
    <w:basedOn w:val="1"/>
    <w:autoRedefine/>
    <w:qFormat/>
    <w:uiPriority w:val="0"/>
    <w:pPr>
      <w:spacing w:line="360" w:lineRule="auto"/>
      <w:ind w:left="210" w:leftChars="100" w:firstLine="420" w:firstLineChars="200"/>
    </w:pPr>
    <w:rPr>
      <w:rFonts w:hAnsi="宋体"/>
      <w:szCs w:val="24"/>
    </w:rPr>
  </w:style>
  <w:style w:type="paragraph" w:customStyle="1" w:styleId="25">
    <w:name w:val="目录 71"/>
    <w:basedOn w:val="1"/>
    <w:next w:val="1"/>
    <w:autoRedefine/>
    <w:qFormat/>
    <w:uiPriority w:val="0"/>
    <w:pPr>
      <w:ind w:left="2520"/>
    </w:pPr>
  </w:style>
  <w:style w:type="paragraph" w:customStyle="1" w:styleId="26">
    <w:name w:val="正文（缩进）"/>
    <w:basedOn w:val="1"/>
    <w:autoRedefine/>
    <w:qFormat/>
    <w:uiPriority w:val="0"/>
    <w:pPr>
      <w:widowControl/>
      <w:spacing w:before="156" w:after="156"/>
      <w:ind w:firstLine="480" w:firstLineChars="200"/>
      <w:jc w:val="left"/>
    </w:pPr>
    <w:rPr>
      <w:rFonts w:ascii="仿宋_GB2312" w:eastAsia="仿宋_GB2312"/>
      <w:szCs w:val="24"/>
    </w:rPr>
  </w:style>
  <w:style w:type="paragraph" w:customStyle="1" w:styleId="2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1"/>
    <w:basedOn w:val="1"/>
    <w:next w:val="7"/>
    <w:autoRedefine/>
    <w:qFormat/>
    <w:uiPriority w:val="0"/>
    <w:pPr>
      <w:spacing w:line="360" w:lineRule="auto"/>
      <w:ind w:firstLine="420" w:firstLineChars="200"/>
    </w:pPr>
    <w:rPr>
      <w:rFonts w:hAnsi="宋体"/>
      <w:szCs w:val="21"/>
    </w:rPr>
  </w:style>
  <w:style w:type="character" w:customStyle="1" w:styleId="30">
    <w:name w:val="font71"/>
    <w:basedOn w:val="22"/>
    <w:autoRedefine/>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1">
    <w:name w:val="font101"/>
    <w:basedOn w:val="22"/>
    <w:autoRedefine/>
    <w:qFormat/>
    <w:uiPriority w:val="0"/>
    <w:rPr>
      <w:rFonts w:hint="eastAsia" w:ascii="宋体" w:hAnsi="宋体" w:eastAsia="宋体" w:cs="宋体"/>
      <w:color w:val="000000"/>
      <w:sz w:val="18"/>
      <w:szCs w:val="18"/>
      <w:u w:val="none"/>
    </w:rPr>
  </w:style>
  <w:style w:type="character" w:customStyle="1" w:styleId="32">
    <w:name w:val="font01"/>
    <w:basedOn w:val="22"/>
    <w:autoRedefine/>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3">
    <w:name w:val="D&amp;L"/>
    <w:basedOn w:val="16"/>
    <w:autoRedefine/>
    <w:qFormat/>
    <w:uiPriority w:val="99"/>
    <w:pPr>
      <w:pBdr>
        <w:bottom w:val="thinThickSmallGap" w:color="auto" w:sz="18" w:space="1"/>
      </w:pBdr>
      <w:adjustRightInd w:val="0"/>
      <w:snapToGrid/>
      <w:spacing w:line="240" w:lineRule="atLeast"/>
      <w:textAlignment w:val="baseline"/>
    </w:pPr>
    <w:rPr>
      <w:sz w:val="24"/>
    </w:rPr>
  </w:style>
  <w:style w:type="character" w:customStyle="1" w:styleId="34">
    <w:name w:val="fontstyle01"/>
    <w:autoRedefine/>
    <w:qFormat/>
    <w:uiPriority w:val="0"/>
    <w:rPr>
      <w:rFonts w:hint="eastAsia" w:ascii="宋体" w:hAnsi="宋体" w:eastAsia="宋体"/>
      <w:color w:val="000000"/>
      <w:sz w:val="22"/>
      <w:szCs w:val="22"/>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23785</Words>
  <Characters>24916</Characters>
  <Lines>0</Lines>
  <Paragraphs>0</Paragraphs>
  <TotalTime>0</TotalTime>
  <ScaleCrop>false</ScaleCrop>
  <LinksUpToDate>false</LinksUpToDate>
  <CharactersWithSpaces>26201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2024-01-22T06:41:29Z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2FAFF808886843D2BB7A9DD8BC589F40_13</vt:lpwstr>
  </property>
</Properties>
</file>