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竞争性磋商文件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ascii="宋体" w:hAnsi="宋体"/>
          <w:b/>
          <w:bCs/>
          <w:sz w:val="52"/>
          <w:szCs w:val="52"/>
          <w:lang w:val="en-US" w:eastAsia="zh-CN"/>
        </w:rPr>
        <w:t>服务类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5" w:rightChars="12"/>
        <w:jc w:val="center"/>
        <w:rPr>
          <w:rFonts w:ascii="宋体" w:hAnsi="宋体"/>
          <w:sz w:val="24"/>
          <w:szCs w:val="24"/>
        </w:rPr>
      </w:pPr>
    </w:p>
    <w:p>
      <w:pPr>
        <w:tabs>
          <w:tab w:val="left" w:pos="315"/>
          <w:tab w:val="left" w:pos="8820"/>
        </w:tabs>
        <w:spacing w:before="240" w:beforeLines="100" w:after="120" w:afterLines="50" w:line="500" w:lineRule="exact"/>
        <w:ind w:right="25"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黑体" w:hAnsi="黑体" w:eastAsia="宋体"/>
          <w:sz w:val="32"/>
          <w:szCs w:val="32"/>
          <w:highlight w:val="none"/>
          <w:lang w:val="en-US" w:eastAsia="zh-CN"/>
        </w:rPr>
      </w:pPr>
      <w:r>
        <w:rPr>
          <w:rFonts w:hint="eastAsia" w:ascii="宋体" w:hAnsi="DotumChe" w:cs="宋体"/>
          <w:b/>
          <w:spacing w:val="20"/>
          <w:kern w:val="0"/>
          <w:sz w:val="32"/>
          <w:szCs w:val="32"/>
          <w:highlight w:val="none"/>
        </w:rPr>
        <w:t>项目名称：庐阳宫及中市街</w:t>
      </w:r>
      <w:r>
        <w:rPr>
          <w:rFonts w:hint="eastAsia" w:hAnsi="DotumChe" w:cs="宋体"/>
          <w:b/>
          <w:spacing w:val="20"/>
          <w:kern w:val="0"/>
          <w:sz w:val="32"/>
          <w:szCs w:val="32"/>
          <w:highlight w:val="none"/>
          <w:lang w:eastAsia="zh-CN"/>
        </w:rPr>
        <w:t>电梯维保服务项目</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w:t>
      </w:r>
      <w:r>
        <w:rPr>
          <w:rFonts w:hint="eastAsia" w:hAnsi="DotumChe" w:cs="宋体"/>
          <w:b/>
          <w:spacing w:val="20"/>
          <w:kern w:val="0"/>
          <w:sz w:val="32"/>
          <w:szCs w:val="32"/>
          <w:highlight w:val="none"/>
          <w:u w:val="none"/>
          <w:lang w:val="en-US" w:eastAsia="zh-CN"/>
        </w:rPr>
        <w:t>2024GW0006</w:t>
      </w:r>
      <w:r>
        <w:rPr>
          <w:rFonts w:hint="eastAsia" w:hAnsi="DotumChe" w:cs="宋体"/>
          <w:b/>
          <w:spacing w:val="20"/>
          <w:kern w:val="0"/>
          <w:sz w:val="32"/>
          <w:szCs w:val="32"/>
          <w:highlight w:val="none"/>
          <w:u w:val="none"/>
          <w:lang w:eastAsia="zh-CN"/>
        </w:rPr>
        <w:t xml:space="preserve">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w:t>
      </w:r>
      <w:r>
        <w:rPr>
          <w:rFonts w:hint="eastAsia" w:hAnsi="DotumChe" w:cs="宋体"/>
          <w:b/>
          <w:spacing w:val="20"/>
          <w:kern w:val="0"/>
          <w:sz w:val="32"/>
          <w:szCs w:val="32"/>
          <w:u w:val="none"/>
          <w:lang w:val="en-US" w:eastAsia="zh-CN"/>
        </w:rPr>
        <w:t>城隍庙商业运营管理有限公司</w:t>
      </w:r>
      <w:r>
        <w:rPr>
          <w:rFonts w:hint="eastAsia" w:ascii="宋体" w:hAnsi="DotumChe" w:cs="宋体"/>
          <w:b/>
          <w:spacing w:val="20"/>
          <w:kern w:val="0"/>
          <w:sz w:val="32"/>
          <w:szCs w:val="32"/>
          <w:u w:val="none"/>
          <w:lang w:val="en-US" w:eastAsia="zh-CN"/>
        </w:rPr>
        <w:t xml:space="preserve"> </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hAnsi="DotumChe" w:cs="宋体"/>
          <w:b/>
          <w:spacing w:val="20"/>
          <w:kern w:val="0"/>
          <w:sz w:val="32"/>
          <w:szCs w:val="32"/>
          <w:u w:val="none"/>
          <w:lang w:val="en-US" w:eastAsia="zh-CN"/>
        </w:rPr>
        <w:t>四</w:t>
      </w:r>
      <w:r>
        <w:rPr>
          <w:rFonts w:hint="eastAsia" w:ascii="宋体" w:hAnsi="DotumChe" w:cs="宋体"/>
          <w:b/>
          <w:spacing w:val="20"/>
          <w:kern w:val="0"/>
          <w:sz w:val="32"/>
          <w:szCs w:val="32"/>
          <w:u w:val="none"/>
        </w:rPr>
        <w:t>年</w:t>
      </w:r>
      <w:r>
        <w:rPr>
          <w:rFonts w:hint="eastAsia" w:ascii="宋体"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0"/>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bookmarkStart w:id="102" w:name="_GoBack"/>
      <w:bookmarkEnd w:id="102"/>
    </w:p>
    <w:p>
      <w:pPr>
        <w:pStyle w:val="15"/>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_Toc4378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rPr>
        <w:t>磋商邀请（磋商公告）</w:t>
      </w:r>
      <w:r>
        <w:tab/>
      </w:r>
      <w:r>
        <w:fldChar w:fldCharType="begin"/>
      </w:r>
      <w:r>
        <w:instrText xml:space="preserve"> PAGEREF _Toc4378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_Toc27714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_Toc27714 \h </w:instrText>
      </w:r>
      <w:r>
        <w:fldChar w:fldCharType="separate"/>
      </w:r>
      <w:r>
        <w:t>6</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_Toc23172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_Toc23172 \h </w:instrText>
      </w:r>
      <w:r>
        <w:fldChar w:fldCharType="separate"/>
      </w:r>
      <w:r>
        <w:t>9</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_Toc16130 </w:instrText>
      </w:r>
      <w:r>
        <w:rPr>
          <w:rFonts w:eastAsia="黑体"/>
          <w:szCs w:val="24"/>
          <w:highlight w:val="none"/>
        </w:rPr>
        <w:fldChar w:fldCharType="separate"/>
      </w:r>
      <w:r>
        <w:rPr>
          <w:rFonts w:hint="eastAsia" w:ascii="宋体" w:hAnsi="Times New Roman" w:eastAsia="宋体" w:cs="Times New Roman"/>
          <w:bCs/>
          <w:lang w:val="en-US" w:eastAsia="zh-CN"/>
        </w:rPr>
        <w:t>第三章 招标需求</w:t>
      </w:r>
      <w:r>
        <w:tab/>
      </w:r>
      <w:r>
        <w:fldChar w:fldCharType="begin"/>
      </w:r>
      <w:r>
        <w:instrText xml:space="preserve"> PAGEREF _Toc16130 \h </w:instrText>
      </w:r>
      <w:r>
        <w:fldChar w:fldCharType="separate"/>
      </w:r>
      <w:r>
        <w:t>21</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_Toc14439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章  评</w:t>
      </w:r>
      <w:r>
        <w:rPr>
          <w:rFonts w:hint="eastAsia" w:ascii="黑体" w:hAnsi="黑体" w:eastAsia="黑体"/>
          <w:highlight w:val="none"/>
          <w:lang w:eastAsia="zh-CN"/>
        </w:rPr>
        <w:t>审方</w:t>
      </w:r>
      <w:r>
        <w:rPr>
          <w:rFonts w:hint="eastAsia" w:ascii="黑体" w:hAnsi="黑体" w:eastAsia="黑体"/>
          <w:highlight w:val="none"/>
        </w:rPr>
        <w:t>法</w:t>
      </w:r>
      <w:r>
        <w:rPr>
          <w:rFonts w:hint="eastAsia" w:ascii="黑体" w:hAnsi="黑体" w:eastAsia="黑体"/>
          <w:highlight w:val="none"/>
          <w:lang w:eastAsia="zh-CN"/>
        </w:rPr>
        <w:t>与标准</w:t>
      </w:r>
      <w:r>
        <w:tab/>
      </w:r>
      <w:r>
        <w:fldChar w:fldCharType="begin"/>
      </w:r>
      <w:r>
        <w:instrText xml:space="preserve"> PAGEREF _Toc14439 \h </w:instrText>
      </w:r>
      <w:r>
        <w:fldChar w:fldCharType="separate"/>
      </w:r>
      <w:r>
        <w:t>33</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_Toc31114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合同条款及格式（另行提供）</w:t>
      </w:r>
      <w:r>
        <w:tab/>
      </w:r>
      <w:r>
        <w:fldChar w:fldCharType="begin"/>
      </w:r>
      <w:r>
        <w:instrText xml:space="preserve"> PAGEREF _Toc31114 \h </w:instrText>
      </w:r>
      <w:r>
        <w:fldChar w:fldCharType="separate"/>
      </w:r>
      <w:r>
        <w:t>37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_Toc2143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_Toc2143 \h </w:instrText>
      </w:r>
      <w:r>
        <w:fldChar w:fldCharType="separate"/>
      </w:r>
      <w:r>
        <w:t>38</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_Toc5783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_Toc5783 \h </w:instrText>
      </w:r>
      <w:r>
        <w:fldChar w:fldCharType="separate"/>
      </w:r>
      <w:r>
        <w:t>38</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_Toc26489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_Toc26489 \h </w:instrText>
      </w:r>
      <w:r>
        <w:fldChar w:fldCharType="separate"/>
      </w:r>
      <w:r>
        <w:t>39</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_Toc16163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一、开标一览表</w:t>
      </w:r>
      <w:r>
        <w:tab/>
      </w:r>
      <w:r>
        <w:fldChar w:fldCharType="begin"/>
      </w:r>
      <w:r>
        <w:instrText xml:space="preserve"> PAGEREF _Toc16163 \h </w:instrText>
      </w:r>
      <w:r>
        <w:fldChar w:fldCharType="separate"/>
      </w:r>
      <w:r>
        <w:t>40</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_Toc25189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_Toc25189 \h </w:instrText>
      </w:r>
      <w:r>
        <w:fldChar w:fldCharType="separate"/>
      </w:r>
      <w:r>
        <w:t>41</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_Toc7763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_Toc7763 \h </w:instrText>
      </w:r>
      <w:r>
        <w:fldChar w:fldCharType="separate"/>
      </w:r>
      <w:r>
        <w:t>42</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_Toc19481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_Toc19481 \h </w:instrText>
      </w:r>
      <w:r>
        <w:fldChar w:fldCharType="separate"/>
      </w:r>
      <w:r>
        <w:t>46</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_Toc26115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w:t>
      </w:r>
      <w:r>
        <w:tab/>
      </w:r>
      <w:r>
        <w:fldChar w:fldCharType="begin"/>
      </w:r>
      <w:r>
        <w:instrText xml:space="preserve"> PAGEREF _Toc26115 \h </w:instrText>
      </w:r>
      <w:r>
        <w:fldChar w:fldCharType="separate"/>
      </w:r>
      <w:r>
        <w:t>47</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_Toc5825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七、奖项、荣誉（如有）</w:t>
      </w:r>
      <w:r>
        <w:tab/>
      </w:r>
      <w:r>
        <w:fldChar w:fldCharType="begin"/>
      </w:r>
      <w:r>
        <w:instrText xml:space="preserve"> PAGEREF _Toc5825 \h </w:instrText>
      </w:r>
      <w:r>
        <w:fldChar w:fldCharType="separate"/>
      </w:r>
      <w:r>
        <w:t>48</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_Toc4230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八、项目管理机构</w:t>
      </w:r>
      <w:r>
        <w:tab/>
      </w:r>
      <w:r>
        <w:fldChar w:fldCharType="begin"/>
      </w:r>
      <w:r>
        <w:instrText xml:space="preserve"> PAGEREF _Toc4230 \h </w:instrText>
      </w:r>
      <w:r>
        <w:fldChar w:fldCharType="separate"/>
      </w:r>
      <w:r>
        <w:t>49</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_Toc10474 </w:instrText>
      </w:r>
      <w:r>
        <w:rPr>
          <w:rFonts w:eastAsia="黑体"/>
          <w:szCs w:val="24"/>
          <w:highlight w:val="none"/>
        </w:rPr>
        <w:fldChar w:fldCharType="separate"/>
      </w:r>
      <w:r>
        <w:rPr>
          <w:rFonts w:hint="eastAsia" w:ascii="宋体" w:hAnsi="宋体" w:eastAsia="宋体" w:cs="宋体"/>
          <w:bCs/>
          <w:spacing w:val="-2"/>
          <w:szCs w:val="24"/>
          <w:lang w:val="en-US" w:eastAsia="zh-CN"/>
        </w:rPr>
        <w:t>九、后期服务方案</w:t>
      </w:r>
      <w:r>
        <w:tab/>
      </w:r>
      <w:r>
        <w:fldChar w:fldCharType="begin"/>
      </w:r>
      <w:r>
        <w:instrText xml:space="preserve"> PAGEREF _Toc10474 \h </w:instrText>
      </w:r>
      <w:r>
        <w:fldChar w:fldCharType="separate"/>
      </w:r>
      <w:r>
        <w:t>50</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_Toc4500 </w:instrText>
      </w:r>
      <w:r>
        <w:rPr>
          <w:rFonts w:eastAsia="黑体"/>
          <w:szCs w:val="24"/>
          <w:highlight w:val="none"/>
        </w:rPr>
        <w:fldChar w:fldCharType="separate"/>
      </w:r>
      <w:r>
        <w:rPr>
          <w:rFonts w:hint="eastAsia" w:ascii="宋体" w:hAnsi="宋体" w:eastAsia="宋体" w:cs="宋体"/>
          <w:bCs/>
          <w:spacing w:val="-2"/>
          <w:szCs w:val="24"/>
          <w:lang w:val="en-US" w:eastAsia="zh-CN"/>
        </w:rPr>
        <w:t>十、</w:t>
      </w:r>
      <w:r>
        <w:rPr>
          <w:rFonts w:hint="eastAsia" w:ascii="宋体" w:hAnsi="宋体" w:cs="宋体"/>
          <w:bCs/>
          <w:spacing w:val="-2"/>
          <w:szCs w:val="24"/>
          <w:lang w:val="en-US" w:eastAsia="zh-CN"/>
        </w:rPr>
        <w:t>营业执照</w:t>
      </w:r>
      <w:r>
        <w:tab/>
      </w:r>
      <w:r>
        <w:fldChar w:fldCharType="begin"/>
      </w:r>
      <w:r>
        <w:instrText xml:space="preserve"> PAGEREF _Toc4500 \h </w:instrText>
      </w:r>
      <w:r>
        <w:fldChar w:fldCharType="separate"/>
      </w:r>
      <w:r>
        <w:t>50</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_Toc14666 </w:instrText>
      </w:r>
      <w:r>
        <w:rPr>
          <w:rFonts w:eastAsia="黑体"/>
          <w:szCs w:val="24"/>
          <w:highlight w:val="none"/>
        </w:rPr>
        <w:fldChar w:fldCharType="separate"/>
      </w:r>
      <w:r>
        <w:rPr>
          <w:rFonts w:hint="eastAsia" w:ascii="宋体" w:hAnsi="宋体" w:eastAsia="宋体" w:cs="宋体"/>
          <w:bCs/>
          <w:spacing w:val="-2"/>
          <w:szCs w:val="24"/>
          <w:lang w:val="en-US" w:eastAsia="zh-CN"/>
        </w:rPr>
        <w:t>十</w:t>
      </w:r>
      <w:r>
        <w:rPr>
          <w:rFonts w:hint="eastAsia" w:ascii="宋体" w:hAnsi="宋体" w:cs="宋体"/>
          <w:bCs/>
          <w:spacing w:val="-2"/>
          <w:szCs w:val="24"/>
          <w:lang w:val="en-US" w:eastAsia="zh-CN"/>
        </w:rPr>
        <w:t>一</w:t>
      </w:r>
      <w:r>
        <w:rPr>
          <w:rFonts w:hint="eastAsia" w:ascii="宋体" w:hAnsi="宋体" w:eastAsia="宋体" w:cs="宋体"/>
          <w:bCs/>
          <w:spacing w:val="-2"/>
          <w:szCs w:val="24"/>
          <w:lang w:val="en-US" w:eastAsia="zh-CN"/>
        </w:rPr>
        <w:t>、其他资料</w:t>
      </w:r>
      <w:r>
        <w:tab/>
      </w:r>
      <w:r>
        <w:fldChar w:fldCharType="begin"/>
      </w:r>
      <w:r>
        <w:instrText xml:space="preserve"> PAGEREF _Toc14666 \h </w:instrText>
      </w:r>
      <w:r>
        <w:fldChar w:fldCharType="separate"/>
      </w:r>
      <w:r>
        <w:t>50</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2"/>
        <w:numPr>
          <w:ilvl w:val="0"/>
          <w:numId w:val="1"/>
        </w:numPr>
        <w:ind w:firstLine="420"/>
        <w:jc w:val="center"/>
        <w:rPr>
          <w:b w:val="0"/>
          <w:color w:val="auto"/>
          <w:szCs w:val="24"/>
          <w:highlight w:val="none"/>
        </w:rPr>
      </w:pPr>
      <w:r>
        <w:rPr>
          <w:highlight w:val="none"/>
        </w:rPr>
        <w:br w:type="page"/>
      </w:r>
      <w:bookmarkStart w:id="0" w:name="_Toc462215727"/>
      <w:bookmarkStart w:id="1" w:name="_Toc50128746"/>
      <w:r>
        <w:rPr>
          <w:rFonts w:hint="eastAsia"/>
          <w:color w:val="auto"/>
          <w:highlight w:val="none"/>
        </w:rPr>
        <w:t xml:space="preserve"> </w:t>
      </w:r>
      <w:bookmarkStart w:id="2" w:name="_Toc4378"/>
      <w:r>
        <w:rPr>
          <w:rFonts w:hint="eastAsia"/>
          <w:color w:val="auto"/>
          <w:highlight w:val="none"/>
        </w:rPr>
        <w:t>磋商邀请（磋商公告）</w:t>
      </w:r>
      <w:bookmarkEnd w:id="0"/>
      <w:bookmarkEnd w:id="1"/>
      <w:bookmarkEnd w:id="2"/>
    </w:p>
    <w:p>
      <w:pPr>
        <w:pStyle w:val="21"/>
        <w:widowControl w:val="0"/>
        <w:autoSpaceDE w:val="0"/>
        <w:autoSpaceDN w:val="0"/>
        <w:adjustRightInd w:val="0"/>
        <w:spacing w:before="0" w:after="0" w:line="360" w:lineRule="auto"/>
        <w:rPr>
          <w:rFonts w:hint="eastAsia" w:ascii="宋体" w:hAnsi="宋体" w:eastAsia="宋体"/>
          <w:color w:val="auto"/>
          <w:kern w:val="2"/>
          <w:u w:val="none"/>
        </w:rPr>
      </w:pPr>
      <w:r>
        <w:rPr>
          <w:rFonts w:hint="eastAsia" w:ascii="宋体" w:hAnsi="宋体" w:eastAsia="宋体"/>
          <w:color w:val="auto"/>
          <w:kern w:val="2"/>
          <w:u w:val="none"/>
          <w:lang w:eastAsia="zh-CN"/>
        </w:rPr>
        <w:t>本项目</w:t>
      </w:r>
      <w:r>
        <w:rPr>
          <w:rFonts w:hint="eastAsia" w:ascii="宋体" w:hAnsi="宋体" w:eastAsia="宋体"/>
          <w:color w:val="auto"/>
          <w:kern w:val="2"/>
          <w:u w:val="single"/>
          <w:lang w:val="en-US" w:eastAsia="zh-CN"/>
        </w:rPr>
        <w:t>庐阳宫及中市街</w:t>
      </w:r>
      <w:r>
        <w:rPr>
          <w:rFonts w:hint="eastAsia" w:ascii="宋体" w:hAnsi="宋体" w:eastAsia="宋体"/>
          <w:color w:val="auto"/>
          <w:kern w:val="2"/>
          <w:u w:val="single"/>
          <w:lang w:eastAsia="zh-CN"/>
        </w:rPr>
        <w:t>电梯维保服务项目</w:t>
      </w:r>
      <w:r>
        <w:rPr>
          <w:rFonts w:hint="eastAsia" w:ascii="宋体" w:hAnsi="宋体" w:eastAsia="宋体" w:cs="Times New Roman"/>
          <w:color w:val="auto"/>
          <w:kern w:val="2"/>
          <w:u w:val="none"/>
          <w:lang w:val="en-US" w:eastAsia="zh-CN"/>
        </w:rPr>
        <w:t>已具备竞争性磋商条件，招标人为</w:t>
      </w:r>
      <w:r>
        <w:rPr>
          <w:rFonts w:hint="eastAsia" w:ascii="宋体" w:hAnsi="宋体" w:eastAsia="宋体" w:cs="Times New Roman"/>
          <w:color w:val="auto"/>
          <w:kern w:val="2"/>
          <w:u w:val="single"/>
          <w:lang w:val="en-US" w:eastAsia="zh-CN"/>
        </w:rPr>
        <w:t xml:space="preserve">  合肥城隍庙商业运营管理有限公司 </w:t>
      </w:r>
      <w:r>
        <w:rPr>
          <w:rFonts w:hint="eastAsia" w:ascii="宋体" w:hAnsi="宋体" w:eastAsia="宋体"/>
          <w:color w:val="auto"/>
          <w:kern w:val="2"/>
          <w:u w:val="none"/>
        </w:rPr>
        <w:t>，现对</w:t>
      </w:r>
      <w:r>
        <w:rPr>
          <w:rFonts w:hint="eastAsia" w:ascii="宋体" w:hAnsi="宋体" w:eastAsia="宋体"/>
          <w:color w:val="auto"/>
          <w:kern w:val="2"/>
          <w:u w:val="none"/>
          <w:lang w:eastAsia="zh-CN"/>
        </w:rPr>
        <w:t>该项目</w:t>
      </w:r>
      <w:r>
        <w:rPr>
          <w:rFonts w:hint="eastAsia" w:ascii="宋体" w:hAnsi="宋体" w:eastAsia="宋体"/>
          <w:color w:val="auto"/>
          <w:kern w:val="2"/>
          <w:u w:val="none"/>
        </w:rPr>
        <w:t>进行竞争性磋商，欢迎具备条件的国内投标人参加磋商。</w:t>
      </w:r>
    </w:p>
    <w:p>
      <w:pPr>
        <w:autoSpaceDE w:val="0"/>
        <w:autoSpaceDN w:val="0"/>
        <w:adjustRightInd w:val="0"/>
        <w:spacing w:line="360" w:lineRule="auto"/>
        <w:ind w:firstLine="200"/>
        <w:jc w:val="left"/>
        <w:rPr>
          <w:rFonts w:hint="eastAsia" w:ascii="宋体" w:hAnsi="宋体"/>
          <w:b/>
          <w:bCs/>
          <w:color w:val="auto"/>
          <w:sz w:val="24"/>
          <w:szCs w:val="24"/>
          <w:highlight w:val="none"/>
          <w:u w:val="none"/>
        </w:rPr>
      </w:pPr>
      <w:r>
        <w:rPr>
          <w:rFonts w:hint="eastAsia" w:ascii="宋体" w:hAnsi="宋体"/>
          <w:b/>
          <w:bCs/>
          <w:color w:val="auto"/>
          <w:sz w:val="24"/>
          <w:szCs w:val="24"/>
          <w:u w:val="none"/>
        </w:rPr>
        <w:t>一、</w:t>
      </w:r>
      <w:r>
        <w:rPr>
          <w:rFonts w:hint="eastAsia" w:ascii="宋体" w:hAnsi="宋体"/>
          <w:b/>
          <w:bCs/>
          <w:color w:val="auto"/>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color w:val="auto"/>
          <w:sz w:val="24"/>
          <w:szCs w:val="24"/>
          <w:highlight w:val="yellow"/>
          <w:u w:val="none"/>
          <w:lang w:eastAsia="zh-CN"/>
        </w:rPr>
      </w:pPr>
      <w:r>
        <w:rPr>
          <w:rFonts w:hint="eastAsia" w:ascii="宋体" w:hAnsi="宋体"/>
          <w:color w:val="auto"/>
          <w:sz w:val="24"/>
          <w:szCs w:val="24"/>
          <w:highlight w:val="none"/>
          <w:u w:val="none"/>
        </w:rPr>
        <w:t>1.项目编号：2024GW0006</w:t>
      </w:r>
      <w:r>
        <w:rPr>
          <w:rFonts w:hint="eastAsia" w:hAnsi="宋体"/>
          <w:color w:val="auto"/>
          <w:sz w:val="24"/>
          <w:szCs w:val="24"/>
          <w:highlight w:val="none"/>
          <w:u w:val="none"/>
          <w:lang w:val="en-US" w:eastAsia="zh-CN"/>
        </w:rPr>
        <w:t xml:space="preserve"> </w:t>
      </w:r>
      <w:r>
        <w:rPr>
          <w:rFonts w:hint="eastAsia" w:hAnsi="宋体"/>
          <w:color w:val="auto"/>
          <w:sz w:val="24"/>
          <w:szCs w:val="24"/>
          <w:highlight w:val="none"/>
          <w:u w:val="none"/>
          <w:lang w:eastAsia="zh-CN"/>
        </w:rPr>
        <w:t xml:space="preserve"> </w:t>
      </w:r>
      <w:r>
        <w:rPr>
          <w:rFonts w:hint="eastAsia" w:ascii="宋体" w:hAnsi="宋体"/>
          <w:color w:val="auto"/>
          <w:sz w:val="24"/>
          <w:szCs w:val="24"/>
          <w:highlight w:val="none"/>
          <w:u w:val="none"/>
        </w:rPr>
        <w:t xml:space="preserve"> </w:t>
      </w:r>
    </w:p>
    <w:p>
      <w:pPr>
        <w:autoSpaceDE w:val="0"/>
        <w:autoSpaceDN w:val="0"/>
        <w:adjustRightInd w:val="0"/>
        <w:spacing w:line="360" w:lineRule="auto"/>
        <w:ind w:firstLine="200"/>
        <w:jc w:val="left"/>
        <w:rPr>
          <w:rFonts w:hint="eastAsia" w:ascii="宋体" w:hAnsi="宋体" w:eastAsia="宋体"/>
          <w:color w:val="auto"/>
          <w:sz w:val="24"/>
          <w:szCs w:val="24"/>
          <w:u w:val="none"/>
          <w:lang w:eastAsia="zh-CN"/>
        </w:rPr>
      </w:pPr>
      <w:r>
        <w:rPr>
          <w:rFonts w:hint="eastAsia" w:ascii="宋体" w:hAnsi="宋体"/>
          <w:color w:val="auto"/>
          <w:sz w:val="24"/>
          <w:szCs w:val="24"/>
          <w:u w:val="none"/>
        </w:rPr>
        <w:t>2.项目名称：庐阳宫及中市街</w:t>
      </w:r>
      <w:r>
        <w:rPr>
          <w:rFonts w:hint="eastAsia" w:hAnsi="宋体"/>
          <w:color w:val="auto"/>
          <w:sz w:val="24"/>
          <w:szCs w:val="24"/>
          <w:u w:val="none"/>
          <w:lang w:eastAsia="zh-CN"/>
        </w:rPr>
        <w:t>电梯维保服务项目</w:t>
      </w:r>
    </w:p>
    <w:p>
      <w:pPr>
        <w:autoSpaceDE w:val="0"/>
        <w:autoSpaceDN w:val="0"/>
        <w:adjustRightInd w:val="0"/>
        <w:spacing w:line="360" w:lineRule="auto"/>
        <w:ind w:firstLine="200"/>
        <w:jc w:val="left"/>
        <w:rPr>
          <w:rFonts w:hint="eastAsia" w:ascii="宋体" w:hAnsi="宋体"/>
          <w:color w:val="auto"/>
          <w:sz w:val="24"/>
          <w:szCs w:val="24"/>
          <w:u w:val="none"/>
        </w:rPr>
      </w:pPr>
      <w:r>
        <w:rPr>
          <w:rFonts w:hint="eastAsia" w:ascii="宋体" w:hAnsi="宋体"/>
          <w:color w:val="auto"/>
          <w:sz w:val="24"/>
          <w:szCs w:val="24"/>
          <w:u w:val="none"/>
        </w:rPr>
        <w:t>3.项目地点：</w:t>
      </w:r>
      <w:r>
        <w:rPr>
          <w:rFonts w:hint="eastAsia" w:ascii="宋体" w:hAnsi="宋体"/>
          <w:color w:val="auto"/>
          <w:sz w:val="24"/>
          <w:szCs w:val="18"/>
          <w:u w:val="none"/>
        </w:rPr>
        <w:t>安徽省合肥市庐阳区</w:t>
      </w:r>
    </w:p>
    <w:p>
      <w:pPr>
        <w:autoSpaceDE w:val="0"/>
        <w:autoSpaceDN w:val="0"/>
        <w:adjustRightInd w:val="0"/>
        <w:spacing w:line="360" w:lineRule="auto"/>
        <w:ind w:firstLine="200"/>
        <w:jc w:val="left"/>
        <w:rPr>
          <w:rFonts w:hint="eastAsia" w:ascii="宋体" w:hAnsi="宋体"/>
          <w:color w:val="auto"/>
          <w:sz w:val="24"/>
          <w:szCs w:val="24"/>
          <w:u w:val="none"/>
          <w:lang w:eastAsia="zh-CN"/>
        </w:rPr>
      </w:pPr>
      <w:r>
        <w:rPr>
          <w:rFonts w:hint="eastAsia" w:ascii="宋体" w:hAnsi="宋体"/>
          <w:color w:val="auto"/>
          <w:sz w:val="24"/>
          <w:szCs w:val="24"/>
          <w:u w:val="none"/>
        </w:rPr>
        <w:t>4.项目单位：合肥城隍庙商业运营管理有限公司</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olor w:val="auto"/>
          <w:sz w:val="24"/>
          <w:szCs w:val="24"/>
          <w:highlight w:val="none"/>
          <w:u w:val="none"/>
          <w:lang w:eastAsia="zh-CN"/>
        </w:rPr>
      </w:pPr>
      <w:r>
        <w:rPr>
          <w:rFonts w:hint="eastAsia" w:ascii="宋体" w:hAnsi="宋体"/>
          <w:color w:val="auto"/>
          <w:sz w:val="24"/>
          <w:szCs w:val="24"/>
          <w:u w:val="none"/>
        </w:rPr>
        <w:t>5.项目</w:t>
      </w:r>
      <w:r>
        <w:rPr>
          <w:rFonts w:hint="eastAsia" w:ascii="宋体" w:hAnsi="宋体"/>
          <w:color w:val="auto"/>
          <w:sz w:val="24"/>
          <w:szCs w:val="24"/>
          <w:highlight w:val="none"/>
          <w:u w:val="none"/>
        </w:rPr>
        <w:t>概况：</w:t>
      </w:r>
      <w:r>
        <w:rPr>
          <w:rFonts w:hint="eastAsia" w:ascii="宋体" w:hAnsi="宋体"/>
          <w:color w:val="auto"/>
          <w:sz w:val="24"/>
          <w:szCs w:val="24"/>
          <w:highlight w:val="none"/>
          <w:u w:val="none"/>
          <w:lang w:val="en-US" w:eastAsia="zh-CN"/>
        </w:rPr>
        <w:t>针对</w:t>
      </w:r>
      <w:r>
        <w:rPr>
          <w:rFonts w:hint="eastAsia" w:ascii="宋体" w:hAnsi="宋体"/>
          <w:color w:val="auto"/>
          <w:sz w:val="24"/>
          <w:szCs w:val="24"/>
          <w:highlight w:val="none"/>
          <w:u w:val="none"/>
        </w:rPr>
        <w:t>庐阳宫项目1台货梯，4台扶梯；中市街项目1台货梯，2台扶梯</w:t>
      </w:r>
      <w:r>
        <w:rPr>
          <w:rFonts w:hint="eastAsia" w:hAnsi="宋体"/>
          <w:color w:val="auto"/>
          <w:sz w:val="24"/>
          <w:szCs w:val="24"/>
          <w:highlight w:val="none"/>
          <w:u w:val="none"/>
          <w:lang w:val="en-US" w:eastAsia="zh-CN"/>
        </w:rPr>
        <w:t>提供</w:t>
      </w:r>
      <w:r>
        <w:rPr>
          <w:rFonts w:hint="eastAsia" w:ascii="宋体" w:hAnsi="宋体"/>
          <w:color w:val="auto"/>
          <w:sz w:val="24"/>
          <w:szCs w:val="24"/>
          <w:highlight w:val="none"/>
          <w:u w:val="none"/>
        </w:rPr>
        <w:t>维保</w:t>
      </w:r>
      <w:r>
        <w:rPr>
          <w:rFonts w:hint="eastAsia" w:hAnsi="宋体"/>
          <w:color w:val="auto"/>
          <w:sz w:val="24"/>
          <w:szCs w:val="24"/>
          <w:highlight w:val="none"/>
          <w:u w:val="none"/>
          <w:lang w:val="en-US" w:eastAsia="zh-CN"/>
        </w:rPr>
        <w:t>服务</w:t>
      </w:r>
      <w:r>
        <w:rPr>
          <w:rFonts w:hint="eastAsia" w:hAnsi="宋体"/>
          <w:color w:val="auto"/>
          <w:sz w:val="24"/>
          <w:szCs w:val="24"/>
          <w:highlight w:val="none"/>
          <w:u w:val="none"/>
          <w:lang w:eastAsia="zh-CN"/>
        </w:rPr>
        <w:t>，</w:t>
      </w:r>
      <w:r>
        <w:rPr>
          <w:rFonts w:hint="eastAsia" w:ascii="宋体" w:hAnsi="宋体"/>
          <w:color w:val="auto"/>
          <w:sz w:val="24"/>
          <w:szCs w:val="24"/>
          <w:highlight w:val="none"/>
          <w:u w:val="none"/>
        </w:rPr>
        <w:t>详见磋商文件</w:t>
      </w:r>
      <w:r>
        <w:rPr>
          <w:rFonts w:hint="eastAsia" w:ascii="宋体" w:hAnsi="宋体"/>
          <w:color w:val="auto"/>
          <w:sz w:val="24"/>
          <w:szCs w:val="24"/>
          <w:highlight w:val="none"/>
          <w:u w:val="none"/>
          <w:lang w:eastAsia="zh-CN"/>
        </w:rPr>
        <w:t>。</w:t>
      </w:r>
    </w:p>
    <w:p>
      <w:pPr>
        <w:autoSpaceDE w:val="0"/>
        <w:autoSpaceDN w:val="0"/>
        <w:adjustRightInd w:val="0"/>
        <w:spacing w:line="360" w:lineRule="auto"/>
        <w:ind w:firstLine="200"/>
        <w:jc w:val="left"/>
        <w:rPr>
          <w:rFonts w:hint="eastAsia" w:ascii="宋体" w:hAnsi="宋体" w:eastAsia="宋体"/>
          <w:color w:val="auto"/>
          <w:sz w:val="24"/>
          <w:szCs w:val="24"/>
          <w:highlight w:val="none"/>
          <w:u w:val="none"/>
          <w:lang w:eastAsia="zh-CN"/>
        </w:rPr>
      </w:pPr>
      <w:r>
        <w:rPr>
          <w:rFonts w:hint="eastAsia" w:ascii="宋体" w:hAnsi="宋体"/>
          <w:color w:val="auto"/>
          <w:sz w:val="24"/>
          <w:szCs w:val="24"/>
          <w:highlight w:val="none"/>
          <w:u w:val="none"/>
        </w:rPr>
        <w:t>6.资金来源：自筹</w:t>
      </w:r>
      <w:r>
        <w:rPr>
          <w:rFonts w:hint="eastAsia" w:ascii="宋体" w:hAnsi="宋体"/>
          <w:color w:val="auto"/>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color w:val="auto"/>
          <w:sz w:val="24"/>
          <w:szCs w:val="24"/>
          <w:highlight w:val="none"/>
          <w:u w:val="none"/>
        </w:rPr>
      </w:pPr>
      <w:r>
        <w:rPr>
          <w:rFonts w:hint="eastAsia" w:ascii="宋体" w:hAnsi="宋体"/>
          <w:color w:val="auto"/>
          <w:sz w:val="24"/>
          <w:szCs w:val="24"/>
          <w:highlight w:val="none"/>
          <w:u w:val="none"/>
        </w:rPr>
        <w:t>7.项目概算：</w:t>
      </w:r>
      <w:r>
        <w:rPr>
          <w:rFonts w:hint="eastAsia" w:ascii="宋体" w:hAnsi="宋体"/>
          <w:color w:val="auto"/>
          <w:sz w:val="24"/>
          <w:szCs w:val="24"/>
          <w:highlight w:val="none"/>
          <w:u w:val="none"/>
          <w:lang w:val="en-US" w:eastAsia="zh-CN"/>
        </w:rPr>
        <w:t xml:space="preserve">3.64万元   </w:t>
      </w:r>
      <w:r>
        <w:rPr>
          <w:rFonts w:hint="eastAsia" w:ascii="宋体" w:hAnsi="宋体"/>
          <w:color w:val="auto"/>
          <w:sz w:val="24"/>
          <w:szCs w:val="24"/>
          <w:highlight w:val="none"/>
          <w:u w:val="none"/>
        </w:rPr>
        <w:t xml:space="preserve"> </w:t>
      </w:r>
    </w:p>
    <w:p>
      <w:pPr>
        <w:autoSpaceDE w:val="0"/>
        <w:autoSpaceDN w:val="0"/>
        <w:adjustRightInd w:val="0"/>
        <w:spacing w:line="360" w:lineRule="auto"/>
        <w:ind w:firstLine="200"/>
        <w:jc w:val="left"/>
        <w:rPr>
          <w:rFonts w:hint="default"/>
          <w:color w:val="auto"/>
          <w:lang w:val="en-US" w:eastAsia="zh-CN"/>
        </w:rPr>
      </w:pPr>
      <w:r>
        <w:rPr>
          <w:rFonts w:hint="eastAsia" w:ascii="宋体" w:hAnsi="宋体"/>
          <w:color w:val="auto"/>
          <w:sz w:val="24"/>
          <w:szCs w:val="24"/>
          <w:u w:val="none"/>
        </w:rPr>
        <w:t>8.项目类别：</w:t>
      </w:r>
      <w:r>
        <w:rPr>
          <w:rFonts w:hint="eastAsia" w:ascii="宋体" w:hAnsi="宋体"/>
          <w:color w:val="auto"/>
          <w:sz w:val="24"/>
          <w:szCs w:val="24"/>
          <w:u w:val="none"/>
          <w:lang w:val="en-US" w:eastAsia="zh-CN"/>
        </w:rPr>
        <w:t>服务类</w:t>
      </w:r>
    </w:p>
    <w:p>
      <w:pPr>
        <w:autoSpaceDE w:val="0"/>
        <w:autoSpaceDN w:val="0"/>
        <w:adjustRightInd w:val="0"/>
        <w:spacing w:line="360" w:lineRule="auto"/>
        <w:ind w:firstLine="200"/>
        <w:jc w:val="left"/>
        <w:rPr>
          <w:rFonts w:hint="eastAsia" w:ascii="宋体" w:hAnsi="宋体" w:eastAsia="宋体"/>
          <w:color w:val="auto"/>
          <w:sz w:val="24"/>
          <w:szCs w:val="24"/>
          <w:u w:val="none"/>
          <w:lang w:eastAsia="zh-CN"/>
        </w:rPr>
      </w:pPr>
      <w:r>
        <w:rPr>
          <w:rFonts w:hint="eastAsia" w:ascii="宋体" w:hAnsi="宋体"/>
          <w:color w:val="auto"/>
          <w:sz w:val="24"/>
          <w:szCs w:val="24"/>
          <w:u w:val="none"/>
        </w:rPr>
        <w:t>9.标段（包别）划分：</w:t>
      </w:r>
      <w:r>
        <w:rPr>
          <w:rFonts w:hint="eastAsia" w:ascii="宋体" w:hAnsi="宋体"/>
          <w:color w:val="auto"/>
          <w:sz w:val="24"/>
          <w:szCs w:val="24"/>
          <w:u w:val="none"/>
          <w:lang w:eastAsia="zh-CN"/>
        </w:rPr>
        <w:t>不分包</w:t>
      </w:r>
    </w:p>
    <w:p>
      <w:pPr>
        <w:autoSpaceDE w:val="0"/>
        <w:autoSpaceDN w:val="0"/>
        <w:adjustRightInd w:val="0"/>
        <w:spacing w:line="360" w:lineRule="auto"/>
        <w:ind w:firstLine="200"/>
        <w:jc w:val="left"/>
        <w:rPr>
          <w:rFonts w:hint="eastAsia" w:ascii="宋体" w:hAnsi="宋体"/>
          <w:b/>
          <w:bCs/>
          <w:color w:val="auto"/>
          <w:sz w:val="24"/>
          <w:szCs w:val="24"/>
          <w:u w:val="none"/>
        </w:rPr>
      </w:pPr>
      <w:r>
        <w:rPr>
          <w:rFonts w:hint="eastAsia" w:ascii="宋体" w:hAnsi="宋体"/>
          <w:b/>
          <w:bCs/>
          <w:color w:val="auto"/>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lang w:val="en-US" w:eastAsia="zh-CN"/>
        </w:rPr>
        <w:t>1</w:t>
      </w:r>
      <w:r>
        <w:rPr>
          <w:rFonts w:hint="eastAsia" w:ascii="宋体" w:hAnsi="宋体" w:eastAsia="宋体" w:cs="Times New Roman"/>
          <w:color w:val="auto"/>
          <w:sz w:val="24"/>
          <w:szCs w:val="24"/>
          <w:highlight w:val="none"/>
          <w:u w:val="none"/>
        </w:rPr>
        <w:t>.本项目</w:t>
      </w:r>
      <w:r>
        <w:rPr>
          <w:rFonts w:hint="eastAsia" w:ascii="宋体" w:hAnsi="宋体" w:eastAsia="宋体" w:cs="Times New Roman"/>
          <w:b w:val="0"/>
          <w:bCs w:val="0"/>
          <w:color w:val="auto"/>
          <w:sz w:val="24"/>
          <w:szCs w:val="24"/>
          <w:highlight w:val="none"/>
          <w:u w:val="none"/>
        </w:rPr>
        <w:t>不接受</w:t>
      </w:r>
      <w:r>
        <w:rPr>
          <w:rFonts w:hint="eastAsia" w:ascii="宋体" w:hAnsi="宋体" w:eastAsia="宋体" w:cs="Times New Roman"/>
          <w:color w:val="auto"/>
          <w:sz w:val="24"/>
          <w:szCs w:val="24"/>
          <w:highlight w:val="none"/>
          <w:u w:val="none"/>
        </w:rPr>
        <w:t>联合体磋商；</w:t>
      </w:r>
    </w:p>
    <w:p>
      <w:pPr>
        <w:autoSpaceDE w:val="0"/>
        <w:autoSpaceDN w:val="0"/>
        <w:adjustRightInd w:val="0"/>
        <w:spacing w:line="360" w:lineRule="auto"/>
        <w:ind w:firstLine="200"/>
        <w:jc w:val="left"/>
        <w:rPr>
          <w:rFonts w:hint="eastAsia" w:ascii="宋体" w:hAnsi="宋体" w:eastAsia="宋体" w:cs="Times New Roman"/>
          <w:color w:val="auto"/>
          <w:sz w:val="24"/>
          <w:szCs w:val="24"/>
          <w:highlight w:val="none"/>
          <w:u w:val="none"/>
          <w:lang w:val="en-US" w:eastAsia="zh-CN"/>
        </w:rPr>
      </w:pPr>
      <w:r>
        <w:rPr>
          <w:rFonts w:hint="eastAsia" w:ascii="宋体" w:hAnsi="宋体" w:eastAsia="宋体" w:cs="Times New Roman"/>
          <w:color w:val="auto"/>
          <w:sz w:val="24"/>
          <w:szCs w:val="24"/>
          <w:highlight w:val="none"/>
          <w:u w:val="none"/>
          <w:lang w:val="en-US" w:eastAsia="zh-CN"/>
        </w:rPr>
        <w:t>2.具有独立承担民事责任的能力，不具有独立法人的分支机构投标另须提供相应授权文件</w:t>
      </w:r>
      <w:r>
        <w:rPr>
          <w:rFonts w:hint="eastAsia" w:hAnsi="宋体" w:cs="Times New Roman"/>
          <w:color w:val="auto"/>
          <w:sz w:val="24"/>
          <w:szCs w:val="24"/>
          <w:highlight w:val="none"/>
          <w:u w:val="none"/>
          <w:lang w:val="en-US" w:eastAsia="zh-CN"/>
        </w:rPr>
        <w:t>；</w:t>
      </w:r>
    </w:p>
    <w:p>
      <w:pPr>
        <w:pStyle w:val="22"/>
        <w:ind w:left="0" w:leftChars="0" w:firstLine="0" w:firstLineChars="0"/>
        <w:rPr>
          <w:rFonts w:hint="default"/>
          <w:highlight w:val="none"/>
          <w:lang w:val="en-US" w:eastAsia="zh-CN"/>
        </w:rPr>
      </w:pPr>
      <w:r>
        <w:rPr>
          <w:rFonts w:hint="eastAsia" w:cs="Times New Roman"/>
          <w:color w:val="auto"/>
          <w:sz w:val="24"/>
          <w:szCs w:val="24"/>
          <w:highlight w:val="none"/>
          <w:u w:val="none"/>
          <w:lang w:val="en-US" w:eastAsia="zh-CN"/>
        </w:rPr>
        <w:t xml:space="preserve"> </w:t>
      </w:r>
      <w:r>
        <w:rPr>
          <w:rFonts w:hint="eastAsia" w:ascii="宋体" w:hAnsi="宋体" w:eastAsia="宋体" w:cs="Times New Roman"/>
          <w:color w:val="auto"/>
          <w:sz w:val="24"/>
          <w:szCs w:val="24"/>
          <w:highlight w:val="none"/>
          <w:u w:val="none"/>
          <w:lang w:val="en-US" w:eastAsia="zh-CN" w:bidi="ar-SA"/>
        </w:rPr>
        <w:t xml:space="preserve"> 3.具有中华人民共和国特种设备安装改造维修（修理）许可证（电梯） A 级或具有中华人民共和国特种设备生产许可证（电梯安装（含修理））A 级</w:t>
      </w:r>
      <w:r>
        <w:rPr>
          <w:rFonts w:hint="eastAsia"/>
          <w:highlight w:val="none"/>
          <w:lang w:val="en-US" w:eastAsia="zh-CN"/>
        </w:rPr>
        <w:t>；</w:t>
      </w:r>
    </w:p>
    <w:p>
      <w:pPr>
        <w:autoSpaceDE w:val="0"/>
        <w:autoSpaceDN w:val="0"/>
        <w:adjustRightInd w:val="0"/>
        <w:spacing w:line="360" w:lineRule="auto"/>
        <w:ind w:firstLine="200"/>
        <w:jc w:val="left"/>
        <w:rPr>
          <w:rFonts w:hint="eastAsia" w:ascii="宋体" w:hAnsi="宋体"/>
          <w:color w:val="auto"/>
          <w:sz w:val="24"/>
          <w:szCs w:val="18"/>
          <w:u w:val="none"/>
        </w:rPr>
      </w:pPr>
      <w:r>
        <w:rPr>
          <w:rFonts w:hint="eastAsia" w:hAnsi="宋体"/>
          <w:color w:val="auto"/>
          <w:sz w:val="24"/>
          <w:szCs w:val="18"/>
          <w:highlight w:val="none"/>
          <w:u w:val="none"/>
          <w:lang w:val="en-US" w:eastAsia="zh-CN"/>
        </w:rPr>
        <w:t>4</w:t>
      </w:r>
      <w:r>
        <w:rPr>
          <w:rFonts w:hint="eastAsia" w:ascii="宋体" w:hAnsi="宋体"/>
          <w:color w:val="auto"/>
          <w:sz w:val="24"/>
          <w:szCs w:val="18"/>
          <w:highlight w:val="none"/>
          <w:u w:val="none"/>
        </w:rPr>
        <w:t>.符合下列情形之</w:t>
      </w:r>
      <w:r>
        <w:rPr>
          <w:rFonts w:hint="eastAsia" w:ascii="宋体" w:hAnsi="宋体"/>
          <w:color w:val="auto"/>
          <w:sz w:val="24"/>
          <w:szCs w:val="18"/>
          <w:u w:val="none"/>
        </w:rPr>
        <w:t>一：</w:t>
      </w:r>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三、磋商文件的获取</w:t>
      </w:r>
    </w:p>
    <w:p>
      <w:pPr>
        <w:spacing w:line="360" w:lineRule="auto"/>
        <w:rPr>
          <w:rFonts w:hint="default"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1.获取时间：202</w:t>
      </w:r>
      <w:r>
        <w:rPr>
          <w:rFonts w:hint="eastAsia" w:ascii="宋体" w:hAnsi="宋体"/>
          <w:bCs/>
          <w:color w:val="000000"/>
          <w:sz w:val="24"/>
          <w:szCs w:val="24"/>
          <w:highlight w:val="none"/>
          <w:u w:val="none"/>
          <w:lang w:val="en-US" w:eastAsia="zh-CN"/>
        </w:rPr>
        <w:t>4</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3</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8</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9</w:t>
      </w:r>
      <w:r>
        <w:rPr>
          <w:rFonts w:hint="eastAsia" w:ascii="宋体" w:hAnsi="宋体"/>
          <w:bCs/>
          <w:color w:val="000000"/>
          <w:sz w:val="24"/>
          <w:szCs w:val="24"/>
          <w:highlight w:val="none"/>
          <w:u w:val="none"/>
        </w:rPr>
        <w:t>:30至202</w:t>
      </w:r>
      <w:r>
        <w:rPr>
          <w:rFonts w:hint="eastAsia" w:ascii="宋体" w:hAnsi="宋体"/>
          <w:bCs/>
          <w:color w:val="000000"/>
          <w:sz w:val="24"/>
          <w:szCs w:val="24"/>
          <w:highlight w:val="none"/>
          <w:u w:val="none"/>
          <w:lang w:val="en-US" w:eastAsia="zh-CN"/>
        </w:rPr>
        <w:t>4</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3</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18</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9</w:t>
      </w:r>
      <w:r>
        <w:rPr>
          <w:rFonts w:hint="eastAsia" w:ascii="宋体" w:hAnsi="宋体"/>
          <w:bCs/>
          <w:color w:val="000000"/>
          <w:sz w:val="24"/>
          <w:szCs w:val="24"/>
          <w:highlight w:val="none"/>
          <w:u w:val="none"/>
        </w:rPr>
        <w:t>:30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rPr>
        <w:t>磋商</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default" w:ascii="宋体" w:hAnsi="宋体"/>
          <w:bCs/>
          <w:color w:val="000000"/>
          <w:sz w:val="24"/>
          <w:szCs w:val="24"/>
          <w:u w:val="none"/>
          <w:lang w:val="en-US"/>
        </w:rPr>
      </w:pPr>
      <w:r>
        <w:rPr>
          <w:rFonts w:hint="eastAsia" w:ascii="宋体" w:hAnsi="宋体"/>
          <w:bCs/>
          <w:color w:val="000000"/>
          <w:sz w:val="24"/>
          <w:szCs w:val="24"/>
          <w:u w:val="none"/>
        </w:rPr>
        <w:t>3.获取方式</w:t>
      </w:r>
    </w:p>
    <w:p>
      <w:pPr>
        <w:spacing w:line="360" w:lineRule="auto"/>
        <w:rPr>
          <w:rFonts w:hint="eastAsia"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lang w:val="en-US" w:eastAsia="zh-CN"/>
        </w:rPr>
        <w:t>潜在投标人须登录合肥庐阳文化旅游发展集团有限公司官方网站查阅并下载磋商文件。</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四、磋商时间及地点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rPr>
        <w:t>磋商时间：</w:t>
      </w:r>
      <w:r>
        <w:rPr>
          <w:rFonts w:hint="eastAsia" w:ascii="宋体" w:hAnsi="宋体"/>
          <w:color w:val="auto"/>
          <w:sz w:val="24"/>
          <w:szCs w:val="24"/>
          <w:u w:val="none"/>
          <w:lang w:eastAsia="zh-CN"/>
        </w:rPr>
        <w:t>响应文件提交截止时间后由招标人根据工作情况自行确定</w:t>
      </w:r>
    </w:p>
    <w:p>
      <w:pPr>
        <w:autoSpaceDE w:val="0"/>
        <w:autoSpaceDN w:val="0"/>
        <w:adjustRightInd w:val="0"/>
        <w:spacing w:line="360" w:lineRule="auto"/>
        <w:ind w:firstLine="200"/>
        <w:jc w:val="left"/>
        <w:rPr>
          <w:rFonts w:hint="eastAsia" w:ascii="宋体" w:hAnsi="宋体"/>
          <w:bCs/>
          <w:sz w:val="24"/>
          <w:szCs w:val="24"/>
          <w:highlight w:val="none"/>
          <w:u w:val="none"/>
        </w:rPr>
      </w:pPr>
      <w:r>
        <w:rPr>
          <w:rFonts w:hint="eastAsia" w:ascii="宋体" w:hAnsi="宋体"/>
          <w:bCs/>
          <w:sz w:val="24"/>
          <w:szCs w:val="18"/>
          <w:highlight w:val="none"/>
          <w:u w:val="none"/>
        </w:rPr>
        <w:t>2.磋商地点：</w:t>
      </w:r>
      <w:r>
        <w:rPr>
          <w:rFonts w:hint="eastAsia"/>
          <w:highlight w:val="none"/>
          <w:lang w:eastAsia="zh-CN"/>
        </w:rPr>
        <w:t>由招标人自行确定（</w:t>
      </w:r>
      <w:r>
        <w:rPr>
          <w:rFonts w:hint="eastAsia"/>
          <w:b/>
          <w:bCs/>
          <w:highlight w:val="none"/>
          <w:lang w:eastAsia="zh-CN"/>
        </w:rPr>
        <w:t>备注：投标人在规定时间内递交投标文件即可，无须现场</w:t>
      </w:r>
      <w:r>
        <w:rPr>
          <w:rFonts w:hint="eastAsia"/>
          <w:b/>
          <w:bCs/>
          <w:sz w:val="24"/>
          <w:szCs w:val="24"/>
          <w:highlight w:val="none"/>
          <w:lang w:eastAsia="zh-CN"/>
        </w:rPr>
        <w:t>参加开标</w:t>
      </w:r>
      <w:r>
        <w:rPr>
          <w:rFonts w:hint="eastAsia"/>
          <w:sz w:val="24"/>
          <w:szCs w:val="24"/>
          <w:highlight w:val="none"/>
          <w:lang w:eastAsia="zh-CN"/>
        </w:rPr>
        <w:t>）</w:t>
      </w:r>
      <w:r>
        <w:rPr>
          <w:rFonts w:hint="eastAsia" w:cs="楷体"/>
          <w:bCs/>
          <w:snapToGrid w:val="0"/>
          <w:color w:val="000000"/>
          <w:sz w:val="24"/>
          <w:szCs w:val="24"/>
          <w:highlight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五、响应文件提交截止时间</w:t>
      </w:r>
    </w:p>
    <w:p>
      <w:pPr>
        <w:autoSpaceDE w:val="0"/>
        <w:autoSpaceDN w:val="0"/>
        <w:adjustRightInd w:val="0"/>
        <w:spacing w:line="360" w:lineRule="auto"/>
        <w:ind w:firstLine="200"/>
        <w:jc w:val="left"/>
        <w:rPr>
          <w:rFonts w:hint="default" w:ascii="宋体" w:hAnsi="宋体"/>
          <w:bCs/>
          <w:sz w:val="24"/>
          <w:szCs w:val="24"/>
          <w:highlight w:val="none"/>
          <w:u w:val="none"/>
          <w:lang w:val="en-US"/>
        </w:rPr>
      </w:pPr>
      <w:r>
        <w:rPr>
          <w:rFonts w:hint="eastAsia" w:ascii="宋体" w:hAnsi="宋体"/>
          <w:bCs/>
          <w:sz w:val="24"/>
          <w:szCs w:val="24"/>
          <w:highlight w:val="none"/>
          <w:u w:val="none"/>
          <w:lang w:val="en-US" w:eastAsia="zh-CN"/>
        </w:rPr>
        <w:t xml:space="preserve">2024年3月18日9:30  </w:t>
      </w:r>
    </w:p>
    <w:p>
      <w:pPr>
        <w:numPr>
          <w:ilvl w:val="0"/>
          <w:numId w:val="2"/>
        </w:numPr>
        <w:autoSpaceDE w:val="0"/>
        <w:autoSpaceDN w:val="0"/>
        <w:adjustRightInd w:val="0"/>
        <w:spacing w:line="360" w:lineRule="auto"/>
        <w:ind w:firstLine="200"/>
        <w:jc w:val="left"/>
        <w:rPr>
          <w:rFonts w:hint="eastAsia" w:ascii="宋体" w:hAnsi="宋体" w:eastAsia="宋体" w:cs="Times New Roman"/>
          <w:b/>
          <w:bCs/>
          <w:sz w:val="24"/>
          <w:szCs w:val="24"/>
          <w:highlight w:val="none"/>
          <w:u w:val="none"/>
          <w:lang w:val="en-US" w:eastAsia="zh-CN"/>
        </w:rPr>
      </w:pPr>
      <w:r>
        <w:rPr>
          <w:rFonts w:hint="eastAsia" w:ascii="宋体" w:hAnsi="宋体" w:eastAsia="宋体" w:cs="Times New Roman"/>
          <w:b/>
          <w:bCs/>
          <w:sz w:val="24"/>
          <w:szCs w:val="24"/>
          <w:highlight w:val="none"/>
          <w:u w:val="none"/>
          <w:lang w:val="en-US" w:eastAsia="zh-CN"/>
        </w:rPr>
        <w:t>响应文件递交注意事项：</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1.</w:t>
      </w:r>
      <w:r>
        <w:rPr>
          <w:rFonts w:hint="default" w:ascii="宋体" w:hAnsi="宋体" w:eastAsia="宋体" w:cs="Times New Roman"/>
          <w:bCs/>
          <w:color w:val="000000"/>
          <w:sz w:val="24"/>
          <w:szCs w:val="24"/>
          <w:u w:val="none"/>
          <w:lang w:val="en-US" w:eastAsia="zh-CN" w:bidi="ar-SA"/>
        </w:rPr>
        <w:t>投标文件由投标人在响应文件递交截止时间前密封递交</w:t>
      </w:r>
      <w:r>
        <w:rPr>
          <w:rFonts w:hint="eastAsia" w:ascii="宋体" w:hAnsi="宋体" w:eastAsia="宋体" w:cs="Times New Roman"/>
          <w:bCs/>
          <w:color w:val="000000"/>
          <w:sz w:val="24"/>
          <w:szCs w:val="24"/>
          <w:u w:val="none"/>
          <w:lang w:val="en-US" w:eastAsia="zh-CN" w:bidi="ar-SA"/>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2.</w:t>
      </w:r>
      <w:r>
        <w:rPr>
          <w:rFonts w:hint="default" w:ascii="宋体" w:hAnsi="宋体" w:eastAsia="宋体" w:cs="Times New Roman"/>
          <w:bCs/>
          <w:color w:val="000000"/>
          <w:sz w:val="24"/>
          <w:szCs w:val="24"/>
          <w:u w:val="none"/>
          <w:lang w:val="en-US" w:eastAsia="zh-CN" w:bidi="ar-SA"/>
        </w:rPr>
        <w:t>本项目仅接受线下</w:t>
      </w:r>
      <w:r>
        <w:rPr>
          <w:rFonts w:hint="eastAsia" w:ascii="宋体" w:hAnsi="宋体" w:eastAsia="宋体" w:cs="Times New Roman"/>
          <w:bCs/>
          <w:color w:val="000000"/>
          <w:sz w:val="24"/>
          <w:szCs w:val="24"/>
          <w:u w:val="none"/>
          <w:lang w:val="en-US" w:eastAsia="zh-CN" w:bidi="ar-SA"/>
        </w:rPr>
        <w:t>凭授权委托书或法人身份证明文件现场</w:t>
      </w:r>
      <w:r>
        <w:rPr>
          <w:rFonts w:hint="default" w:ascii="宋体" w:hAnsi="宋体" w:eastAsia="宋体" w:cs="Times New Roman"/>
          <w:bCs/>
          <w:color w:val="000000"/>
          <w:sz w:val="24"/>
          <w:szCs w:val="24"/>
          <w:u w:val="none"/>
          <w:lang w:val="en-US" w:eastAsia="zh-CN" w:bidi="ar-SA"/>
        </w:rPr>
        <w:t>递交</w:t>
      </w:r>
      <w:r>
        <w:rPr>
          <w:rFonts w:hint="eastAsia" w:ascii="宋体" w:hAnsi="宋体" w:eastAsia="宋体" w:cs="Times New Roman"/>
          <w:bCs/>
          <w:color w:val="000000"/>
          <w:sz w:val="24"/>
          <w:szCs w:val="24"/>
          <w:u w:val="none"/>
          <w:lang w:val="en-US" w:eastAsia="zh-CN" w:bidi="ar-SA"/>
        </w:rPr>
        <w:t>，不接受邮寄等其他递交方式；</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3.递交时须</w:t>
      </w:r>
      <w:r>
        <w:rPr>
          <w:rFonts w:hint="default" w:ascii="宋体" w:hAnsi="宋体" w:eastAsia="宋体" w:cs="Times New Roman"/>
          <w:bCs/>
          <w:color w:val="000000"/>
          <w:sz w:val="24"/>
          <w:szCs w:val="24"/>
          <w:u w:val="none"/>
          <w:lang w:val="en-US" w:eastAsia="zh-CN" w:bidi="ar-SA"/>
        </w:rPr>
        <w:t>另行单独提交以下证明材料，否则招标人不予接收。</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default" w:ascii="宋体" w:hAnsi="宋体" w:eastAsia="宋体" w:cs="Times New Roman"/>
          <w:bCs/>
          <w:color w:val="000000"/>
          <w:sz w:val="24"/>
          <w:szCs w:val="24"/>
          <w:u w:val="none"/>
          <w:lang w:val="en-US" w:eastAsia="zh-CN" w:bidi="ar-SA"/>
        </w:rPr>
        <w:t>（1）法定代表人亲自递交的，应提供法定代表人身份证明和法定代表人的有效身份证件；</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default" w:ascii="宋体" w:hAnsi="宋体" w:eastAsia="宋体" w:cs="Times New Roman"/>
          <w:bCs/>
          <w:color w:val="000000"/>
          <w:sz w:val="24"/>
          <w:szCs w:val="24"/>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lang w:val="en-US" w:eastAsia="zh-CN"/>
        </w:rPr>
        <w:t>七</w:t>
      </w:r>
      <w:r>
        <w:rPr>
          <w:rFonts w:hint="eastAsia" w:ascii="宋体" w:hAnsi="宋体"/>
          <w:b/>
          <w:bCs/>
          <w:sz w:val="24"/>
          <w:szCs w:val="24"/>
          <w:highlight w:val="none"/>
          <w:u w:val="none"/>
        </w:rPr>
        <w:t>、联系方法</w:t>
      </w:r>
    </w:p>
    <w:p>
      <w:pPr>
        <w:autoSpaceDE w:val="0"/>
        <w:autoSpaceDN w:val="0"/>
        <w:adjustRightInd w:val="0"/>
        <w:spacing w:line="360" w:lineRule="auto"/>
        <w:ind w:firstLine="200"/>
        <w:jc w:val="left"/>
        <w:rPr>
          <w:rFonts w:hint="eastAsia" w:ascii="宋体" w:hAnsi="宋体"/>
          <w:bCs/>
          <w:sz w:val="24"/>
          <w:szCs w:val="24"/>
          <w:u w:val="none"/>
        </w:rPr>
      </w:pPr>
      <w:r>
        <w:rPr>
          <w:rFonts w:hint="eastAsia" w:ascii="宋体" w:hAnsi="宋体"/>
          <w:bCs/>
          <w:sz w:val="24"/>
          <w:szCs w:val="24"/>
          <w:u w:val="none"/>
          <w:lang w:eastAsia="zh-CN"/>
        </w:rPr>
        <w:t>招标人</w:t>
      </w:r>
      <w:r>
        <w:rPr>
          <w:rFonts w:hint="eastAsia" w:ascii="宋体" w:hAnsi="宋体"/>
          <w:bCs/>
          <w:sz w:val="24"/>
          <w:szCs w:val="24"/>
          <w:u w:val="none"/>
        </w:rPr>
        <w:t>：</w:t>
      </w:r>
      <w:r>
        <w:rPr>
          <w:rFonts w:hint="eastAsia" w:ascii="宋体" w:hAnsi="宋体"/>
          <w:color w:val="auto"/>
          <w:sz w:val="24"/>
          <w:szCs w:val="24"/>
          <w:u w:val="none"/>
        </w:rPr>
        <w:t>合肥城隍庙商业运营管理有限公司</w:t>
      </w:r>
      <w:r>
        <w:rPr>
          <w:rFonts w:hint="eastAsia" w:ascii="宋体" w:hAnsi="宋体"/>
          <w:bCs/>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24"/>
          <w:highlight w:val="none"/>
          <w:u w:val="none"/>
          <w:lang w:val="en-US"/>
        </w:rPr>
      </w:pPr>
      <w:r>
        <w:rPr>
          <w:rFonts w:hint="eastAsia" w:ascii="宋体" w:hAnsi="宋体"/>
          <w:bCs/>
          <w:sz w:val="24"/>
          <w:szCs w:val="24"/>
          <w:highlight w:val="none"/>
          <w:u w:val="none"/>
        </w:rPr>
        <w:t>地址：</w:t>
      </w:r>
      <w:r>
        <w:rPr>
          <w:rFonts w:hint="eastAsia" w:ascii="宋体" w:hAnsi="宋体"/>
          <w:bCs/>
          <w:sz w:val="24"/>
          <w:szCs w:val="24"/>
          <w:highlight w:val="none"/>
          <w:u w:val="none"/>
          <w:lang w:eastAsia="zh-CN"/>
        </w:rPr>
        <w:t>合肥市原省政府</w:t>
      </w:r>
      <w:r>
        <w:rPr>
          <w:rFonts w:hint="eastAsia" w:ascii="宋体" w:hAnsi="宋体"/>
          <w:bCs/>
          <w:sz w:val="24"/>
          <w:szCs w:val="24"/>
          <w:highlight w:val="none"/>
          <w:u w:val="none"/>
        </w:rPr>
        <w:t>办公</w:t>
      </w:r>
      <w:r>
        <w:rPr>
          <w:rFonts w:hint="eastAsia" w:ascii="宋体" w:hAnsi="宋体"/>
          <w:bCs/>
          <w:sz w:val="24"/>
          <w:szCs w:val="24"/>
          <w:highlight w:val="none"/>
          <w:u w:val="none"/>
          <w:lang w:eastAsia="zh-CN"/>
        </w:rPr>
        <w:t>区北楼一楼</w:t>
      </w:r>
      <w:r>
        <w:rPr>
          <w:rFonts w:hint="eastAsia" w:ascii="宋体" w:hAnsi="宋体"/>
          <w:bCs/>
          <w:sz w:val="24"/>
          <w:szCs w:val="24"/>
          <w:highlight w:val="none"/>
          <w:u w:val="none"/>
          <w:lang w:val="en-US" w:eastAsia="zh-CN"/>
        </w:rPr>
        <w:t>134办公室招标部</w:t>
      </w:r>
    </w:p>
    <w:p>
      <w:pPr>
        <w:autoSpaceDE w:val="0"/>
        <w:autoSpaceDN w:val="0"/>
        <w:adjustRightInd w:val="0"/>
        <w:spacing w:line="360" w:lineRule="auto"/>
        <w:ind w:firstLine="200"/>
        <w:jc w:val="left"/>
        <w:rPr>
          <w:rFonts w:hint="default" w:ascii="宋体" w:hAnsi="宋体"/>
          <w:bCs/>
          <w:sz w:val="24"/>
          <w:szCs w:val="24"/>
          <w:highlight w:val="none"/>
          <w:u w:val="none"/>
          <w:lang w:val="en-US" w:eastAsia="zh-CN"/>
        </w:rPr>
      </w:pPr>
      <w:r>
        <w:rPr>
          <w:rFonts w:hint="eastAsia" w:ascii="宋体" w:hAnsi="宋体"/>
          <w:bCs/>
          <w:sz w:val="24"/>
          <w:szCs w:val="24"/>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24"/>
          <w:highlight w:val="none"/>
          <w:u w:val="none"/>
          <w:lang w:val="en-US" w:eastAsia="zh-CN"/>
        </w:rPr>
      </w:pPr>
      <w:r>
        <w:rPr>
          <w:rFonts w:hint="eastAsia" w:ascii="宋体" w:hAnsi="宋体"/>
          <w:bCs/>
          <w:sz w:val="24"/>
          <w:szCs w:val="24"/>
          <w:highlight w:val="none"/>
          <w:u w:val="none"/>
          <w:lang w:val="en-US" w:eastAsia="zh-CN"/>
        </w:rPr>
        <w:t>电  话</w:t>
      </w:r>
      <w:r>
        <w:rPr>
          <w:rFonts w:hint="eastAsia" w:ascii="宋体" w:hAnsi="宋体"/>
          <w:bCs/>
          <w:sz w:val="24"/>
          <w:szCs w:val="24"/>
          <w:highlight w:val="none"/>
          <w:u w:val="none"/>
        </w:rPr>
        <w:t>：</w:t>
      </w:r>
      <w:r>
        <w:rPr>
          <w:rFonts w:hint="eastAsia" w:ascii="宋体" w:hAnsi="宋体"/>
          <w:bCs/>
          <w:sz w:val="24"/>
          <w:szCs w:val="24"/>
          <w:highlight w:val="none"/>
          <w:u w:val="none"/>
          <w:lang w:val="en-US" w:eastAsia="zh-CN"/>
        </w:rPr>
        <w:t>0551-69115416</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eastAsia="宋体" w:cs="Times New Roman"/>
          <w:b/>
          <w:bCs/>
          <w:sz w:val="24"/>
          <w:szCs w:val="24"/>
          <w:highlight w:val="none"/>
          <w:u w:val="none"/>
          <w:lang w:val="en-US" w:eastAsia="zh-CN"/>
        </w:rPr>
        <w:t>八</w:t>
      </w:r>
      <w:r>
        <w:rPr>
          <w:rFonts w:hint="eastAsia" w:ascii="宋体" w:hAnsi="宋体" w:eastAsia="宋体" w:cs="Times New Roman"/>
          <w:b/>
          <w:bCs/>
          <w:sz w:val="24"/>
          <w:szCs w:val="24"/>
          <w:highlight w:val="none"/>
          <w:u w:val="none"/>
        </w:rPr>
        <w:t>、</w:t>
      </w:r>
      <w:r>
        <w:rPr>
          <w:rFonts w:hint="eastAsia" w:ascii="宋体" w:hAnsi="宋体"/>
          <w:b/>
          <w:bCs/>
          <w:sz w:val="24"/>
          <w:szCs w:val="24"/>
          <w:highlight w:val="none"/>
          <w:u w:val="none"/>
        </w:rPr>
        <w:t>其他事项说明</w:t>
      </w:r>
    </w:p>
    <w:p>
      <w:pPr>
        <w:autoSpaceDE w:val="0"/>
        <w:autoSpaceDN w:val="0"/>
        <w:adjustRightInd w:val="0"/>
        <w:spacing w:line="360" w:lineRule="auto"/>
        <w:ind w:firstLine="180" w:firstLineChars="75"/>
        <w:jc w:val="left"/>
        <w:rPr>
          <w:rFonts w:hint="eastAsia" w:hAnsi="宋体"/>
          <w:sz w:val="24"/>
          <w:szCs w:val="24"/>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pStyle w:val="2"/>
        <w:jc w:val="center"/>
        <w:rPr>
          <w:rFonts w:hint="eastAsia" w:hAnsi="宋体"/>
          <w:highlight w:val="none"/>
        </w:rPr>
      </w:pPr>
      <w:bookmarkStart w:id="3" w:name="_Toc27714"/>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8"/>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磋商文件、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snapToGrid w:val="0"/>
              <w:rPr>
                <w:rFonts w:hint="eastAsia"/>
                <w:color w:val="auto"/>
                <w:szCs w:val="24"/>
                <w:highlight w:val="none"/>
                <w:u w:val="single"/>
              </w:rPr>
            </w:pPr>
            <w:r>
              <w:rPr>
                <w:rFonts w:hint="eastAsia"/>
                <w:color w:val="auto"/>
                <w:szCs w:val="24"/>
                <w:highlight w:val="none"/>
                <w:u w:val="single"/>
              </w:rPr>
              <w:t>本次维保服务期合同签订后1年。</w:t>
            </w:r>
          </w:p>
          <w:p>
            <w:pPr>
              <w:snapToGrid w:val="0"/>
              <w:rPr>
                <w:rFonts w:hint="eastAsia"/>
                <w:color w:val="auto"/>
                <w:szCs w:val="24"/>
                <w:highlight w:val="none"/>
              </w:rPr>
            </w:pPr>
            <w:r>
              <w:rPr>
                <w:rFonts w:hint="eastAsia"/>
                <w:color w:val="auto"/>
                <w:szCs w:val="24"/>
                <w:highlight w:val="none"/>
              </w:rPr>
              <w:t>如乙方履约良好，合同到期前，经双方协商无异议，可续签下一年度合同，最多申报</w:t>
            </w:r>
            <w:r>
              <w:rPr>
                <w:rFonts w:hint="eastAsia"/>
                <w:color w:val="auto"/>
                <w:szCs w:val="24"/>
                <w:highlight w:val="none"/>
                <w:lang w:val="en-US" w:eastAsia="zh-CN"/>
              </w:rPr>
              <w:t>3</w:t>
            </w:r>
            <w:r>
              <w:rPr>
                <w:rFonts w:hint="eastAsia"/>
                <w:color w:val="auto"/>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lang w:eastAsia="zh-CN"/>
              </w:rPr>
            </w:pPr>
            <w:r>
              <w:rPr>
                <w:rFonts w:hint="eastAsia"/>
                <w:szCs w:val="24"/>
                <w:highlight w:val="none"/>
              </w:rPr>
              <w:sym w:font="Wingdings 2" w:char="0052"/>
            </w:r>
            <w:r>
              <w:rPr>
                <w:rFonts w:hint="eastAsia"/>
                <w:szCs w:val="24"/>
                <w:highlight w:val="none"/>
              </w:rPr>
              <w:t>不组织，投标人自行踏勘</w:t>
            </w:r>
            <w:r>
              <w:rPr>
                <w:rFonts w:hint="eastAsia"/>
                <w:szCs w:val="24"/>
                <w:highlight w:val="none"/>
                <w:lang w:eastAsia="zh-CN"/>
              </w:rPr>
              <w:t>，</w:t>
            </w:r>
          </w:p>
          <w:p>
            <w:pPr>
              <w:snapToGrid w:val="0"/>
              <w:rPr>
                <w:rFonts w:hint="default" w:ascii="仿宋" w:hAnsi="仿宋" w:eastAsia="宋体"/>
                <w:szCs w:val="24"/>
                <w:highlight w:val="none"/>
                <w:lang w:val="en-US" w:eastAsia="zh-CN"/>
              </w:rPr>
            </w:pPr>
            <w:r>
              <w:rPr>
                <w:rFonts w:hint="eastAsia"/>
                <w:szCs w:val="24"/>
                <w:highlight w:val="none"/>
                <w:lang w:val="en-US" w:eastAsia="zh-CN"/>
              </w:rPr>
              <w:t>现场项目负责人：俞工  联系方式：19965056366</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napToGrid w:val="0"/>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kinsoku w:val="0"/>
              <w:overflowPunct w:val="0"/>
              <w:autoSpaceDE w:val="0"/>
              <w:autoSpaceDN w:val="0"/>
              <w:adjustRightInd w:val="0"/>
              <w:snapToGrid w:val="0"/>
              <w:ind w:left="105" w:leftChars="50" w:right="105" w:rightChars="50"/>
              <w:jc w:val="center"/>
              <w:rPr>
                <w:snapToGrid w:val="0"/>
                <w:szCs w:val="24"/>
                <w:highlight w:val="none"/>
              </w:rPr>
            </w:pPr>
            <w:r>
              <w:rPr>
                <w:rFonts w:hint="eastAsia"/>
                <w:snapToGrid w:val="0"/>
                <w:szCs w:val="24"/>
                <w:highlight w:val="none"/>
                <w:lang w:eastAsia="zh-CN"/>
              </w:rPr>
              <w:t>磋商文件</w:t>
            </w:r>
            <w:r>
              <w:rPr>
                <w:snapToGrid w:val="0"/>
                <w:szCs w:val="24"/>
                <w:highlight w:val="none"/>
              </w:rPr>
              <w:t>修改发出的形式</w:t>
            </w:r>
          </w:p>
        </w:tc>
        <w:tc>
          <w:tcPr>
            <w:tcW w:w="6051" w:type="dxa"/>
            <w:noWrap w:val="0"/>
            <w:vAlign w:val="center"/>
          </w:tcPr>
          <w:p>
            <w:pPr>
              <w:autoSpaceDE w:val="0"/>
              <w:autoSpaceDN w:val="0"/>
              <w:adjustRightInd w:val="0"/>
              <w:snapToGrid w:val="0"/>
              <w:ind w:right="105"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default"/>
                <w:szCs w:val="24"/>
                <w:highlight w:val="none"/>
                <w:lang w:val="en-US"/>
              </w:rPr>
            </w:pPr>
            <w:r>
              <w:rPr>
                <w:rFonts w:hint="eastAsia"/>
                <w:szCs w:val="24"/>
                <w:highlight w:val="none"/>
                <w:lang w:val="en-US" w:eastAsia="zh-CN"/>
              </w:rPr>
              <w:t>12</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磋商文件的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2024</w:t>
            </w:r>
            <w:r>
              <w:rPr>
                <w:rFonts w:hint="eastAsia"/>
                <w:color w:val="auto"/>
                <w:sz w:val="24"/>
                <w:highlight w:val="none"/>
              </w:rPr>
              <w:t>年</w:t>
            </w:r>
            <w:r>
              <w:rPr>
                <w:rFonts w:hint="eastAsia"/>
                <w:color w:val="auto"/>
                <w:sz w:val="24"/>
                <w:highlight w:val="none"/>
                <w:lang w:val="en-US" w:eastAsia="zh-CN"/>
              </w:rPr>
              <w:t>3</w:t>
            </w:r>
            <w:r>
              <w:rPr>
                <w:rFonts w:hint="eastAsia"/>
                <w:color w:val="auto"/>
                <w:sz w:val="24"/>
                <w:highlight w:val="none"/>
              </w:rPr>
              <w:t>月</w:t>
            </w:r>
            <w:r>
              <w:rPr>
                <w:rFonts w:hint="eastAsia"/>
                <w:color w:val="auto"/>
                <w:sz w:val="24"/>
                <w:highlight w:val="none"/>
                <w:lang w:val="en-US" w:eastAsia="zh-CN"/>
              </w:rPr>
              <w:t>15</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30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13</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ind w:left="105" w:leftChars="50" w:right="105" w:rightChars="50"/>
              <w:jc w:val="center"/>
              <w:rPr>
                <w:rFonts w:hint="default" w:ascii="宋体" w:hAnsi="Times New Roman" w:eastAsia="宋体" w:cs="Times New Roman"/>
                <w:sz w:val="24"/>
                <w:szCs w:val="24"/>
                <w:highlight w:val="none"/>
                <w:lang w:val="en-US" w:eastAsia="zh-CN" w:bidi="ar-SA"/>
              </w:rPr>
            </w:pPr>
            <w:r>
              <w:rPr>
                <w:rFonts w:hint="eastAsia"/>
                <w:snapToGrid w:val="0"/>
                <w:szCs w:val="24"/>
                <w:highlight w:val="none"/>
                <w:lang w:val="en-US" w:eastAsia="zh-CN"/>
              </w:rPr>
              <w:t>14</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ascii="宋体" w:hAnsi="Times New Roman" w:eastAsia="宋体" w:cs="Times New Roman"/>
                <w:bCs/>
                <w:snapToGrid w:val="0"/>
                <w:color w:val="FF0000"/>
                <w:szCs w:val="24"/>
                <w:highlight w:val="none"/>
                <w:lang w:val="en-US" w:eastAsia="zh-CN"/>
              </w:rPr>
            </w:pPr>
            <w:r>
              <w:rPr>
                <w:rFonts w:hint="eastAsia" w:ascii="宋体" w:hAnsi="Times New Roman" w:eastAsia="宋体" w:cs="Times New Roman"/>
                <w:bCs/>
                <w:snapToGrid w:val="0"/>
                <w:color w:val="FF0000"/>
                <w:szCs w:val="24"/>
                <w:highlight w:val="none"/>
                <w:lang w:val="en-US" w:eastAsia="zh-CN"/>
              </w:rPr>
              <w:sym w:font="Wingdings 2" w:char="0052"/>
            </w:r>
            <w:r>
              <w:rPr>
                <w:rFonts w:hint="eastAsia" w:ascii="宋体" w:hAnsi="Times New Roman" w:eastAsia="宋体" w:cs="Times New Roman"/>
                <w:bCs/>
                <w:snapToGrid w:val="0"/>
                <w:color w:val="FF0000"/>
                <w:szCs w:val="24"/>
                <w:highlight w:val="none"/>
                <w:lang w:val="en-US" w:eastAsia="zh-CN"/>
              </w:rPr>
              <w:t>有，总价最高投标限价</w:t>
            </w:r>
            <w:r>
              <w:rPr>
                <w:rFonts w:hint="eastAsia" w:ascii="宋体" w:cs="Times New Roman"/>
                <w:bCs/>
                <w:snapToGrid w:val="0"/>
                <w:color w:val="FF0000"/>
                <w:szCs w:val="24"/>
                <w:highlight w:val="none"/>
                <w:lang w:val="en-US" w:eastAsia="zh-CN"/>
              </w:rPr>
              <w:t>3.64</w:t>
            </w:r>
            <w:r>
              <w:rPr>
                <w:rFonts w:hint="eastAsia" w:ascii="宋体" w:hAnsi="Times New Roman" w:eastAsia="宋体" w:cs="Times New Roman"/>
                <w:bCs/>
                <w:snapToGrid w:val="0"/>
                <w:color w:val="FF0000"/>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sz w:val="24"/>
                <w:highlight w:val="none"/>
                <w:lang w:val="en-US" w:eastAsia="zh-CN"/>
              </w:rPr>
            </w:pPr>
          </w:p>
          <w:p>
            <w:pPr>
              <w:snapToGrid w:val="0"/>
              <w:jc w:val="center"/>
              <w:rPr>
                <w:rFonts w:hint="eastAsia" w:ascii="宋体" w:hAnsi="Times New Roman" w:eastAsia="宋体" w:cs="Times New Roman"/>
                <w:sz w:val="24"/>
                <w:szCs w:val="24"/>
                <w:highlight w:val="none"/>
                <w:lang w:val="en-US" w:eastAsia="zh-CN" w:bidi="ar-SA"/>
              </w:rPr>
            </w:pPr>
            <w:r>
              <w:rPr>
                <w:rFonts w:hint="eastAsia"/>
                <w:sz w:val="24"/>
                <w:highlight w:val="none"/>
                <w:lang w:val="en-US" w:eastAsia="zh-CN"/>
              </w:rPr>
              <w:t>15</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120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szCs w:val="24"/>
                <w:highlight w:val="none"/>
              </w:rPr>
              <w:sym w:font="Wingdings 2" w:char="0052"/>
            </w:r>
            <w:r>
              <w:rPr>
                <w:rFonts w:hint="eastAsia" w:cs="楷体"/>
                <w:bCs/>
                <w:snapToGrid w:val="0"/>
                <w:szCs w:val="24"/>
                <w:highlight w:val="none"/>
              </w:rPr>
              <w:t xml:space="preserve">不要求  </w:t>
            </w:r>
            <w:r>
              <w:rPr>
                <w:rFonts w:hint="eastAsia" w:cs="楷体"/>
                <w:bCs/>
                <w:snapToGrid w:val="0"/>
                <w:szCs w:val="24"/>
                <w:highlight w:val="none"/>
              </w:rPr>
              <w:sym w:font="Wingdings 2" w:char="00A3"/>
            </w:r>
            <w:r>
              <w:rPr>
                <w:rFonts w:hint="eastAsia" w:cs="楷体"/>
                <w:bCs/>
                <w:snapToGrid w:val="0"/>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履约保证金</w:t>
            </w:r>
          </w:p>
        </w:tc>
        <w:tc>
          <w:tcPr>
            <w:tcW w:w="6051" w:type="dxa"/>
            <w:noWrap w:val="0"/>
            <w:vAlign w:val="center"/>
          </w:tcPr>
          <w:tbl>
            <w:tblPr>
              <w:tblStyle w:val="18"/>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blPrEx>
                <w:tblCellMar>
                  <w:top w:w="0" w:type="dxa"/>
                  <w:left w:w="108" w:type="dxa"/>
                  <w:bottom w:w="0" w:type="dxa"/>
                  <w:right w:w="108" w:type="dxa"/>
                </w:tblCellMar>
              </w:tblPrEx>
              <w:tc>
                <w:tcPr>
                  <w:tcW w:w="5835" w:type="dxa"/>
                  <w:noWrap w:val="0"/>
                  <w:vAlign w:val="center"/>
                </w:tcPr>
                <w:p>
                  <w:pPr>
                    <w:snapToGrid w:val="0"/>
                    <w:ind w:left="-73" w:leftChars="-35"/>
                    <w:rPr>
                      <w:rFonts w:cs="楷体"/>
                      <w:bCs/>
                      <w:snapToGrid w:val="0"/>
                      <w:szCs w:val="24"/>
                      <w:highlight w:val="none"/>
                    </w:rPr>
                  </w:pPr>
                  <w:r>
                    <w:rPr>
                      <w:rFonts w:hint="eastAsia"/>
                      <w:szCs w:val="24"/>
                      <w:highlight w:val="none"/>
                    </w:rPr>
                    <w:t>（1）形式：</w:t>
                  </w:r>
                  <w:r>
                    <w:rPr>
                      <w:rFonts w:hint="eastAsia" w:cs="楷体"/>
                      <w:bCs/>
                      <w:snapToGrid w:val="0"/>
                      <w:szCs w:val="24"/>
                      <w:highlight w:val="none"/>
                    </w:rPr>
                    <w:t xml:space="preserve"> </w:t>
                  </w:r>
                  <w:r>
                    <w:rPr>
                      <w:rFonts w:cs="楷体"/>
                      <w:b/>
                      <w:bCs w:val="0"/>
                      <w:snapToGrid w:val="0"/>
                      <w:szCs w:val="24"/>
                      <w:highlight w:val="none"/>
                    </w:rPr>
                    <w:fldChar w:fldCharType="begin"/>
                  </w:r>
                  <w:r>
                    <w:rPr>
                      <w:rFonts w:cs="楷体"/>
                      <w:b/>
                      <w:bCs w:val="0"/>
                      <w:snapToGrid w:val="0"/>
                      <w:szCs w:val="24"/>
                      <w:highlight w:val="none"/>
                    </w:rPr>
                    <w:instrText xml:space="preserve"> </w:instrText>
                  </w:r>
                  <w:r>
                    <w:rPr>
                      <w:rFonts w:hint="eastAsia" w:cs="楷体"/>
                      <w:b/>
                      <w:bCs w:val="0"/>
                      <w:snapToGrid w:val="0"/>
                      <w:szCs w:val="24"/>
                      <w:highlight w:val="none"/>
                    </w:rPr>
                    <w:instrText xml:space="preserve">eq \o\ac(□</w:instrText>
                  </w:r>
                  <w:r>
                    <w:rPr>
                      <w:rFonts w:hint="eastAsia" w:cs="楷体"/>
                      <w:b/>
                      <w:bCs w:val="0"/>
                      <w:snapToGrid w:val="0"/>
                      <w:szCs w:val="24"/>
                      <w:highlight w:val="none"/>
                      <w:lang w:eastAsia="zh-CN"/>
                    </w:rPr>
                    <w:instrText xml:space="preserve">,</w:instrText>
                  </w:r>
                  <w:r>
                    <w:rPr>
                      <w:rFonts w:hint="eastAsia" w:cs="楷体"/>
                      <w:b/>
                      <w:bCs w:val="0"/>
                      <w:snapToGrid w:val="0"/>
                      <w:position w:val="2"/>
                      <w:sz w:val="13"/>
                      <w:szCs w:val="24"/>
                      <w:highlight w:val="none"/>
                      <w:lang w:eastAsia="zh-CN"/>
                    </w:rPr>
                    <w:instrText xml:space="preserve">√</w:instrText>
                  </w:r>
                  <w:r>
                    <w:rPr>
                      <w:rFonts w:hint="eastAsia" w:cs="楷体"/>
                      <w:b/>
                      <w:bCs w:val="0"/>
                      <w:snapToGrid w:val="0"/>
                      <w:szCs w:val="24"/>
                      <w:highlight w:val="none"/>
                    </w:rPr>
                    <w:instrText xml:space="preserve">)</w:instrText>
                  </w:r>
                  <w:r>
                    <w:rPr>
                      <w:rFonts w:cs="楷体"/>
                      <w:b/>
                      <w:bCs w:val="0"/>
                      <w:snapToGrid w:val="0"/>
                      <w:szCs w:val="24"/>
                      <w:highlight w:val="none"/>
                    </w:rPr>
                    <w:fldChar w:fldCharType="end"/>
                  </w:r>
                  <w:r>
                    <w:rPr>
                      <w:rFonts w:hint="eastAsia" w:cs="楷体"/>
                      <w:b w:val="0"/>
                      <w:bCs/>
                      <w:snapToGrid w:val="0"/>
                      <w:szCs w:val="24"/>
                      <w:highlight w:val="none"/>
                      <w:lang w:val="en-US" w:eastAsia="zh-CN"/>
                    </w:rPr>
                    <w:t>免收</w:t>
                  </w:r>
                  <w:r>
                    <w:rPr>
                      <w:rFonts w:hint="eastAsia" w:cs="楷体"/>
                      <w:b/>
                      <w:snapToGrid w:val="0"/>
                      <w:szCs w:val="24"/>
                      <w:highlight w:val="none"/>
                      <w:lang w:val="en-US" w:eastAsia="zh-CN"/>
                    </w:rPr>
                    <w:t xml:space="preserve">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银行转账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银行电汇  </w:t>
                  </w:r>
                </w:p>
                <w:p>
                  <w:pPr>
                    <w:snapToGrid w:val="0"/>
                    <w:rPr>
                      <w:rFonts w:hint="eastAsia" w:ascii="楷体" w:hAnsi="楷体" w:eastAsia="楷体" w:cs="楷体"/>
                      <w:bCs/>
                      <w:snapToGrid w:val="0"/>
                      <w:szCs w:val="24"/>
                      <w:highlight w:val="none"/>
                    </w:rPr>
                  </w:pP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银行保函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担保机构担保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保证保险</w:t>
                  </w:r>
                </w:p>
              </w:tc>
            </w:tr>
          </w:tbl>
          <w:p>
            <w:pPr>
              <w:snapToGrid w:val="0"/>
              <w:ind w:left="-73" w:leftChars="-35"/>
              <w:rPr>
                <w:rFonts w:hint="eastAsia" w:ascii="宋体" w:hAnsi="Times New Roman" w:eastAsia="宋体" w:cs="楷体"/>
                <w:bCs/>
                <w:snapToGrid w:val="0"/>
                <w:sz w:val="24"/>
                <w:szCs w:val="24"/>
                <w:highlight w:val="none"/>
                <w:lang w:val="en-US" w:eastAsia="zh-CN" w:bidi="ar-SA"/>
              </w:rPr>
            </w:pPr>
            <w:r>
              <w:rPr>
                <w:rFonts w:hint="eastAsia"/>
                <w:szCs w:val="24"/>
                <w:highlight w:val="none"/>
              </w:rPr>
              <w:t>（2）金额：</w:t>
            </w:r>
            <w:r>
              <w:rPr>
                <w:rFonts w:hint="eastAsia" w:cs="楷体"/>
                <w:bCs/>
                <w:snapToGrid w:val="0"/>
                <w:szCs w:val="24"/>
                <w:highlight w:val="none"/>
              </w:rPr>
              <w:t>中标金</w:t>
            </w:r>
            <w:r>
              <w:rPr>
                <w:rFonts w:hint="eastAsia"/>
                <w:szCs w:val="24"/>
                <w:highlight w:val="none"/>
              </w:rPr>
              <w:t xml:space="preserve">额的 </w:t>
            </w:r>
            <w:r>
              <w:rPr>
                <w:rFonts w:hint="eastAsia"/>
                <w:b/>
                <w:szCs w:val="24"/>
                <w:highlight w:val="none"/>
                <w:u w:val="single"/>
              </w:rPr>
              <w:t xml:space="preserve"> </w:t>
            </w:r>
            <w:r>
              <w:rPr>
                <w:rFonts w:hint="eastAsia"/>
                <w:b/>
                <w:szCs w:val="24"/>
                <w:highlight w:val="none"/>
                <w:u w:val="single"/>
                <w:lang w:val="en-US" w:eastAsia="zh-CN"/>
              </w:rPr>
              <w:t xml:space="preserve"> 0 </w:t>
            </w:r>
            <w:r>
              <w:rPr>
                <w:rFonts w:hint="eastAsia"/>
                <w:b/>
                <w:szCs w:val="24"/>
                <w:highlight w:val="none"/>
                <w:u w:val="single"/>
              </w:rPr>
              <w:t xml:space="preserve"> </w:t>
            </w:r>
            <w:r>
              <w:rPr>
                <w:rFonts w:hint="eastAsia"/>
                <w:b/>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6"/>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6"/>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val="en-US" w:eastAsia="zh-CN"/>
              </w:rPr>
              <w:t xml:space="preserve"> 安徽省合肥市庐阳区红星路省人民政府机关幼儿园北门对面原省政府北楼134办公室（地图搜索：红星路90号（安徽省人民政府机关医院），看见道闸进大院后往北方向（长江路方向）走，最北边楼134办公室。）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（1）项目经理必须是投标人本单位工作人员，提供虚假资料谋取中标的将报监管部门处理。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w:t>
            </w:r>
            <w:r>
              <w:rPr>
                <w:rFonts w:hint="eastAsia"/>
                <w:szCs w:val="24"/>
                <w:highlight w:val="none"/>
                <w:lang w:eastAsia="zh-CN"/>
              </w:rPr>
              <w:t>磋商文件</w:t>
            </w:r>
            <w:r>
              <w:rPr>
                <w:rFonts w:hint="eastAsia"/>
                <w:szCs w:val="24"/>
                <w:highlight w:val="none"/>
              </w:rPr>
              <w:t>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w:t>
            </w:r>
            <w:r>
              <w:rPr>
                <w:rFonts w:hint="eastAsia"/>
                <w:szCs w:val="24"/>
                <w:highlight w:val="none"/>
                <w:lang w:eastAsia="zh-CN"/>
              </w:rPr>
              <w:t>磋商文件</w:t>
            </w:r>
            <w:r>
              <w:rPr>
                <w:rFonts w:hint="eastAsia"/>
                <w:szCs w:val="24"/>
                <w:highlight w:val="none"/>
              </w:rPr>
              <w:t>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w:t>
            </w:r>
            <w:r>
              <w:rPr>
                <w:rFonts w:hint="eastAsia"/>
                <w:szCs w:val="24"/>
                <w:highlight w:val="none"/>
                <w:lang w:eastAsia="zh-CN"/>
              </w:rPr>
              <w:t>磋商文件</w:t>
            </w:r>
            <w:r>
              <w:rPr>
                <w:rFonts w:hint="eastAsia"/>
                <w:szCs w:val="24"/>
                <w:highlight w:val="none"/>
              </w:rPr>
              <w:t>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31</w:t>
            </w:r>
          </w:p>
        </w:tc>
        <w:tc>
          <w:tcPr>
            <w:tcW w:w="2471" w:type="dxa"/>
            <w:noWrap w:val="0"/>
            <w:vAlign w:val="center"/>
          </w:tcPr>
          <w:p>
            <w:pPr>
              <w:snapToGrid w:val="0"/>
              <w:rPr>
                <w:rFonts w:hint="eastAsia"/>
                <w:szCs w:val="24"/>
                <w:highlight w:val="none"/>
              </w:rPr>
            </w:pPr>
            <w:r>
              <w:rPr>
                <w:rFonts w:hint="eastAsia"/>
                <w:szCs w:val="24"/>
                <w:highlight w:val="none"/>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ascii="宋体" w:hAnsi="Times New Roman" w:eastAsia="宋体" w:cs="Times New Roman"/>
              </w:rPr>
            </w:pPr>
            <w:r>
              <w:rPr>
                <w:rFonts w:hint="eastAsia" w:ascii="宋体" w:hAnsi="Times New Roman" w:eastAsia="宋体" w:cs="Times New Roman"/>
              </w:rPr>
              <w:t>（1）社保局官方网站查询的缴费记录截图；</w:t>
            </w:r>
          </w:p>
          <w:p>
            <w:pPr>
              <w:snapToGrid w:val="0"/>
              <w:rPr>
                <w:rFonts w:hint="eastAsia" w:ascii="宋体" w:hAnsi="Times New Roman" w:eastAsia="宋体" w:cs="Times New Roman"/>
              </w:rPr>
            </w:pPr>
            <w:r>
              <w:rPr>
                <w:rFonts w:hint="eastAsia" w:ascii="宋体" w:hAnsi="Times New Roman" w:eastAsia="宋体" w:cs="Times New Roman"/>
              </w:rPr>
              <w:t>（2）社保局的书面证明材料；</w:t>
            </w:r>
          </w:p>
          <w:p>
            <w:pPr>
              <w:snapToGrid w:val="0"/>
              <w:rPr>
                <w:rFonts w:hint="eastAsia" w:ascii="宋体" w:hAnsi="Times New Roman" w:eastAsia="宋体" w:cs="Times New Roman"/>
              </w:rPr>
            </w:pPr>
            <w:r>
              <w:rPr>
                <w:rFonts w:hint="eastAsia" w:ascii="宋体" w:hAnsi="Times New Roman" w:eastAsia="宋体" w:cs="Times New Roman"/>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rPr>
            </w:pPr>
            <w:r>
              <w:rPr>
                <w:rFonts w:hint="eastAsia" w:ascii="宋体" w:hAnsi="Times New Roman" w:eastAsia="宋体" w:cs="Times New Roman"/>
              </w:rPr>
              <w:t>（4）参与投标的院校，社保证明可以用以下任意一种：</w:t>
            </w:r>
          </w:p>
          <w:p>
            <w:pPr>
              <w:snapToGrid w:val="0"/>
              <w:rPr>
                <w:rFonts w:hint="eastAsia" w:ascii="宋体" w:hAnsi="Times New Roman" w:eastAsia="宋体" w:cs="Times New Roman"/>
              </w:rPr>
            </w:pPr>
            <w:r>
              <w:rPr>
                <w:rFonts w:hint="eastAsia" w:ascii="宋体" w:hAnsi="Times New Roman" w:eastAsia="宋体" w:cs="Times New Roman"/>
              </w:rPr>
              <w:t>①加盖投标人公章的教师证（须为本单位人员）；</w:t>
            </w:r>
          </w:p>
          <w:p>
            <w:pPr>
              <w:snapToGrid w:val="0"/>
              <w:rPr>
                <w:rFonts w:hint="eastAsia" w:ascii="宋体" w:hAnsi="Times New Roman" w:eastAsia="宋体" w:cs="Times New Roman"/>
              </w:rPr>
            </w:pPr>
            <w:r>
              <w:rPr>
                <w:rFonts w:hint="eastAsia" w:ascii="宋体" w:hAnsi="Times New Roman" w:eastAsia="宋体" w:cs="Times New Roman"/>
              </w:rPr>
              <w:t>②医保证明材料。</w:t>
            </w:r>
          </w:p>
          <w:p>
            <w:pPr>
              <w:snapToGrid w:val="0"/>
              <w:rPr>
                <w:rFonts w:hint="eastAsia" w:ascii="宋体" w:hAnsi="Times New Roman" w:eastAsia="宋体" w:cs="Times New Roman"/>
              </w:rPr>
            </w:pPr>
            <w:r>
              <w:rPr>
                <w:rFonts w:hint="eastAsia" w:ascii="宋体" w:hAnsi="Times New Roman" w:eastAsia="宋体" w:cs="Times New Roman"/>
              </w:rPr>
              <w:t>（5）其他经评标委员会认可的证明材料。</w:t>
            </w:r>
          </w:p>
          <w:p>
            <w:pPr>
              <w:snapToGrid w:val="0"/>
              <w:rPr>
                <w:rFonts w:hint="eastAsia"/>
              </w:rPr>
            </w:pPr>
            <w:r>
              <w:rPr>
                <w:rFonts w:hint="eastAsia" w:ascii="宋体" w:hAnsi="Times New Roman" w:eastAsia="宋体" w:cs="Times New Roman"/>
              </w:rPr>
              <w:t>（6）法定代表人参与项目的，无需提供社保证明材料，提供身份证明扫描件即可。</w:t>
            </w:r>
          </w:p>
        </w:tc>
      </w:tr>
    </w:tbl>
    <w:p>
      <w:pPr>
        <w:rPr>
          <w:highlight w:val="none"/>
        </w:rPr>
      </w:pPr>
    </w:p>
    <w:p>
      <w:pPr>
        <w:rPr>
          <w:rFonts w:ascii="黑体" w:eastAsia="黑体"/>
          <w:sz w:val="28"/>
          <w:szCs w:val="28"/>
          <w:highlight w:val="none"/>
        </w:rPr>
      </w:pPr>
    </w:p>
    <w:p>
      <w:pPr>
        <w:pStyle w:val="23"/>
        <w:adjustRightInd w:val="0"/>
        <w:snapToGrid w:val="0"/>
        <w:spacing w:line="400" w:lineRule="exact"/>
        <w:jc w:val="left"/>
        <w:rPr>
          <w:rFonts w:hint="eastAsia" w:ascii="Times New Roman" w:hAnsi="Times New Roman"/>
          <w:bCs/>
          <w:snapToGrid w:val="0"/>
          <w:kern w:val="0"/>
          <w:szCs w:val="21"/>
          <w:highlight w:val="none"/>
        </w:rPr>
      </w:pPr>
      <w:bookmarkStart w:id="5" w:name="_Toc460660067"/>
      <w:bookmarkStart w:id="6" w:name="_Toc460226994"/>
      <w:bookmarkStart w:id="7" w:name="_Toc184635071"/>
      <w:bookmarkStart w:id="8" w:name="_Toc460226725"/>
    </w:p>
    <w:p>
      <w:pPr>
        <w:pStyle w:val="23"/>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2"/>
        <w:spacing w:line="500" w:lineRule="exact"/>
        <w:ind w:firstLine="0"/>
        <w:jc w:val="center"/>
        <w:outlineLvl w:val="0"/>
        <w:rPr>
          <w:rFonts w:hint="eastAsia" w:ascii="宋体" w:hAnsi="宋体" w:eastAsia="宋体"/>
          <w:sz w:val="24"/>
          <w:szCs w:val="24"/>
          <w:lang w:eastAsia="zh-CN"/>
        </w:rPr>
      </w:pPr>
      <w:bookmarkStart w:id="9" w:name="_Toc23172"/>
      <w:r>
        <w:rPr>
          <w:rFonts w:hint="eastAsia" w:ascii="宋体" w:hAnsi="宋体" w:eastAsia="宋体"/>
        </w:rPr>
        <w:t>投标人须知</w:t>
      </w:r>
      <w:r>
        <w:rPr>
          <w:rFonts w:hint="eastAsia" w:ascii="宋体" w:hAnsi="宋体" w:eastAsia="宋体"/>
          <w:lang w:eastAsia="zh-CN"/>
        </w:rPr>
        <w:t>正文</w:t>
      </w:r>
      <w:bookmarkEnd w:id="9"/>
    </w:p>
    <w:p>
      <w:pPr>
        <w:pStyle w:val="6"/>
        <w:spacing w:line="500" w:lineRule="exact"/>
        <w:jc w:val="both"/>
        <w:rPr>
          <w:rFonts w:hint="eastAsia" w:hAnsi="宋体"/>
          <w:sz w:val="28"/>
        </w:rPr>
      </w:pPr>
      <w:bookmarkStart w:id="10" w:name="_Hlt509649722"/>
      <w:bookmarkEnd w:id="10"/>
      <w:bookmarkStart w:id="11" w:name="_Hlt509650126"/>
      <w:bookmarkEnd w:id="11"/>
      <w:bookmarkStart w:id="12" w:name="_Hlt526418143"/>
      <w:bookmarkEnd w:id="12"/>
      <w:bookmarkStart w:id="13" w:name="_Hlt509650955"/>
      <w:bookmarkEnd w:id="13"/>
      <w:bookmarkStart w:id="14" w:name="_Hlt509650686"/>
      <w:bookmarkEnd w:id="14"/>
      <w:bookmarkStart w:id="15" w:name="_Hlt509649998"/>
      <w:bookmarkEnd w:id="15"/>
      <w:bookmarkStart w:id="16" w:name="_Toc50128749"/>
      <w:r>
        <w:rPr>
          <w:rFonts w:hint="eastAsia" w:hAnsi="宋体"/>
          <w:sz w:val="28"/>
        </w:rPr>
        <w:t>一．总    则</w:t>
      </w:r>
      <w:bookmarkEnd w:id="16"/>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1本磋商文件仅适用于本次磋商</w:t>
      </w:r>
      <w:r>
        <w:rPr>
          <w:rFonts w:hint="eastAsia" w:ascii="宋体" w:hAnsi="宋体"/>
          <w:sz w:val="24"/>
          <w:szCs w:val="24"/>
          <w:lang w:eastAsia="zh-CN"/>
        </w:rPr>
        <w:t>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投标人：系指按规定获取了本磋商文件，且已经提交或准备提交本次响应文件的法人或者其他组织。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4.1合格的投标人应符合磋商文件载明的投标资格。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4.1.1除非磋商文件认可，否则母、子公司之间的业绩、资质不得互用。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禁止投标人以向招标人或者磋商小组成员行贿的手段谋取中标。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7.3在确定中标人之前，投标人不得与招标人就投标价格、投标方案等实质性内容进行谈判，也不得私下接触磋商小组成员。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7.4在确定中标人之前，投标人试图在响应文件审查、澄清、比较和评价时对磋商小组、招标人施加任何影响都可能导致其投标无效。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int="eastAsia" w:ascii="宋体" w:hAnsi="宋体"/>
          <w:b/>
          <w:sz w:val="24"/>
          <w:szCs w:val="24"/>
        </w:rPr>
      </w:pPr>
      <w:r>
        <w:rPr>
          <w:rFonts w:hint="eastAsia" w:ascii="宋体" w:hAnsi="宋体"/>
          <w:b/>
          <w:sz w:val="24"/>
          <w:szCs w:val="24"/>
        </w:rPr>
        <w:t>8.联合体磋商</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8.1除非本项目明确要求不接受联合体形式磋商外，</w:t>
      </w:r>
      <w:r>
        <w:rPr>
          <w:rFonts w:ascii="宋体" w:hAnsi="宋体"/>
          <w:sz w:val="24"/>
          <w:szCs w:val="24"/>
        </w:rPr>
        <w:t>两个以上法人</w:t>
      </w:r>
      <w:r>
        <w:rPr>
          <w:rFonts w:hint="eastAsia" w:ascii="宋体" w:hAnsi="宋体"/>
          <w:sz w:val="24"/>
          <w:szCs w:val="24"/>
        </w:rPr>
        <w:t>（磋商文件如有约定，从其约定）</w:t>
      </w:r>
      <w:r>
        <w:rPr>
          <w:rFonts w:ascii="宋体" w:hAnsi="宋体"/>
          <w:sz w:val="24"/>
          <w:szCs w:val="24"/>
        </w:rPr>
        <w:t>或者其他组织可以组成一个联合体，以一个投标人的身份共同</w:t>
      </w:r>
      <w:r>
        <w:rPr>
          <w:rFonts w:hint="eastAsia" w:ascii="宋体" w:hAnsi="宋体"/>
          <w:sz w:val="24"/>
        </w:rPr>
        <w:t>磋商</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rPr>
        <w:t>磋商</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rPr>
        <w:t>磋商</w:t>
      </w:r>
      <w:r>
        <w:rPr>
          <w:rFonts w:ascii="宋体" w:hAnsi="宋体"/>
          <w:sz w:val="24"/>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rPr>
        <w:t>磋商</w:t>
      </w:r>
      <w:r>
        <w:rPr>
          <w:rFonts w:ascii="宋体" w:hAnsi="宋体"/>
          <w:sz w:val="24"/>
          <w:szCs w:val="24"/>
        </w:rPr>
        <w:t>或者参加其他联合体磋商的，相关</w:t>
      </w:r>
      <w:r>
        <w:rPr>
          <w:rFonts w:hint="eastAsia" w:ascii="宋体" w:hAnsi="宋体"/>
          <w:sz w:val="24"/>
        </w:rPr>
        <w:t>磋商</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联合体磋商的，磋商保证金由联合体牵头方递交，以一方名义递交保证金的，对联合体各方均具有约束力。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8.5除磋商文件有明确约定的，联合体参加</w:t>
      </w:r>
      <w:r>
        <w:rPr>
          <w:rFonts w:hint="eastAsia" w:ascii="宋体" w:hAnsi="宋体"/>
          <w:sz w:val="24"/>
        </w:rPr>
        <w:t>磋商</w:t>
      </w:r>
      <w:r>
        <w:rPr>
          <w:rFonts w:hint="eastAsia" w:ascii="宋体" w:hAnsi="宋体"/>
          <w:sz w:val="24"/>
          <w:szCs w:val="24"/>
        </w:rPr>
        <w:t>的，可以由联合体中的任一方获取磋商文件。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10.1磋商文件中明确要求加盖公章的，投标人必须加盖投标人公章。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11.磋商信息的发布</w:t>
      </w:r>
    </w:p>
    <w:p>
      <w:pPr>
        <w:spacing w:line="360" w:lineRule="auto"/>
        <w:ind w:firstLine="550"/>
        <w:rPr>
          <w:rFonts w:ascii="宋体" w:hAnsi="宋体"/>
          <w:sz w:val="24"/>
        </w:rPr>
      </w:pPr>
      <w:r>
        <w:rPr>
          <w:rFonts w:hint="eastAsia" w:ascii="宋体" w:hAnsi="宋体"/>
          <w:sz w:val="24"/>
        </w:rPr>
        <w:t>11.1与本次磋商活动相关的信息，将在</w:t>
      </w:r>
      <w:r>
        <w:rPr>
          <w:rFonts w:hint="eastAsia" w:ascii="宋体" w:hAnsi="宋体"/>
          <w:sz w:val="24"/>
          <w:szCs w:val="24"/>
          <w:lang w:eastAsia="zh-CN"/>
        </w:rPr>
        <w:t>招标人官方网站</w:t>
      </w:r>
      <w:r>
        <w:rPr>
          <w:rFonts w:hint="eastAsia" w:ascii="宋体" w:hAnsi="宋体"/>
          <w:sz w:val="24"/>
        </w:rPr>
        <w:t>发布。</w:t>
      </w:r>
    </w:p>
    <w:p>
      <w:pPr>
        <w:pStyle w:val="6"/>
        <w:spacing w:line="500" w:lineRule="exact"/>
        <w:jc w:val="both"/>
        <w:rPr>
          <w:rFonts w:hint="eastAsia" w:hAnsi="宋体"/>
          <w:sz w:val="28"/>
        </w:rPr>
      </w:pPr>
      <w:bookmarkStart w:id="17" w:name="_Toc50128750"/>
      <w:r>
        <w:rPr>
          <w:rFonts w:hint="eastAsia" w:hAnsi="宋体"/>
          <w:sz w:val="28"/>
        </w:rPr>
        <w:t>二．磋商文件</w:t>
      </w:r>
      <w:bookmarkEnd w:id="17"/>
      <w:bookmarkStart w:id="18" w:name="_Hlt509649791"/>
      <w:bookmarkEnd w:id="18"/>
      <w:bookmarkStart w:id="19" w:name="_Hlt509650361"/>
      <w:bookmarkEnd w:id="19"/>
      <w:bookmarkStart w:id="20" w:name="_Hlt509649930"/>
      <w:bookmarkEnd w:id="20"/>
    </w:p>
    <w:p>
      <w:pPr>
        <w:spacing w:line="360" w:lineRule="auto"/>
        <w:ind w:firstLine="549"/>
        <w:rPr>
          <w:rFonts w:hint="eastAsia" w:ascii="宋体" w:hAnsi="宋体"/>
          <w:b/>
          <w:sz w:val="24"/>
          <w:szCs w:val="24"/>
        </w:rPr>
      </w:pPr>
      <w:bookmarkStart w:id="21" w:name="_Hlt509650734"/>
      <w:bookmarkEnd w:id="21"/>
      <w:r>
        <w:rPr>
          <w:rFonts w:hint="eastAsia" w:ascii="宋体" w:hAnsi="宋体"/>
          <w:b/>
          <w:sz w:val="24"/>
          <w:szCs w:val="24"/>
        </w:rPr>
        <w:t>12.磋商文件构成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磋商文件包括以下部分：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.1第一章：磋商邀请（磋商公告）；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22" w:name="_Hlt509650925"/>
      <w:bookmarkEnd w:id="22"/>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.3第三章：</w:t>
      </w:r>
      <w:r>
        <w:rPr>
          <w:rFonts w:hint="eastAsia" w:ascii="宋体" w:hAnsi="宋体"/>
          <w:sz w:val="24"/>
          <w:szCs w:val="24"/>
          <w:lang w:eastAsia="zh-CN"/>
        </w:rPr>
        <w:t>招标</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.4第四章：磋商与评审办法；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.5第五章：合同；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.6第六章：</w:t>
      </w:r>
      <w:r>
        <w:rPr>
          <w:rFonts w:hint="eastAsia" w:ascii="宋体" w:hAnsi="宋体"/>
          <w:sz w:val="24"/>
          <w:szCs w:val="24"/>
          <w:lang w:eastAsia="zh-CN"/>
        </w:rPr>
        <w:t>技术标准和要求</w:t>
      </w:r>
      <w:r>
        <w:rPr>
          <w:rFonts w:hint="eastAsia" w:ascii="宋体" w:hAnsi="宋体"/>
          <w:sz w:val="24"/>
          <w:szCs w:val="24"/>
        </w:rPr>
        <w:t>；</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.7第七章：响应文件格式；</w:t>
      </w:r>
    </w:p>
    <w:p>
      <w:pPr>
        <w:spacing w:line="360" w:lineRule="auto"/>
        <w:ind w:firstLine="523" w:firstLineChars="218"/>
        <w:rPr>
          <w:rFonts w:hint="eastAsia" w:ascii="宋体" w:hAnsi="宋体"/>
          <w:sz w:val="24"/>
          <w:szCs w:val="24"/>
        </w:rPr>
      </w:pPr>
      <w:r>
        <w:rPr>
          <w:rFonts w:hint="eastAsia" w:ascii="宋体" w:hAnsi="宋体"/>
          <w:sz w:val="24"/>
          <w:szCs w:val="24"/>
        </w:rPr>
        <w:t>12.1.9</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投标人应认真阅读磋商文件中所有的事项、格式、条件、条款和规范等要求。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12.3投标人应当按照磋商文件的要求编制响应文件。响应文件应对磋商文件提出的要求和条件作出实质性响应。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12.4投标人获取磋商文件后，应仔细检查磋商文件的所有内容，如有残缺等问题应在获得磋商文件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13.答疑及磋商文件的澄清与修改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1投标人如果对磋商文件、工程量清单、最高投标限价（招标控制价）及相关附件等磋商文件的其他任何内容有相关疑问，可以于投标人须知前附表列明的答疑接受时间前，通过</w:t>
      </w:r>
      <w:r>
        <w:rPr>
          <w:rFonts w:hint="eastAsia" w:ascii="宋体" w:hAnsi="宋体"/>
          <w:sz w:val="24"/>
          <w:szCs w:val="24"/>
          <w:lang w:eastAsia="zh-CN"/>
        </w:rPr>
        <w:t>纸质形式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13.2如磋商文件存在不一致时，优先顺序如下：（1）磋商公告；（2）投标人须知前附表；（3）</w:t>
      </w:r>
      <w:r>
        <w:rPr>
          <w:rFonts w:hint="eastAsia" w:ascii="宋体" w:hAnsi="宋体"/>
          <w:sz w:val="24"/>
          <w:szCs w:val="24"/>
          <w:lang w:eastAsia="zh-CN"/>
        </w:rPr>
        <w:t>招标</w:t>
      </w:r>
      <w:r>
        <w:rPr>
          <w:rFonts w:hint="eastAsia" w:ascii="宋体" w:hAnsi="宋体"/>
          <w:sz w:val="24"/>
          <w:szCs w:val="24"/>
        </w:rPr>
        <w:t>需求；（4）磋商与评审办法；（5）其他。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可以视招标具体情况，延长响应文件提交截止时间和磋商时间，并及时在网站上发布变更（延期）公告。在上述情况下，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6"/>
        <w:spacing w:line="500" w:lineRule="exact"/>
        <w:jc w:val="both"/>
        <w:rPr>
          <w:rFonts w:hint="eastAsia" w:hAnsi="宋体"/>
          <w:sz w:val="28"/>
        </w:rPr>
      </w:pPr>
      <w:bookmarkStart w:id="23" w:name="_Hlt509650697"/>
      <w:bookmarkEnd w:id="23"/>
      <w:bookmarkStart w:id="24" w:name="_Hlt509649724"/>
      <w:bookmarkEnd w:id="24"/>
      <w:bookmarkStart w:id="25" w:name="_Hlt510342861"/>
      <w:bookmarkEnd w:id="25"/>
      <w:bookmarkStart w:id="26" w:name="_Toc50128751"/>
      <w:r>
        <w:rPr>
          <w:rFonts w:hint="eastAsia" w:hAnsi="宋体"/>
          <w:sz w:val="28"/>
        </w:rPr>
        <w:t>三．响应文件的编制</w:t>
      </w:r>
      <w:bookmarkEnd w:id="26"/>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7" w:name="_Hlt509650345"/>
      <w:bookmarkEnd w:id="27"/>
      <w:r>
        <w:rPr>
          <w:rFonts w:hint="eastAsia" w:ascii="宋体" w:hAnsi="宋体"/>
          <w:sz w:val="24"/>
          <w:szCs w:val="24"/>
        </w:rPr>
        <w:t>14.1响应文件是对磋商文件的实质性响应及承诺文件。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可自行制作格式”，响应文件应使用磋商文件提供的格式。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14.4除非磋商文件另有规定，响应文件应使用中华人民共和国法定计量单位。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14.8除非磋商文件另有规定，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本磋商文件所要求的证书、认证、资质，均应当是有权机构颁发，且在有效期内的。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除非磋商文件另有规定，投标报价均不得高于磋商文件（公告）列明的最高投标限价（招标控制价）、项目概算。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15.4除非磋商文件另有规定，每一标段只允许有一个最终报价，任何有选择的报价或替代方案将导致投标无效。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16.2投标人应在响应文件中提交磋商文件要求的有关证明文件，作为其响应文件的一部分。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3响应文件须对磋商文件载明的全</w:t>
      </w:r>
      <w:r>
        <w:rPr>
          <w:rFonts w:hint="eastAsia" w:ascii="宋体" w:hAnsi="宋体"/>
          <w:sz w:val="24"/>
          <w:szCs w:val="24"/>
          <w:highlight w:val="none"/>
        </w:rPr>
        <w:t>部初审要求</w:t>
      </w:r>
      <w:r>
        <w:rPr>
          <w:rFonts w:hint="eastAsia" w:ascii="宋体" w:hAnsi="宋体"/>
          <w:sz w:val="24"/>
          <w:szCs w:val="24"/>
        </w:rPr>
        <w:t>（如磋商资格、技术、资信、服务、报价等），做出实质性响应，如果响应文件填报的内容资料不详，或没有提供磋商文件中所要求的资料、证明及数据，将导致投标无效。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rPr>
      </w:pPr>
      <w:r>
        <w:rPr>
          <w:rFonts w:hint="eastAsia" w:ascii="宋体" w:hAnsi="宋体"/>
          <w:sz w:val="24"/>
          <w:szCs w:val="24"/>
        </w:rPr>
        <w:t>16.5投标人应根据其响应文件中</w:t>
      </w:r>
      <w:r>
        <w:rPr>
          <w:rFonts w:hint="eastAsia" w:ascii="宋体" w:hAnsi="宋体"/>
          <w:sz w:val="24"/>
        </w:rPr>
        <w:t>报价表</w:t>
      </w:r>
      <w:r>
        <w:rPr>
          <w:rFonts w:hint="eastAsia" w:ascii="宋体" w:hAnsi="宋体"/>
          <w:sz w:val="24"/>
          <w:szCs w:val="24"/>
        </w:rPr>
        <w:t>的内容填写</w:t>
      </w:r>
      <w:r>
        <w:rPr>
          <w:rFonts w:hint="eastAsia" w:ascii="宋体" w:hAnsi="宋体"/>
          <w:sz w:val="24"/>
          <w:szCs w:val="24"/>
          <w:lang w:eastAsia="zh-CN"/>
        </w:rPr>
        <w:t>报价</w:t>
      </w:r>
      <w:r>
        <w:rPr>
          <w:rFonts w:hint="eastAsia" w:ascii="宋体" w:hAnsi="宋体"/>
          <w:sz w:val="24"/>
          <w:szCs w:val="24"/>
        </w:rPr>
        <w:t>信息。</w:t>
      </w:r>
    </w:p>
    <w:p>
      <w:pPr>
        <w:spacing w:line="360" w:lineRule="auto"/>
        <w:ind w:firstLine="549"/>
        <w:rPr>
          <w:rFonts w:hint="eastAsia" w:ascii="宋体" w:hAnsi="宋体"/>
          <w:b/>
          <w:sz w:val="24"/>
          <w:szCs w:val="24"/>
        </w:rPr>
      </w:pPr>
      <w:r>
        <w:rPr>
          <w:rFonts w:hint="eastAsia" w:ascii="宋体" w:hAnsi="宋体"/>
          <w:b/>
          <w:sz w:val="24"/>
          <w:szCs w:val="24"/>
        </w:rPr>
        <w:t>17.磋商保证金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17.1投标人在递交响应文件的同时，应按投标人须知前附表规定的金额、担保形式和第七章“响应文件格式”规定的磋商保证金格式递交磋商保证金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投标人不按本章17.1要求提交磋商保证金的，</w:t>
      </w:r>
      <w:r>
        <w:rPr>
          <w:rFonts w:hint="eastAsia" w:ascii="宋体" w:hAnsi="宋体"/>
          <w:kern w:val="0"/>
          <w:sz w:val="24"/>
        </w:rPr>
        <w:t>磋商小组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17.4招标人最迟将在中标通知书发出后5日内向中标候选人以外的其他投标人退还磋商保证金</w:t>
      </w:r>
      <w:r>
        <w:rPr>
          <w:rFonts w:hint="eastAsia" w:ascii="宋体" w:hAnsi="宋体"/>
          <w:sz w:val="24"/>
          <w:szCs w:val="22"/>
          <w:lang w:eastAsia="zh-CN"/>
        </w:rPr>
        <w:t>（无息）</w:t>
      </w:r>
      <w:r>
        <w:rPr>
          <w:rFonts w:hint="eastAsia" w:ascii="宋体" w:hAnsi="宋体"/>
          <w:sz w:val="24"/>
          <w:szCs w:val="22"/>
        </w:rPr>
        <w:t>，与中标人签订合同后5日内向中标人和其他中标候选人退还磋商保证金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w:t>
      </w:r>
      <w:r>
        <w:rPr>
          <w:rFonts w:hint="eastAsia" w:ascii="宋体" w:hAnsi="宋体"/>
          <w:sz w:val="24"/>
          <w:szCs w:val="22"/>
          <w:highlight w:val="none"/>
          <w:lang w:eastAsia="zh-CN"/>
        </w:rPr>
        <w:t>磋商文件</w:t>
      </w:r>
      <w:r>
        <w:rPr>
          <w:rFonts w:hint="eastAsia" w:ascii="宋体" w:hAnsi="宋体"/>
          <w:sz w:val="24"/>
          <w:szCs w:val="22"/>
          <w:highlight w:val="none"/>
        </w:rPr>
        <w:t>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ascii="宋体" w:hAnsi="宋体"/>
          <w:sz w:val="24"/>
          <w:szCs w:val="24"/>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rPr>
        <w:t>磋商</w:t>
      </w:r>
      <w:r>
        <w:rPr>
          <w:sz w:val="24"/>
          <w:szCs w:val="24"/>
        </w:rPr>
        <w:t>保证金的有效期，但不得要求或被允许修改其响应文件；投标人拒绝延长的，其投标失效，但投标人有权收回其</w:t>
      </w:r>
      <w:r>
        <w:rPr>
          <w:rFonts w:hint="eastAsia"/>
          <w:sz w:val="24"/>
          <w:szCs w:val="24"/>
        </w:rPr>
        <w:t>磋商</w:t>
      </w:r>
      <w:r>
        <w:rPr>
          <w:sz w:val="24"/>
          <w:szCs w:val="24"/>
        </w:rPr>
        <w:t>保证金</w:t>
      </w:r>
      <w:r>
        <w:rPr>
          <w:rFonts w:hint="eastAsia"/>
          <w:sz w:val="24"/>
          <w:szCs w:val="24"/>
          <w:lang w:eastAsia="zh-CN"/>
        </w:rPr>
        <w:t>（无息）</w:t>
      </w:r>
      <w:r>
        <w:rPr>
          <w:sz w:val="24"/>
          <w:szCs w:val="24"/>
        </w:rPr>
        <w:t>。</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4"/>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2响应文件应按磋商文件要求加盖投标人公章。</w:t>
      </w:r>
    </w:p>
    <w:p>
      <w:pPr>
        <w:pStyle w:val="6"/>
        <w:spacing w:line="360" w:lineRule="auto"/>
        <w:ind w:firstLine="628"/>
        <w:jc w:val="both"/>
        <w:rPr>
          <w:rFonts w:hint="eastAsia" w:hAnsi="宋体"/>
          <w:sz w:val="28"/>
        </w:rPr>
      </w:pPr>
      <w:bookmarkStart w:id="28" w:name="_Hlt509649294"/>
      <w:bookmarkEnd w:id="28"/>
      <w:bookmarkStart w:id="29" w:name="_Hlt509650572"/>
      <w:bookmarkEnd w:id="29"/>
      <w:bookmarkStart w:id="30" w:name="_Toc522466826"/>
      <w:bookmarkStart w:id="31" w:name="_Toc50128752"/>
      <w:r>
        <w:rPr>
          <w:rFonts w:hint="eastAsia" w:hAnsi="宋体"/>
          <w:sz w:val="28"/>
        </w:rPr>
        <w:t>四．响应文件的递交</w:t>
      </w:r>
      <w:bookmarkEnd w:id="30"/>
      <w:bookmarkEnd w:id="31"/>
      <w:bookmarkStart w:id="32" w:name="_Hlt509649414"/>
      <w:bookmarkEnd w:id="32"/>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20.2投标人应当在磋商文件规定的响应文件提交截止时间前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6"/>
        <w:spacing w:line="360" w:lineRule="auto"/>
        <w:ind w:firstLine="628"/>
        <w:jc w:val="both"/>
        <w:rPr>
          <w:rFonts w:hint="eastAsia" w:hAnsi="宋体"/>
          <w:sz w:val="28"/>
        </w:rPr>
      </w:pPr>
      <w:bookmarkStart w:id="33" w:name="_Toc459990140"/>
      <w:bookmarkStart w:id="34" w:name="_Toc522466827"/>
      <w:bookmarkStart w:id="35" w:name="_Toc50128753"/>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1为有助于投标的审查、评价和比较，磋商小组可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2响应文件中大写金额和小写金额不一致的，以大写金额为准。报价表内容与</w:t>
      </w:r>
      <w:r>
        <w:rPr>
          <w:rFonts w:hint="eastAsia" w:ascii="宋体" w:hAnsi="宋体"/>
          <w:sz w:val="24"/>
          <w:highlight w:val="none"/>
          <w:lang w:eastAsia="zh-CN"/>
        </w:rPr>
        <w:t>其他报价</w:t>
      </w:r>
      <w:r>
        <w:rPr>
          <w:rFonts w:hint="eastAsia" w:ascii="宋体" w:hAnsi="宋体"/>
          <w:sz w:val="24"/>
          <w:highlight w:val="none"/>
        </w:rPr>
        <w:t>信息内容不一致的，以</w:t>
      </w:r>
      <w:r>
        <w:rPr>
          <w:rFonts w:hint="eastAsia" w:ascii="宋体" w:hAnsi="宋体"/>
          <w:sz w:val="24"/>
        </w:rPr>
        <w:t>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bCs/>
          <w:sz w:val="24"/>
        </w:rPr>
        <w:t>磋商小组将按照磋商文件规定的磋商与评审办法对投标人独立进行评审。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3磋商小组将首先审查响应文件是否实质上响应磋商文件的</w:t>
      </w:r>
      <w:r>
        <w:rPr>
          <w:rFonts w:hint="eastAsia" w:ascii="宋体" w:hAnsi="宋体"/>
          <w:sz w:val="24"/>
          <w:lang w:eastAsia="zh-CN"/>
        </w:rPr>
        <w:t>初审</w:t>
      </w:r>
      <w:r>
        <w:rPr>
          <w:rFonts w:hint="eastAsia" w:ascii="宋体" w:hAnsi="宋体"/>
          <w:sz w:val="24"/>
          <w:highlight w:val="none"/>
        </w:rPr>
        <w:t>评审指标要求</w:t>
      </w:r>
      <w:r>
        <w:rPr>
          <w:rFonts w:hint="eastAsia" w:ascii="宋体" w:hAnsi="宋体"/>
          <w:sz w:val="24"/>
        </w:rPr>
        <w:t>。实质上响应的投标应与磋商文</w:t>
      </w:r>
      <w:r>
        <w:rPr>
          <w:rFonts w:hint="eastAsia" w:ascii="宋体" w:hAnsi="宋体"/>
          <w:sz w:val="24"/>
          <w:highlight w:val="none"/>
        </w:rPr>
        <w:t>件的全部条</w:t>
      </w:r>
      <w:r>
        <w:rPr>
          <w:rFonts w:hint="eastAsia" w:ascii="宋体" w:hAnsi="宋体"/>
          <w:sz w:val="24"/>
        </w:rPr>
        <w:t>款、条件和规格相符，没有重大偏离或保留。所谓重大偏离或保留是指影响合同的</w:t>
      </w:r>
      <w:r>
        <w:rPr>
          <w:rFonts w:hint="eastAsia" w:ascii="宋体" w:hAnsi="宋体"/>
          <w:sz w:val="24"/>
          <w:lang w:eastAsia="zh-CN"/>
        </w:rPr>
        <w:t>施工</w:t>
      </w:r>
      <w:r>
        <w:rPr>
          <w:rFonts w:hint="eastAsia" w:ascii="宋体" w:hAnsi="宋体"/>
          <w:sz w:val="24"/>
          <w:lang w:val="en-US" w:eastAsia="zh-CN"/>
        </w:rPr>
        <w:t>/</w:t>
      </w:r>
      <w:r>
        <w:rPr>
          <w:rFonts w:hint="eastAsia" w:ascii="宋体" w:hAnsi="宋体"/>
          <w:sz w:val="24"/>
        </w:rPr>
        <w:t>供货</w:t>
      </w:r>
      <w:r>
        <w:rPr>
          <w:rFonts w:hint="eastAsia" w:ascii="宋体" w:hAnsi="宋体"/>
          <w:sz w:val="24"/>
          <w:lang w:val="en-US" w:eastAsia="zh-CN"/>
        </w:rPr>
        <w:t>/服务</w:t>
      </w:r>
      <w:r>
        <w:rPr>
          <w:rFonts w:hint="eastAsia" w:ascii="宋体" w:hAnsi="宋体"/>
          <w:sz w:val="24"/>
        </w:rPr>
        <w:t>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有下列情形之一的，磋商小组应当否决其投标：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3.2磋商</w:t>
      </w:r>
      <w:r>
        <w:rPr>
          <w:rFonts w:ascii="宋体" w:hAnsi="宋体"/>
          <w:sz w:val="24"/>
        </w:rPr>
        <w:t>联合体没有提交</w:t>
      </w:r>
      <w:r>
        <w:rPr>
          <w:rFonts w:hint="eastAsia" w:ascii="宋体" w:hAnsi="宋体"/>
          <w:sz w:val="24"/>
        </w:rPr>
        <w:t>共同磋商</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3.3投标人不符合国家或者磋商文件规定的资格条件；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3.4同一投标人提交两个以上不同的响应文件，但磋商文件要求提交备选投标的除外；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投标报价低于成本或者高于磋商文件设定的最高投标限价；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响应文件没有对磋商文件的实质性要求和条件作出响应；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4评审时，磋商小组将审查响应文件是否符合</w:t>
      </w:r>
      <w:r>
        <w:rPr>
          <w:rFonts w:hint="eastAsia" w:ascii="宋体" w:hAnsi="宋体"/>
          <w:sz w:val="24"/>
          <w:highlight w:val="none"/>
        </w:rPr>
        <w:t>磋商文件的</w:t>
      </w:r>
      <w:r>
        <w:rPr>
          <w:rFonts w:hint="eastAsia" w:ascii="宋体" w:hAnsi="宋体"/>
          <w:sz w:val="24"/>
          <w:highlight w:val="none"/>
          <w:lang w:eastAsia="zh-CN"/>
        </w:rPr>
        <w:t>初审</w:t>
      </w:r>
      <w:r>
        <w:rPr>
          <w:rFonts w:hint="eastAsia" w:ascii="宋体" w:hAnsi="宋体"/>
          <w:sz w:val="24"/>
          <w:highlight w:val="none"/>
        </w:rPr>
        <w:t>评审指标要</w:t>
      </w:r>
      <w:r>
        <w:rPr>
          <w:rFonts w:hint="eastAsia" w:ascii="宋体" w:hAnsi="宋体"/>
          <w:sz w:val="24"/>
        </w:rPr>
        <w:t>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5如果响应文件未通过投标有效性评审的，投标无效。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6磋商小组决定响应文件的响应性及符合性只根据响应文件本身的内容，而不寻求其他外部证据。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在磋商中，符合专业条件的投标人或对磋商文件作实质响应的投标人不足规定家数的，</w:t>
      </w:r>
      <w:r>
        <w:rPr>
          <w:rFonts w:hint="eastAsia" w:ascii="宋体" w:hAnsi="宋体"/>
          <w:sz w:val="24"/>
          <w:szCs w:val="24"/>
        </w:rPr>
        <w:t>磋商小组</w:t>
      </w:r>
      <w:r>
        <w:rPr>
          <w:rFonts w:hint="eastAsia" w:ascii="宋体" w:hAnsi="宋体"/>
          <w:sz w:val="24"/>
        </w:rPr>
        <w:t>有权对磋商项目作流标处理。流标后，流标原因将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b/>
          <w:bCs/>
          <w:sz w:val="24"/>
        </w:rPr>
      </w:pPr>
      <w:r>
        <w:rPr>
          <w:rFonts w:hint="eastAsia" w:ascii="宋体" w:hAnsi="宋体"/>
          <w:b/>
          <w:bCs/>
          <w:sz w:val="24"/>
        </w:rPr>
        <w:t>26</w:t>
      </w:r>
      <w:r>
        <w:rPr>
          <w:rFonts w:hint="eastAsia" w:ascii="宋体" w:hAnsi="宋体"/>
          <w:b/>
          <w:sz w:val="24"/>
        </w:rPr>
        <w:t>.</w:t>
      </w:r>
      <w:r>
        <w:rPr>
          <w:rFonts w:hint="eastAsia" w:ascii="宋体" w:hAnsi="宋体"/>
          <w:b/>
          <w:bCs/>
          <w:sz w:val="24"/>
        </w:rPr>
        <w:t>重新磋商</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可能重新发布磋商公告（磋商邀请），进行重新磋商。</w:t>
      </w:r>
    </w:p>
    <w:p>
      <w:pPr>
        <w:spacing w:line="360" w:lineRule="auto"/>
        <w:ind w:firstLine="480" w:firstLineChars="200"/>
        <w:rPr>
          <w:rFonts w:hint="eastAsia" w:ascii="宋体" w:hAnsi="宋体"/>
          <w:sz w:val="24"/>
        </w:rPr>
      </w:pPr>
      <w:r>
        <w:rPr>
          <w:rFonts w:hint="eastAsia" w:ascii="宋体" w:hAnsi="宋体"/>
          <w:sz w:val="24"/>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6"/>
        <w:spacing w:line="360" w:lineRule="auto"/>
        <w:ind w:firstLine="628"/>
        <w:jc w:val="both"/>
        <w:rPr>
          <w:rFonts w:hint="eastAsia" w:hAnsi="宋体"/>
          <w:sz w:val="28"/>
        </w:rPr>
      </w:pPr>
      <w:bookmarkStart w:id="36" w:name="_Toc460487454"/>
      <w:bookmarkStart w:id="37" w:name="_Toc522466828"/>
      <w:bookmarkStart w:id="38" w:name="_Toc50128754"/>
      <w:bookmarkStart w:id="39" w:name="_Toc477793061"/>
      <w:r>
        <w:rPr>
          <w:rFonts w:hint="eastAsia" w:hAnsi="宋体"/>
          <w:sz w:val="28"/>
        </w:rPr>
        <w:t>六．定标与签订合同</w:t>
      </w:r>
      <w:bookmarkEnd w:id="36"/>
      <w:bookmarkEnd w:id="37"/>
      <w:bookmarkEnd w:id="38"/>
      <w:bookmarkEnd w:id="39"/>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1磋商小组应当按磋商文件规定的标准和方法提出独立评审意见，推荐中标候选人。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27.3原则上把合同授予实质上响应磋商文件要求的排名最前的中标候选人。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27.5.2.6不同投标人的磋商保证金从同一单位或者个人的账户转出。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招标人直接或者间接向投标人泄露标底、磋商小组成员等信息；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5"/>
        <w:numPr>
          <w:ilvl w:val="0"/>
          <w:numId w:val="0"/>
        </w:numPr>
        <w:adjustRightInd/>
        <w:snapToGrid w:val="0"/>
        <w:spacing w:line="360" w:lineRule="auto"/>
        <w:ind w:left="707"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5"/>
        <w:numPr>
          <w:ilvl w:val="0"/>
          <w:numId w:val="0"/>
        </w:numPr>
        <w:adjustRightInd/>
        <w:snapToGrid w:val="0"/>
        <w:spacing w:line="360" w:lineRule="auto"/>
        <w:ind w:left="707"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rPr>
        <w:t>30.履约保证金</w:t>
      </w:r>
    </w:p>
    <w:p>
      <w:pPr>
        <w:spacing w:line="360" w:lineRule="auto"/>
        <w:ind w:firstLine="549"/>
        <w:rPr>
          <w:rFonts w:hint="eastAsia" w:ascii="宋体" w:hAnsi="宋体"/>
          <w:dstrike/>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如果中标人未按规定交纳履约保证金的，视为放弃中标，其磋商保证金不予退还，给招标人造成的损失超过磋商保证金数额的，中标人还应当对超过部分予以赔偿。在此情况下招标人可以按照</w:t>
      </w:r>
      <w:r>
        <w:rPr>
          <w:rFonts w:hint="eastAsia" w:ascii="宋体" w:hAnsi="宋体"/>
          <w:kern w:val="0"/>
          <w:sz w:val="24"/>
        </w:rPr>
        <w:t>磋商小组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31.1中标人应在中标通知书发出之日起三十日内（具体时间、地点见中标通知书）与招标人签订合同。磋商文件、中标人的响应文件及澄清文件等，均作为合同的附件。合同签订前中标人应向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本磋商文件的解释权属于招标人</w:t>
      </w:r>
      <w:r>
        <w:rPr>
          <w:rFonts w:hint="eastAsia" w:ascii="宋体" w:hAnsi="宋体"/>
          <w:bCs/>
          <w:sz w:val="24"/>
          <w:lang w:eastAsia="zh-CN"/>
        </w:rPr>
        <w:t>。</w:t>
      </w:r>
    </w:p>
    <w:p>
      <w:pPr>
        <w:pStyle w:val="2"/>
        <w:numPr>
          <w:ilvl w:val="0"/>
          <w:numId w:val="0"/>
        </w:numPr>
        <w:jc w:val="center"/>
        <w:rPr>
          <w:rFonts w:hint="eastAsia" w:ascii="宋体" w:hAnsi="Times New Roman" w:eastAsia="宋体" w:cs="Times New Roman"/>
          <w:b/>
          <w:bCs/>
          <w:lang w:val="en-US" w:eastAsia="zh-CN"/>
        </w:rPr>
      </w:pPr>
      <w:bookmarkStart w:id="40" w:name="_Toc16130"/>
      <w:r>
        <w:rPr>
          <w:rFonts w:hint="eastAsia" w:ascii="宋体" w:hAnsi="Times New Roman" w:eastAsia="宋体" w:cs="Times New Roman"/>
          <w:b/>
          <w:bCs/>
          <w:lang w:val="en-US" w:eastAsia="zh-CN"/>
        </w:rPr>
        <w:t>第三章 招标需求</w:t>
      </w:r>
      <w:bookmarkEnd w:id="40"/>
    </w:p>
    <w:p>
      <w:pPr>
        <w:widowControl/>
        <w:spacing w:line="360" w:lineRule="auto"/>
        <w:ind w:firstLine="562" w:firstLineChars="200"/>
        <w:rPr>
          <w:rFonts w:hint="eastAsia" w:ascii="仿宋_GB2312" w:hAnsi="仿宋_GB2312" w:eastAsia="仿宋_GB2312" w:cs="仿宋_GB2312"/>
          <w:b/>
          <w:sz w:val="28"/>
          <w:szCs w:val="28"/>
        </w:rPr>
      </w:pPr>
      <w:bookmarkStart w:id="41" w:name="_Toc17202"/>
      <w:r>
        <w:rPr>
          <w:rFonts w:hint="eastAsia" w:ascii="仿宋_GB2312" w:hAnsi="仿宋_GB2312" w:eastAsia="仿宋_GB2312" w:cs="仿宋_GB2312"/>
          <w:b/>
          <w:sz w:val="28"/>
          <w:szCs w:val="28"/>
        </w:rPr>
        <w:t>一、项目名称</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城隍庙小商品市场电梯维保服务项目</w:t>
      </w:r>
    </w:p>
    <w:p>
      <w:pPr>
        <w:widowControl/>
        <w:spacing w:line="360" w:lineRule="auto"/>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二、项目预算：</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本项目最高限价</w:t>
      </w:r>
      <w:r>
        <w:rPr>
          <w:rFonts w:hint="eastAsia" w:ascii="仿宋_GB2312" w:hAnsi="新宋体" w:eastAsia="仿宋_GB2312" w:cs="新宋体"/>
          <w:color w:val="000000"/>
          <w:kern w:val="0"/>
          <w:sz w:val="28"/>
          <w:highlight w:val="none"/>
          <w:lang w:val="en-US" w:eastAsia="zh-CN" w:bidi="ar"/>
        </w:rPr>
        <w:t>36400</w:t>
      </w:r>
      <w:r>
        <w:rPr>
          <w:rFonts w:hint="eastAsia" w:ascii="仿宋_GB2312" w:hAnsi="新宋体" w:eastAsia="仿宋_GB2312" w:cs="新宋体"/>
          <w:color w:val="000000"/>
          <w:kern w:val="0"/>
          <w:sz w:val="28"/>
          <w:highlight w:val="none"/>
          <w:lang w:bidi="ar"/>
        </w:rPr>
        <w:t>元，项目采用总价报价（1 年）。维保方式为半包：提供维保所需工具和劳务，负责电梯年检（年检费用含在总费用内），免费更换配件详见附件，含安全责任保险。</w:t>
      </w:r>
    </w:p>
    <w:p>
      <w:pPr>
        <w:widowControl/>
        <w:spacing w:line="360" w:lineRule="auto"/>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val="en-US" w:eastAsia="zh-CN"/>
        </w:rPr>
        <w:t>三</w:t>
      </w:r>
      <w:r>
        <w:rPr>
          <w:rFonts w:hint="eastAsia" w:ascii="仿宋_GB2312" w:hAnsi="仿宋_GB2312" w:eastAsia="仿宋_GB2312" w:cs="仿宋_GB2312"/>
          <w:b/>
          <w:sz w:val="28"/>
          <w:szCs w:val="28"/>
          <w:highlight w:val="none"/>
        </w:rPr>
        <w:t>、项目概况</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val="en-US" w:eastAsia="zh-CN" w:bidi="ar"/>
        </w:rPr>
        <w:t>中市街及庐阳宫</w:t>
      </w:r>
      <w:r>
        <w:rPr>
          <w:rFonts w:hint="eastAsia" w:ascii="仿宋_GB2312" w:hAnsi="新宋体" w:eastAsia="仿宋_GB2312" w:cs="新宋体"/>
          <w:color w:val="000000"/>
          <w:kern w:val="0"/>
          <w:sz w:val="28"/>
          <w:lang w:bidi="ar"/>
        </w:rPr>
        <w:t>共</w:t>
      </w:r>
      <w:r>
        <w:rPr>
          <w:rFonts w:hint="eastAsia" w:ascii="仿宋_GB2312" w:hAnsi="新宋体" w:eastAsia="仿宋_GB2312" w:cs="新宋体"/>
          <w:color w:val="000000"/>
          <w:kern w:val="0"/>
          <w:sz w:val="28"/>
          <w:lang w:val="en-US" w:eastAsia="zh-CN" w:bidi="ar"/>
        </w:rPr>
        <w:t>8</w:t>
      </w:r>
      <w:r>
        <w:rPr>
          <w:rFonts w:hint="eastAsia" w:ascii="仿宋_GB2312" w:hAnsi="新宋体" w:eastAsia="仿宋_GB2312" w:cs="新宋体"/>
          <w:color w:val="000000"/>
          <w:kern w:val="0"/>
          <w:sz w:val="28"/>
          <w:lang w:bidi="ar"/>
        </w:rPr>
        <w:t>部电梯（</w:t>
      </w:r>
      <w:r>
        <w:rPr>
          <w:rFonts w:hint="eastAsia" w:ascii="仿宋_GB2312" w:hAnsi="新宋体" w:eastAsia="仿宋_GB2312" w:cs="新宋体"/>
          <w:color w:val="000000"/>
          <w:kern w:val="0"/>
          <w:sz w:val="28"/>
          <w:lang w:val="en-US" w:eastAsia="zh-CN" w:bidi="ar"/>
        </w:rPr>
        <w:t>共计2台货梯、6台扶梯</w:t>
      </w:r>
      <w:r>
        <w:rPr>
          <w:rFonts w:hint="eastAsia" w:ascii="仿宋_GB2312" w:hAnsi="新宋体" w:eastAsia="仿宋_GB2312" w:cs="新宋体"/>
          <w:color w:val="000000"/>
          <w:kern w:val="0"/>
          <w:sz w:val="28"/>
          <w:lang w:bidi="ar"/>
        </w:rPr>
        <w:t>），现拟对上述电梯维保服务进行招标。投标人自行勘察现场电梯运行情况。</w:t>
      </w:r>
    </w:p>
    <w:p>
      <w:pPr>
        <w:spacing w:line="440" w:lineRule="exact"/>
        <w:ind w:firstLine="562" w:firstLineChars="200"/>
        <w:rPr>
          <w:rFonts w:hint="eastAsia" w:ascii="仿宋_GB2312" w:hAnsi="新宋体" w:eastAsia="仿宋_GB2312" w:cs="新宋体"/>
          <w:color w:val="000000"/>
          <w:kern w:val="0"/>
          <w:sz w:val="28"/>
          <w:lang w:bidi="ar"/>
        </w:rPr>
      </w:pPr>
      <w:r>
        <w:rPr>
          <w:rFonts w:hint="eastAsia" w:ascii="仿宋_GB2312" w:hAnsi="仿宋_GB2312" w:eastAsia="仿宋_GB2312" w:cs="仿宋_GB2312"/>
          <w:b/>
          <w:sz w:val="28"/>
          <w:szCs w:val="28"/>
          <w:lang w:val="en-US" w:eastAsia="zh-CN"/>
        </w:rPr>
        <w:t>四</w:t>
      </w:r>
      <w:r>
        <w:rPr>
          <w:rFonts w:hint="eastAsia" w:ascii="仿宋_GB2312" w:hAnsi="仿宋_GB2312" w:eastAsia="仿宋_GB2312" w:cs="仿宋_GB2312"/>
          <w:b/>
          <w:sz w:val="28"/>
          <w:szCs w:val="28"/>
        </w:rPr>
        <w:t>、服务需求</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1、中标单位维保后的电梯应符合安全技术规范、强制性标准和电梯制造单位的技术要求。</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2、中标单位提供24小时的紧急救援服务，并设立维保负责人，保持24小时电话畅通。当电梯发生困人故障，中标单位应在接到甲方通知后30分钟内赶赴现场实施紧急救援；电梯发生其他故障，中标单位应在接到甲方通知后60分钟内赶到现场实施抢修。</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3、根据电梯的使用情况和设备状况，经双方协商确认后，中标单位应提供全年保养计划和各项定期保养计划的具体实施时间表，且每台每次保养时间不得少于30分钟。如需调整原保养计划，应提前3日通知甲方并经甲方同意后方可调整，但应保证保养时间间隔不得超过15日。详细要求参考附件《电梯保养作业服务内容及细则要求》。</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4、现场作业人员应当取得相应的《特种设备作业人员证》。为有效实施保养计划，中标单位应安排熟悉所维保电梯原理、结构、性能、安全要求的特种设备作业人员负责维保工作，并督促其严格按照产品工艺要求、安全及技术规范进行维保。</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5、作业过程中应服从甲方现场安全管理，落实现场安全防护措施，保证作业安全。需要安全监护作业的内容应书面告知甲方，作业时，作业人员不得少于二人。详细要求请参考附件《电梯保养作业服务内容及细则要求》。</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6、现场需采取停梯措施时，应立即通知甲方并及时组织抢修。</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7、根据甲方的故障统计记录，中标单位应至少每季度一次提出故障分析报告。报告中应包含电梯故障的统计分析、整改措施和预防措施，以及有关电梯使用管理的合理化建议。</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8、协助甲方建立健全安全管理制度、安全技术档案、应急救援预案，配合甲方开展应急救援演练。</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9、不得以任何形式将维保工作非法分包、转包。</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11、中标单位负责电梯年检事宜，负责办理电梯年检、电梯修理时所需的政府审批手续，承担因此产生的费用。免费提供维保过程中所需的且符合电梯设计要求的消耗材料、零件的清单及价目表等；更换零部件时，必须经甲方确认后，方可拆除或更换，更换的零部件应与原电梯配件品牌相同。</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12、每年度至少进行一次自行检查。自查工作要在电梯年检前开展，自查项目根据使用状态决定，但是不少于《电梯保养作业服务内容及细则要求》要求的年度维保和电梯定期检验规定的项目及其内容，同时向甲方出具有自查和审核人员的签字、加盖中标单位公章的自查记录或者报告，并把相关问题记录在册报于甲方，存在维保服务以外的问题须提前与甲方沟通并配合整改，如因维保范围内和自查中发现问题没有上报甲方，由此造成年检不合格，复检费用全部由乙方承担。</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13、整理甲方现场电梯相关资料，每次电梯维修维保应有加盖乙方公章的纸质版工作记录单，交由甲方存档。所有甲方现场电梯资料需分类明确，便于任何形式的检查和调阅。</w:t>
      </w:r>
    </w:p>
    <w:p>
      <w:pPr>
        <w:spacing w:line="440" w:lineRule="exact"/>
        <w:ind w:firstLine="562" w:firstLineChars="200"/>
        <w:rPr>
          <w:rFonts w:hint="eastAsia" w:ascii="仿宋_GB2312" w:hAnsi="新宋体" w:eastAsia="仿宋_GB2312" w:cs="新宋体"/>
          <w:b/>
          <w:bCs/>
          <w:color w:val="000000"/>
          <w:kern w:val="0"/>
          <w:sz w:val="28"/>
          <w:highlight w:val="none"/>
          <w:lang w:bidi="ar"/>
        </w:rPr>
      </w:pPr>
      <w:r>
        <w:rPr>
          <w:rFonts w:hint="eastAsia" w:ascii="仿宋_GB2312" w:hAnsi="新宋体" w:eastAsia="仿宋_GB2312" w:cs="新宋体"/>
          <w:b/>
          <w:bCs/>
          <w:color w:val="000000"/>
          <w:kern w:val="0"/>
          <w:sz w:val="28"/>
          <w:highlight w:val="none"/>
          <w:lang w:val="en-US" w:eastAsia="zh-CN" w:bidi="ar"/>
        </w:rPr>
        <w:t>五、</w:t>
      </w:r>
      <w:r>
        <w:rPr>
          <w:rFonts w:hint="eastAsia" w:ascii="仿宋_GB2312" w:hAnsi="新宋体" w:eastAsia="仿宋_GB2312" w:cs="新宋体"/>
          <w:b/>
          <w:bCs/>
          <w:color w:val="000000"/>
          <w:kern w:val="0"/>
          <w:sz w:val="28"/>
          <w:highlight w:val="none"/>
          <w:lang w:bidi="ar"/>
        </w:rPr>
        <w:t>其他要求：</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1、中标单位入驻前需对甲方现场电梯进行了详细的检修，检修结果经甲方签字确认，并作为电梯现状记录由甲、乙双方保存。</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2、每台电梯均应当建立独立的维保记录。维保维修相关记录应当一式两份，甲乙双方各保存一份，维修与抢修记录均应当长期保存。</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3、根据电梯的现状，甲乙双方约定非使用原因导致的电梯困人故障次数每月每台电梯不超过5次。</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4、中标单位未按约定履行义务给甲方造成任何损失的，应当承担全部责任。</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5、因乙方未在期限更换应该更换的电梯零部件而导致电梯故障或存在安全隐患的，由乙方自行承担责任。</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6、乙方违反约定，作业过程中未服从甲方现场安全管理落实现场安全防护措施，或需要安全监护的作业时作业人员只有一人，或保养时间不足，甲方可拒付当次作业或保养的当台当月保养费。</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7、乙方维保工作不符合合同约定的维保标准或要求的，乙方应当返工，并按照100元/次标准支付违约金。</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8、在电梯维保作业过程中因维保原因导致人身伤亡或设备损坏、零部件丢失的，由乙方承担全部责任。</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9、因维保原因导致电梯检验不合格的，由乙方承担电梯复检费用。</w:t>
      </w:r>
    </w:p>
    <w:p>
      <w:pPr>
        <w:spacing w:line="44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六、电梯保养计划</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电梯周、季、年的保养具体内容：</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1、每周保养的内容：</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⑴控制屏检查除尘清洁。</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⑵曳引机组、发电机组除尘清洁，油位检查，抱闸动作可靠检查。</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⑶限速器开关动作灵活可靠检查。</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⑷机房环境整洁。</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⑸门机构调整清洁润滑。</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⑹检查操纵箱各类按钮开关及显示功能正常。</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⑺轿门上坎清洁润滑，门保护系统功能正常。</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⑻轿顶开关检查及清扫检查厅门。</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⑼检查厅间机电联锁功能重锺及尼龙绳完好。</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⑽厅门上下坎滑轮清洁润滑。</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⑾检查各厅门外召呼和显示功能正确。</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⑿检查线路盒线槽线管。</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⒀地坑清扫。</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⒁检查随行电缆。</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⒂缓冲器油位检查。</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⒃检查各限位开关功能完好。</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2、每季度保养内容：</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⑴检查接触器、继电器、触点的工作状况。</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⑵上下极限开关位置检查调整。</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⑶主付导轨导靴检查更换、清洁，检查导向轮对重轮和轿顶轮。</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⑷平层精度保养。</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⑸层层厅门、轿厢采用不锈钢油清洁。</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⑹蜗轮减速箱及电机是否有油。</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⑺制动器动作是否正常，制动瓦与制动盘间隙是否正常。</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⑻曳引钢丝绳、限速器钢丝绳、选层器钢带运行是否正常。</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⑼继电器、接触器、选层器等工作情况是否正常。</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⑽触点的清洁工作和主要部件螺钉紧固等。</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⑾电动机皮带轮、皮带电动机制动器速度控制开关、安全开关等。</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⑿检查曳引绳、补偿绳装置选层器钢带和限速器绳的伸长情况。</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3、年度保养内容：</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⑴曳引绳槽及曳引钢丝绳磨损程度检查。</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⑵限速器的动作是否正确，限速器效验及安全钳间隙调整。</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⑶安全装置及回路检查。</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⑷年度检查，对运行一年以上的电梯进行一次全面检查。</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⑸对电梯的机械、电气、安全设备主要另部件磨损程度修复和更换。</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⑹对控制屏的接触器、继电器的触点及插件如发现有拉毛烧蚀等要予修复或更换。</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⑺按标准尺寸调整钢丝绳长短，观察曳引轮的磨损程度。</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⑻调换厅门、轿门的滚轮，调换开门机的易损件。</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⑼做好每台电梯更换另配件的纪录存档。</w:t>
      </w:r>
    </w:p>
    <w:p>
      <w:pPr>
        <w:spacing w:line="44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七、服务期限</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本次维保服务期合同签订后1年。如乙方履约良好，合同到期前，经双方协商无异议，可续签下一年度合同，最多申报</w:t>
      </w:r>
      <w:r>
        <w:rPr>
          <w:rFonts w:hint="eastAsia" w:ascii="仿宋_GB2312" w:hAnsi="新宋体" w:eastAsia="仿宋_GB2312" w:cs="新宋体"/>
          <w:color w:val="000000"/>
          <w:kern w:val="0"/>
          <w:sz w:val="28"/>
          <w:highlight w:val="none"/>
          <w:lang w:val="en-US" w:eastAsia="zh-CN" w:bidi="ar"/>
        </w:rPr>
        <w:t>3</w:t>
      </w:r>
      <w:r>
        <w:rPr>
          <w:rFonts w:hint="eastAsia" w:ascii="仿宋_GB2312" w:hAnsi="新宋体" w:eastAsia="仿宋_GB2312" w:cs="新宋体"/>
          <w:color w:val="000000"/>
          <w:kern w:val="0"/>
          <w:sz w:val="28"/>
          <w:highlight w:val="none"/>
          <w:lang w:bidi="ar"/>
        </w:rPr>
        <w:t>次。</w:t>
      </w:r>
    </w:p>
    <w:p>
      <w:pPr>
        <w:spacing w:line="44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八、付款方式</w:t>
      </w:r>
    </w:p>
    <w:p>
      <w:pPr>
        <w:spacing w:line="440" w:lineRule="exact"/>
        <w:ind w:firstLine="560" w:firstLineChars="200"/>
        <w:rPr>
          <w:rFonts w:hint="eastAsia" w:ascii="仿宋_GB2312" w:hAnsi="仿宋_GB2312" w:eastAsia="仿宋_GB2312" w:cs="仿宋_GB2312"/>
          <w:b/>
          <w:sz w:val="28"/>
          <w:szCs w:val="28"/>
        </w:rPr>
      </w:pPr>
      <w:r>
        <w:rPr>
          <w:rFonts w:hint="eastAsia" w:ascii="仿宋_GB2312" w:hAnsi="新宋体" w:eastAsia="仿宋_GB2312" w:cs="新宋体"/>
          <w:color w:val="000000"/>
          <w:kern w:val="0"/>
          <w:sz w:val="28"/>
          <w:lang w:bidi="ar"/>
        </w:rPr>
        <w:t>每季度付款一次，按当期维保费的90%进行支付，待合同期满取得验收合格证后支付至维保费总额的100%。</w:t>
      </w:r>
    </w:p>
    <w:p>
      <w:pPr>
        <w:spacing w:line="440" w:lineRule="exact"/>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九、报价要求</w:t>
      </w:r>
    </w:p>
    <w:p>
      <w:pPr>
        <w:spacing w:line="440" w:lineRule="exact"/>
        <w:ind w:firstLine="560" w:firstLineChars="200"/>
        <w:rPr>
          <w:rFonts w:hint="eastAsia" w:ascii="仿宋_GB2312" w:hAnsi="仿宋_GB2312" w:eastAsia="仿宋_GB2312" w:cs="仿宋_GB2312"/>
          <w:b/>
          <w:sz w:val="28"/>
          <w:szCs w:val="28"/>
          <w:highlight w:val="none"/>
        </w:rPr>
      </w:pPr>
      <w:r>
        <w:rPr>
          <w:rFonts w:hint="eastAsia" w:ascii="仿宋_GB2312" w:hAnsi="新宋体" w:eastAsia="仿宋_GB2312" w:cs="新宋体"/>
          <w:color w:val="000000"/>
          <w:kern w:val="0"/>
          <w:sz w:val="28"/>
          <w:highlight w:val="none"/>
          <w:lang w:bidi="ar"/>
        </w:rPr>
        <w:t>本次招标采用总价报价，投标人报价不得超过项目概算，否则投标无效。投标人的报价费应包含为完成本项目所有费用。</w:t>
      </w:r>
    </w:p>
    <w:p>
      <w:pPr>
        <w:spacing w:line="440" w:lineRule="exact"/>
        <w:rPr>
          <w:rFonts w:hint="eastAsia" w:ascii="仿宋_GB2312" w:hAnsi="新宋体" w:eastAsia="仿宋_GB2312" w:cs="新宋体"/>
          <w:color w:val="000000"/>
          <w:kern w:val="0"/>
          <w:sz w:val="28"/>
          <w:highlight w:val="none"/>
          <w:lang w:bidi="ar"/>
        </w:rPr>
      </w:pPr>
    </w:p>
    <w:p>
      <w:pPr>
        <w:adjustRightInd w:val="0"/>
        <w:snapToGrid w:val="0"/>
        <w:spacing w:line="360" w:lineRule="auto"/>
        <w:ind w:right="-10" w:firstLine="562" w:firstLineChars="200"/>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t>附件</w:t>
      </w:r>
      <w:r>
        <w:rPr>
          <w:rFonts w:hint="eastAsia" w:asciiTheme="minorEastAsia" w:hAnsiTheme="minorEastAsia" w:eastAsiaTheme="minorEastAsia" w:cstheme="minorEastAsia"/>
          <w:b/>
          <w:color w:val="000000"/>
          <w:sz w:val="28"/>
          <w:szCs w:val="28"/>
          <w:highlight w:val="none"/>
          <w:lang w:val="en-US" w:eastAsia="zh-CN"/>
        </w:rPr>
        <w:t>1</w:t>
      </w:r>
      <w:r>
        <w:rPr>
          <w:rFonts w:hint="eastAsia" w:asciiTheme="minorEastAsia" w:hAnsiTheme="minorEastAsia" w:eastAsiaTheme="minorEastAsia" w:cstheme="minorEastAsia"/>
          <w:b/>
          <w:color w:val="000000"/>
          <w:sz w:val="28"/>
          <w:szCs w:val="28"/>
          <w:highlight w:val="none"/>
        </w:rPr>
        <w:t>：配件免费更换清单</w:t>
      </w:r>
    </w:p>
    <w:tbl>
      <w:tblPr>
        <w:tblStyle w:val="18"/>
        <w:tblW w:w="9438" w:type="dxa"/>
        <w:jc w:val="center"/>
        <w:tblLayout w:type="autofit"/>
        <w:tblCellMar>
          <w:top w:w="0" w:type="dxa"/>
          <w:left w:w="108" w:type="dxa"/>
          <w:bottom w:w="0" w:type="dxa"/>
          <w:right w:w="108" w:type="dxa"/>
        </w:tblCellMar>
      </w:tblPr>
      <w:tblGrid>
        <w:gridCol w:w="800"/>
        <w:gridCol w:w="2720"/>
        <w:gridCol w:w="3839"/>
        <w:gridCol w:w="800"/>
        <w:gridCol w:w="1279"/>
      </w:tblGrid>
      <w:tr>
        <w:tblPrEx>
          <w:tblCellMar>
            <w:top w:w="0" w:type="dxa"/>
            <w:left w:w="108" w:type="dxa"/>
            <w:bottom w:w="0" w:type="dxa"/>
            <w:right w:w="108" w:type="dxa"/>
          </w:tblCellMar>
        </w:tblPrEx>
        <w:trPr>
          <w:trHeight w:val="560" w:hRule="atLeast"/>
          <w:jc w:val="center"/>
        </w:trPr>
        <w:tc>
          <w:tcPr>
            <w:tcW w:w="800" w:type="dxa"/>
            <w:tcBorders>
              <w:top w:val="single" w:color="auto" w:sz="4" w:space="0"/>
              <w:left w:val="single" w:color="auto" w:sz="4" w:space="0"/>
              <w:bottom w:val="single" w:color="auto" w:sz="4" w:space="0"/>
              <w:right w:val="single" w:color="auto" w:sz="4" w:space="0"/>
            </w:tcBorders>
            <w:shd w:val="clear" w:color="000000" w:fill="FFC000"/>
            <w:noWrap/>
            <w:vAlign w:val="center"/>
          </w:tcPr>
          <w:p>
            <w:pPr>
              <w:widowControl/>
              <w:jc w:val="center"/>
              <w:rPr>
                <w:rFonts w:ascii="等线" w:hAnsi="等线" w:eastAsia="等线" w:cs="宋体"/>
                <w:b/>
                <w:bCs/>
                <w:kern w:val="0"/>
                <w:sz w:val="22"/>
                <w:highlight w:val="none"/>
              </w:rPr>
            </w:pPr>
            <w:r>
              <w:rPr>
                <w:rFonts w:hint="eastAsia" w:ascii="等线" w:hAnsi="等线" w:eastAsia="等线" w:cs="宋体"/>
                <w:b/>
                <w:bCs/>
                <w:kern w:val="0"/>
                <w:sz w:val="22"/>
                <w:highlight w:val="none"/>
              </w:rPr>
              <w:t>序号</w:t>
            </w:r>
          </w:p>
        </w:tc>
        <w:tc>
          <w:tcPr>
            <w:tcW w:w="2720" w:type="dxa"/>
            <w:tcBorders>
              <w:top w:val="single" w:color="auto" w:sz="4" w:space="0"/>
              <w:left w:val="nil"/>
              <w:bottom w:val="single" w:color="auto" w:sz="4" w:space="0"/>
              <w:right w:val="single" w:color="auto" w:sz="4" w:space="0"/>
            </w:tcBorders>
            <w:shd w:val="clear" w:color="000000" w:fill="FFC000"/>
            <w:noWrap/>
            <w:vAlign w:val="center"/>
          </w:tcPr>
          <w:p>
            <w:pPr>
              <w:widowControl/>
              <w:jc w:val="center"/>
              <w:rPr>
                <w:rFonts w:hint="eastAsia" w:ascii="等线" w:hAnsi="等线" w:eastAsia="等线" w:cs="宋体"/>
                <w:b/>
                <w:bCs/>
                <w:kern w:val="0"/>
                <w:sz w:val="22"/>
                <w:highlight w:val="none"/>
              </w:rPr>
            </w:pPr>
            <w:r>
              <w:rPr>
                <w:rFonts w:hint="eastAsia" w:ascii="等线" w:hAnsi="等线" w:eastAsia="等线" w:cs="宋体"/>
                <w:b/>
                <w:bCs/>
                <w:kern w:val="0"/>
                <w:sz w:val="22"/>
                <w:highlight w:val="none"/>
              </w:rPr>
              <w:t>物料名称</w:t>
            </w:r>
          </w:p>
        </w:tc>
        <w:tc>
          <w:tcPr>
            <w:tcW w:w="3839" w:type="dxa"/>
            <w:tcBorders>
              <w:top w:val="single" w:color="auto" w:sz="4" w:space="0"/>
              <w:left w:val="nil"/>
              <w:bottom w:val="single" w:color="auto" w:sz="4" w:space="0"/>
              <w:right w:val="single" w:color="auto" w:sz="4" w:space="0"/>
            </w:tcBorders>
            <w:shd w:val="clear" w:color="000000" w:fill="FFC000"/>
            <w:noWrap/>
            <w:vAlign w:val="center"/>
          </w:tcPr>
          <w:p>
            <w:pPr>
              <w:widowControl/>
              <w:jc w:val="center"/>
              <w:rPr>
                <w:rFonts w:hint="eastAsia" w:ascii="等线" w:hAnsi="等线" w:eastAsia="等线" w:cs="宋体"/>
                <w:b/>
                <w:bCs/>
                <w:kern w:val="0"/>
                <w:sz w:val="22"/>
                <w:highlight w:val="none"/>
              </w:rPr>
            </w:pPr>
            <w:r>
              <w:rPr>
                <w:rFonts w:hint="eastAsia" w:ascii="等线" w:hAnsi="等线" w:eastAsia="等线" w:cs="宋体"/>
                <w:b/>
                <w:bCs/>
                <w:kern w:val="0"/>
                <w:sz w:val="22"/>
                <w:highlight w:val="none"/>
              </w:rPr>
              <w:t>型号、规格、参数</w:t>
            </w:r>
          </w:p>
        </w:tc>
        <w:tc>
          <w:tcPr>
            <w:tcW w:w="800" w:type="dxa"/>
            <w:tcBorders>
              <w:top w:val="single" w:color="auto" w:sz="4" w:space="0"/>
              <w:left w:val="nil"/>
              <w:bottom w:val="single" w:color="auto" w:sz="4" w:space="0"/>
              <w:right w:val="single" w:color="auto" w:sz="4" w:space="0"/>
            </w:tcBorders>
            <w:shd w:val="clear" w:color="000000" w:fill="FFC000"/>
            <w:noWrap/>
            <w:vAlign w:val="center"/>
          </w:tcPr>
          <w:p>
            <w:pPr>
              <w:widowControl/>
              <w:jc w:val="center"/>
              <w:rPr>
                <w:rFonts w:hint="eastAsia" w:ascii="等线" w:hAnsi="等线" w:eastAsia="等线" w:cs="宋体"/>
                <w:b/>
                <w:bCs/>
                <w:kern w:val="0"/>
                <w:sz w:val="22"/>
                <w:highlight w:val="none"/>
              </w:rPr>
            </w:pPr>
            <w:r>
              <w:rPr>
                <w:rFonts w:hint="eastAsia" w:ascii="等线" w:hAnsi="等线" w:eastAsia="等线" w:cs="宋体"/>
                <w:b/>
                <w:bCs/>
                <w:kern w:val="0"/>
                <w:sz w:val="22"/>
                <w:highlight w:val="none"/>
              </w:rPr>
              <w:t>单位</w:t>
            </w:r>
          </w:p>
        </w:tc>
        <w:tc>
          <w:tcPr>
            <w:tcW w:w="1279" w:type="dxa"/>
            <w:tcBorders>
              <w:top w:val="single" w:color="auto" w:sz="4" w:space="0"/>
              <w:left w:val="nil"/>
              <w:bottom w:val="single" w:color="auto" w:sz="4" w:space="0"/>
              <w:right w:val="single" w:color="auto" w:sz="4" w:space="0"/>
            </w:tcBorders>
            <w:shd w:val="clear" w:color="000000" w:fill="FFC000"/>
            <w:noWrap w:val="0"/>
            <w:vAlign w:val="center"/>
          </w:tcPr>
          <w:p>
            <w:pPr>
              <w:widowControl/>
              <w:jc w:val="center"/>
              <w:rPr>
                <w:rFonts w:hint="eastAsia" w:ascii="等线" w:hAnsi="等线" w:eastAsia="等线" w:cs="宋体"/>
                <w:b/>
                <w:bCs/>
                <w:kern w:val="0"/>
                <w:sz w:val="22"/>
                <w:highlight w:val="none"/>
              </w:rPr>
            </w:pPr>
            <w:r>
              <w:rPr>
                <w:rFonts w:hint="eastAsia" w:ascii="等线" w:hAnsi="等线" w:eastAsia="等线" w:cs="宋体"/>
                <w:b/>
                <w:bCs/>
                <w:kern w:val="0"/>
                <w:sz w:val="22"/>
                <w:highlight w:val="none"/>
              </w:rPr>
              <w:t>合同期内</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1</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门导靴</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S200 黑色橡胶 L50.5mm</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2</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触点开关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K8/S8 国产</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3</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厅门钢丝绳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S200 DW900 d3 L3580中分</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根</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门传动钢丝绳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S8中分DW1100 L4675</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根</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5</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门挂板滚轮</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D60 K8/S8</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6</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厅门关闭弹簧C2/T2</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424mm（S200非玻璃厅门）</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根</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7</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触点开关AZ-06</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k200/s200</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8</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V齿传动带</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8PJ559 GB/T16588（K8轿门）</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根</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9</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触点开关RX07</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主锁 S200</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10</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手动复位行程开关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LX26-UKS</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11</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集油盒</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YF02X556</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12</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缓冲器开关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LX26-UKT</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13</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微动开关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TM-1307 PT0.4</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14</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极限开关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HD/1370</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15</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辅助触点</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SZ-A22</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16</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门导靴</w:t>
            </w:r>
          </w:p>
        </w:tc>
        <w:tc>
          <w:tcPr>
            <w:tcW w:w="3839" w:type="dxa"/>
            <w:tcBorders>
              <w:top w:val="single" w:color="auto" w:sz="4" w:space="0"/>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K8S8</w:t>
            </w:r>
            <w:r>
              <w:rPr>
                <w:rFonts w:hint="eastAsia" w:ascii="宋体" w:hAnsi="宋体" w:cs="宋体"/>
                <w:kern w:val="0"/>
                <w:sz w:val="22"/>
                <w:highlight w:val="none"/>
              </w:rPr>
              <w:t>新</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17</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对重油杯</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U</w:t>
            </w:r>
            <w:r>
              <w:rPr>
                <w:rFonts w:hint="eastAsia" w:ascii="宋体" w:hAnsi="宋体" w:cs="宋体"/>
                <w:kern w:val="0"/>
                <w:sz w:val="22"/>
                <w:highlight w:val="none"/>
              </w:rPr>
              <w:t>型</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18</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辅助触点</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LADN22C</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19</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按钮</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普通</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highlight w:val="none"/>
              </w:rPr>
            </w:pPr>
            <w:r>
              <w:rPr>
                <w:rFonts w:hint="eastAsia" w:ascii="等线" w:hAnsi="等线" w:eastAsia="等线" w:cs="宋体"/>
                <w:kern w:val="0"/>
                <w:sz w:val="22"/>
                <w:highlight w:val="none"/>
              </w:rPr>
              <w:t>20</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highlight w:val="none"/>
              </w:rPr>
            </w:pPr>
            <w:r>
              <w:rPr>
                <w:rFonts w:hint="eastAsia" w:ascii="等线" w:hAnsi="等线" w:eastAsia="等线" w:cs="宋体"/>
                <w:kern w:val="0"/>
                <w:sz w:val="22"/>
                <w:highlight w:val="none"/>
              </w:rPr>
              <w:t>底坑急停</w:t>
            </w:r>
          </w:p>
        </w:tc>
        <w:tc>
          <w:tcPr>
            <w:tcW w:w="3839"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kern w:val="0"/>
                <w:sz w:val="22"/>
                <w:highlight w:val="none"/>
              </w:rPr>
            </w:pPr>
            <w:r>
              <w:rPr>
                <w:rFonts w:hint="eastAsia" w:ascii="等线" w:hAnsi="等线" w:eastAsia="等线" w:cs="宋体"/>
                <w:kern w:val="0"/>
                <w:sz w:val="22"/>
                <w:highlight w:val="none"/>
              </w:rPr>
              <w:t>按钮型</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highlight w:val="none"/>
              </w:rPr>
            </w:pPr>
            <w:r>
              <w:rPr>
                <w:rFonts w:hint="eastAsia" w:ascii="等线" w:hAnsi="等线" w:eastAsia="等线" w:cs="宋体"/>
                <w:kern w:val="0"/>
                <w:sz w:val="22"/>
                <w:highlight w:val="none"/>
              </w:rPr>
              <w:t>21</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highlight w:val="none"/>
              </w:rPr>
            </w:pPr>
            <w:r>
              <w:rPr>
                <w:rFonts w:hint="eastAsia" w:ascii="等线" w:hAnsi="等线" w:eastAsia="等线" w:cs="宋体"/>
                <w:kern w:val="0"/>
                <w:sz w:val="22"/>
                <w:highlight w:val="none"/>
              </w:rPr>
              <w:t>底坑缓冲器开关</w:t>
            </w:r>
          </w:p>
        </w:tc>
        <w:tc>
          <w:tcPr>
            <w:tcW w:w="3839"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kern w:val="0"/>
                <w:sz w:val="22"/>
                <w:highlight w:val="none"/>
              </w:rPr>
            </w:pPr>
            <w:r>
              <w:rPr>
                <w:rFonts w:hint="eastAsia" w:ascii="等线" w:hAnsi="等线" w:eastAsia="等线" w:cs="宋体"/>
                <w:kern w:val="0"/>
                <w:sz w:val="22"/>
                <w:highlight w:val="none"/>
              </w:rPr>
              <w:t>行程开关</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highlight w:val="none"/>
              </w:rPr>
            </w:pPr>
            <w:r>
              <w:rPr>
                <w:rFonts w:hint="eastAsia" w:ascii="等线" w:hAnsi="等线" w:eastAsia="等线" w:cs="宋体"/>
                <w:kern w:val="0"/>
                <w:sz w:val="22"/>
                <w:highlight w:val="none"/>
              </w:rPr>
              <w:t>22</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highlight w:val="none"/>
              </w:rPr>
            </w:pPr>
            <w:r>
              <w:rPr>
                <w:rFonts w:hint="eastAsia" w:ascii="等线" w:hAnsi="等线" w:eastAsia="等线" w:cs="宋体"/>
                <w:kern w:val="0"/>
                <w:sz w:val="22"/>
                <w:highlight w:val="none"/>
              </w:rPr>
              <w:t>轿顶照明</w:t>
            </w:r>
          </w:p>
        </w:tc>
        <w:tc>
          <w:tcPr>
            <w:tcW w:w="3839"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kern w:val="0"/>
                <w:sz w:val="22"/>
                <w:highlight w:val="none"/>
              </w:rPr>
            </w:pPr>
            <w:r>
              <w:rPr>
                <w:rFonts w:hint="eastAsia" w:ascii="等线" w:hAnsi="等线" w:eastAsia="等线" w:cs="宋体"/>
                <w:kern w:val="0"/>
                <w:sz w:val="22"/>
                <w:highlight w:val="none"/>
              </w:rPr>
              <w:t>LED灯</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highlight w:val="none"/>
              </w:rPr>
            </w:pPr>
            <w:r>
              <w:rPr>
                <w:rFonts w:hint="eastAsia" w:ascii="等线" w:hAnsi="等线" w:eastAsia="等线" w:cs="宋体"/>
                <w:kern w:val="0"/>
                <w:sz w:val="22"/>
                <w:highlight w:val="none"/>
              </w:rPr>
              <w:t>23</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highlight w:val="none"/>
              </w:rPr>
            </w:pPr>
            <w:r>
              <w:rPr>
                <w:rFonts w:hint="eastAsia" w:ascii="等线" w:hAnsi="等线" w:eastAsia="等线" w:cs="宋体"/>
                <w:kern w:val="0"/>
                <w:sz w:val="22"/>
                <w:highlight w:val="none"/>
              </w:rPr>
              <w:t>底坑涨绳轮</w:t>
            </w:r>
          </w:p>
        </w:tc>
        <w:tc>
          <w:tcPr>
            <w:tcW w:w="3839"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kern w:val="0"/>
                <w:sz w:val="22"/>
                <w:highlight w:val="none"/>
              </w:rPr>
            </w:pPr>
            <w:r>
              <w:rPr>
                <w:rFonts w:hint="eastAsia" w:ascii="等线" w:hAnsi="等线" w:eastAsia="等线" w:cs="宋体"/>
                <w:kern w:val="0"/>
                <w:sz w:val="22"/>
                <w:highlight w:val="none"/>
              </w:rPr>
              <w:t>自动复位</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highlight w:val="none"/>
              </w:rPr>
            </w:pPr>
            <w:r>
              <w:rPr>
                <w:rFonts w:hint="eastAsia" w:ascii="等线" w:hAnsi="等线" w:eastAsia="等线" w:cs="宋体"/>
                <w:kern w:val="0"/>
                <w:sz w:val="22"/>
                <w:highlight w:val="none"/>
              </w:rPr>
              <w:t>24</w:t>
            </w:r>
          </w:p>
        </w:tc>
        <w:tc>
          <w:tcPr>
            <w:tcW w:w="2720" w:type="dxa"/>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kern w:val="0"/>
                <w:sz w:val="22"/>
                <w:highlight w:val="none"/>
              </w:rPr>
            </w:pPr>
            <w:r>
              <w:rPr>
                <w:rFonts w:hint="eastAsia" w:ascii="等线" w:hAnsi="等线" w:eastAsia="等线" w:cs="宋体"/>
                <w:kern w:val="0"/>
                <w:sz w:val="22"/>
                <w:highlight w:val="none"/>
              </w:rPr>
              <w:t>底坑照明</w:t>
            </w:r>
          </w:p>
        </w:tc>
        <w:tc>
          <w:tcPr>
            <w:tcW w:w="3839" w:type="dxa"/>
            <w:tcBorders>
              <w:top w:val="single" w:color="auto" w:sz="4" w:space="0"/>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灯管</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highlight w:val="none"/>
              </w:rPr>
            </w:pPr>
            <w:r>
              <w:rPr>
                <w:rFonts w:hint="eastAsia" w:ascii="等线" w:hAnsi="等线" w:eastAsia="等线" w:cs="宋体"/>
                <w:color w:val="000000"/>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25</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厅门重锤钢丝绳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2CM正常型号</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26</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灯</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RKL12/5E 12V 5W DERIN</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27</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辅助触点</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SZ-AS1-C</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28</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门刀锁钩</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K200/K300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29</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导轨油</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润滑</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30</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接触器</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SC-E03PN5-C AC220V</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31</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接触器</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SC-E05P-C</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32</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急停开关盒（不带线）</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XAL-J174</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33</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张紧轮开关</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S3-1375</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34</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相序</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XJ12</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35</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感应组件</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井道部件</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36</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蓄电池</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RT1270H 12V7AH 瑞达</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37</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滑动导靴</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k16带油杯</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38</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对讲机</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TK-TC12(1-1)A</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39</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开关电源</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RS-25-5 5A</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40</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接触器</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3RT6023-1AN20 AC220V</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41</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弹簧</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D12 d2 10.5 9 385.14 D SWPB</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42</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门刀锁钩</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K200/K300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43</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门锁滚轮</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D32 S200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44</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圆柱拉伸弹簧</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790*14.2*1.8 旁开S8</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根</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45</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浪涌抑制单元</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SZ-Z5</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bl>
    <w:p>
      <w:pPr>
        <w:pStyle w:val="8"/>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p>
    <w:p>
      <w:pPr>
        <w:pStyle w:val="8"/>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p>
    <w:p>
      <w:pPr>
        <w:pStyle w:val="8"/>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adjustRightInd w:val="0"/>
        <w:snapToGrid w:val="0"/>
        <w:spacing w:line="360" w:lineRule="auto"/>
        <w:ind w:right="-10" w:firstLine="562" w:firstLineChars="200"/>
        <w:rPr>
          <w:rFonts w:hint="eastAsia" w:asciiTheme="minorEastAsia" w:hAnsiTheme="minorEastAsia" w:eastAsiaTheme="minorEastAsia" w:cstheme="minorEastAsia"/>
          <w:b/>
          <w:color w:val="000000"/>
          <w:sz w:val="28"/>
          <w:szCs w:val="28"/>
          <w:highlight w:val="none"/>
        </w:rPr>
      </w:pPr>
    </w:p>
    <w:bookmarkEnd w:id="41"/>
    <w:p>
      <w:pPr>
        <w:adjustRightInd w:val="0"/>
        <w:snapToGrid w:val="0"/>
        <w:spacing w:line="360" w:lineRule="auto"/>
        <w:ind w:right="-10" w:firstLine="562" w:firstLineChars="200"/>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t>附件</w:t>
      </w:r>
      <w:r>
        <w:rPr>
          <w:rFonts w:hint="eastAsia" w:asciiTheme="minorEastAsia" w:hAnsiTheme="minorEastAsia" w:eastAsiaTheme="minorEastAsia" w:cstheme="minorEastAsia"/>
          <w:b/>
          <w:color w:val="000000"/>
          <w:sz w:val="28"/>
          <w:szCs w:val="28"/>
          <w:highlight w:val="none"/>
          <w:lang w:val="en-US" w:eastAsia="zh-CN"/>
        </w:rPr>
        <w:t>2</w:t>
      </w:r>
      <w:r>
        <w:rPr>
          <w:rFonts w:hint="eastAsia" w:asciiTheme="minorEastAsia" w:hAnsiTheme="minorEastAsia" w:eastAsiaTheme="minorEastAsia" w:cstheme="minorEastAsia"/>
          <w:b/>
          <w:color w:val="000000"/>
          <w:sz w:val="28"/>
          <w:szCs w:val="28"/>
          <w:highlight w:val="none"/>
        </w:rPr>
        <w:t>：《电梯保养作业服务内容及细则要求》</w:t>
      </w:r>
    </w:p>
    <w:p>
      <w:pPr>
        <w:widowControl/>
        <w:spacing w:line="360"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一、保养行程表</w:t>
      </w:r>
    </w:p>
    <w:p>
      <w:pPr>
        <w:widowControl/>
        <w:spacing w:line="360"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mc:AlternateContent>
          <mc:Choice Requires="wps">
            <w:drawing>
              <wp:anchor distT="0" distB="0" distL="114300" distR="114300" simplePos="0" relativeHeight="251659264" behindDoc="0" locked="0" layoutInCell="1" allowOverlap="1">
                <wp:simplePos x="0" y="0"/>
                <wp:positionH relativeFrom="column">
                  <wp:posOffset>7772400</wp:posOffset>
                </wp:positionH>
                <wp:positionV relativeFrom="paragraph">
                  <wp:posOffset>297180</wp:posOffset>
                </wp:positionV>
                <wp:extent cx="228600" cy="198120"/>
                <wp:effectExtent l="4445" t="4445" r="14605" b="6985"/>
                <wp:wrapNone/>
                <wp:docPr id="4" name="椭圆 4"/>
                <wp:cNvGraphicFramePr/>
                <a:graphic xmlns:a="http://schemas.openxmlformats.org/drawingml/2006/main">
                  <a:graphicData uri="http://schemas.microsoft.com/office/word/2010/wordprocessingShape">
                    <wps:wsp>
                      <wps:cNvSpPr/>
                      <wps:spPr>
                        <a:xfrm>
                          <a:off x="0" y="0"/>
                          <a:ext cx="228600" cy="198120"/>
                        </a:xfrm>
                        <a:prstGeom prst="ellipse">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3" type="#_x0000_t3" style="position:absolute;left:0pt;margin-left:612pt;margin-top:23.4pt;height:15.6pt;width:18pt;z-index:251659264;mso-width-relative:page;mso-height-relative:page;" fillcolor="#FFFFFF" filled="t" stroked="t" coordsize="21600,21600" o:gfxdata="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rj0GdgAAAALAQAADwAAAAAAAAABACAAAAAiAAAAZHJzL2Rvd25y&#10;ZXYueG1sUEsBAhQAFAAAAAgAh07iQDiPBDL+AQAAJAQAAA4AAAAAAAAAAQAgAAAAJwEAAGRycy9l&#10;Mm9Eb2MueG1sUEsFBgAAAAAGAAYAWQEAAJcFAAAAAA==&#10;">
                <v:fill on="t" focussize="0,0"/>
                <v:stroke color="#000000" joinstyle="round"/>
                <v:imagedata o:title=""/>
                <o:lock v:ext="edit" aspectratio="f"/>
              </v:shape>
            </w:pict>
          </mc:Fallback>
        </mc:AlternateContent>
      </w:r>
      <w:r>
        <w:rPr>
          <w:rFonts w:hint="eastAsia" w:asciiTheme="minorEastAsia" w:hAnsiTheme="minorEastAsia" w:eastAsiaTheme="minorEastAsia" w:cstheme="minorEastAsia"/>
          <w:bCs/>
          <w:sz w:val="24"/>
          <w:highlight w:val="none"/>
        </w:rPr>
        <w:t>该表为一年内各月份的主要保养范围，内容可依项目实际情况而作增加。</w:t>
      </w:r>
    </w:p>
    <w:tbl>
      <w:tblPr>
        <w:tblStyle w:val="18"/>
        <w:tblW w:w="8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520"/>
        <w:gridCol w:w="435"/>
        <w:gridCol w:w="435"/>
        <w:gridCol w:w="435"/>
        <w:gridCol w:w="435"/>
        <w:gridCol w:w="435"/>
        <w:gridCol w:w="435"/>
        <w:gridCol w:w="435"/>
        <w:gridCol w:w="435"/>
        <w:gridCol w:w="43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工作明细</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机械室</w:t>
            </w: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环境清洁</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主机马达</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偏向槽轮</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控制柜</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限速器</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齿轮油</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轿顶</w:t>
            </w: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环境清洁</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配电箱</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安全开关</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门机</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门机构、触板</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导靴、导轮</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安全钳</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钢索、钢索头</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升降路</w:t>
            </w: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运行电缆、固定电缆</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对重</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导轨、支架</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限位开关、减速开关</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jc w:val="center"/>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外门、地坎清洁</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轿厢</w:t>
            </w: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操纵箱</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警铃、对讲机</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日光灯、风扇</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底坑</w:t>
            </w: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环境清洁</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安全开关、超载开关</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张力轮、缓冲器</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乘场</w:t>
            </w: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外呼面板</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环境清洁</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Theme="minorEastAsia" w:hAnsiTheme="minorEastAsia" w:eastAsiaTheme="minorEastAsia" w:cstheme="minorEastAsia"/>
                <w:sz w:val="24"/>
                <w:highlight w:val="none"/>
              </w:rPr>
            </w:pPr>
          </w:p>
        </w:tc>
        <w:tc>
          <w:tcPr>
            <w:tcW w:w="2520"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门缝调整</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p>
        </w:tc>
        <w:tc>
          <w:tcPr>
            <w:tcW w:w="435" w:type="dxa"/>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o</w:t>
            </w:r>
          </w:p>
        </w:tc>
      </w:tr>
    </w:tbl>
    <w:p>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br w:type="page"/>
      </w:r>
    </w:p>
    <w:p>
      <w:pPr>
        <w:widowControl/>
        <w:spacing w:line="360"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二、电梯的保养项目</w:t>
      </w:r>
    </w:p>
    <w:p>
      <w:pPr>
        <w:widowControl/>
        <w:spacing w:line="360"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1、轿顶的保养</w:t>
      </w:r>
    </w:p>
    <w:tbl>
      <w:tblPr>
        <w:tblStyle w:val="18"/>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480"/>
        <w:gridCol w:w="836"/>
        <w:gridCol w:w="27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424" w:type="dxa"/>
            <w:tcBorders>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检查项目</w:t>
            </w:r>
          </w:p>
        </w:tc>
        <w:tc>
          <w:tcPr>
            <w:tcW w:w="1316" w:type="dxa"/>
            <w:gridSpan w:val="2"/>
            <w:tcBorders>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方式</w:t>
            </w:r>
          </w:p>
        </w:tc>
        <w:tc>
          <w:tcPr>
            <w:tcW w:w="2700" w:type="dxa"/>
            <w:tcBorders>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检 查 内 容</w:t>
            </w:r>
          </w:p>
        </w:tc>
        <w:tc>
          <w:tcPr>
            <w:tcW w:w="3780" w:type="dxa"/>
            <w:tcBorders>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判 定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1424" w:type="dxa"/>
            <w:tcBorders>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紧急救出口</w:t>
            </w:r>
          </w:p>
        </w:tc>
        <w:tc>
          <w:tcPr>
            <w:tcW w:w="480" w:type="dxa"/>
            <w:tcBorders>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实</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w:t>
            </w:r>
          </w:p>
        </w:tc>
        <w:tc>
          <w:tcPr>
            <w:tcW w:w="836" w:type="dxa"/>
            <w:tcBorders>
              <w:bottom w:val="single" w:color="auto" w:sz="4" w:space="0"/>
            </w:tcBorders>
            <w:noWrap w:val="0"/>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月</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次</w:t>
            </w:r>
          </w:p>
        </w:tc>
        <w:tc>
          <w:tcPr>
            <w:tcW w:w="2700" w:type="dxa"/>
            <w:tcBorders>
              <w:bottom w:val="single" w:color="auto" w:sz="4" w:space="0"/>
            </w:tcBorders>
            <w:noWrap w:val="0"/>
            <w:vAlign w:val="center"/>
          </w:tcPr>
          <w:p>
            <w:pPr>
              <w:rPr>
                <w:rFonts w:hint="eastAsia" w:asciiTheme="minorEastAsia" w:hAnsiTheme="minorEastAsia" w:eastAsiaTheme="minorEastAsia" w:cstheme="minorEastAsia"/>
                <w:sz w:val="24"/>
                <w:highlight w:val="none"/>
              </w:rPr>
            </w:pP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检查就出口的索住设施及安全开关情形。</w:t>
            </w:r>
          </w:p>
        </w:tc>
        <w:tc>
          <w:tcPr>
            <w:tcW w:w="3780" w:type="dxa"/>
            <w:tcBorders>
              <w:bottom w:val="single" w:color="auto" w:sz="4" w:space="0"/>
            </w:tcBorders>
            <w:noWrap w:val="0"/>
            <w:vAlign w:val="center"/>
          </w:tcPr>
          <w:p>
            <w:pPr>
              <w:numPr>
                <w:ilvl w:val="0"/>
                <w:numId w:val="3"/>
              </w:numPr>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救出口盖一经打开，车厢应停止升降。</w:t>
            </w:r>
          </w:p>
          <w:p>
            <w:pPr>
              <w:numPr>
                <w:ilvl w:val="0"/>
                <w:numId w:val="3"/>
              </w:numPr>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应能锁住救出口。</w:t>
            </w:r>
          </w:p>
          <w:p>
            <w:pPr>
              <w:numPr>
                <w:ilvl w:val="0"/>
                <w:numId w:val="3"/>
              </w:numPr>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救出口不亦变形。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424"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门开关装置</w:t>
            </w:r>
          </w:p>
        </w:tc>
        <w:tc>
          <w:tcPr>
            <w:tcW w:w="480"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实</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w:t>
            </w:r>
          </w:p>
        </w:tc>
        <w:tc>
          <w:tcPr>
            <w:tcW w:w="836" w:type="dxa"/>
            <w:noWrap w:val="0"/>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月</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次</w:t>
            </w:r>
          </w:p>
        </w:tc>
        <w:tc>
          <w:tcPr>
            <w:tcW w:w="2700" w:type="dxa"/>
            <w:noWrap w:val="0"/>
            <w:vAlign w:val="center"/>
          </w:tcPr>
          <w:p>
            <w:pPr>
              <w:numPr>
                <w:ilvl w:val="0"/>
                <w:numId w:val="4"/>
              </w:numPr>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检查门机构及开关、噪音、振动、润滑情形。</w:t>
            </w:r>
          </w:p>
          <w:p>
            <w:pPr>
              <w:numPr>
                <w:ilvl w:val="0"/>
                <w:numId w:val="4"/>
              </w:numPr>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检查门控制器、门马达。</w:t>
            </w:r>
          </w:p>
        </w:tc>
        <w:tc>
          <w:tcPr>
            <w:tcW w:w="3780" w:type="dxa"/>
            <w:noWrap w:val="0"/>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门开关良好，不应有噪音、振动，润滑情形良好。</w:t>
            </w:r>
          </w:p>
          <w:p>
            <w:pPr>
              <w:rPr>
                <w:rFonts w:hint="eastAsia" w:asciiTheme="minorEastAsia" w:hAnsiTheme="minorEastAsia" w:eastAsiaTheme="minorEastAsia" w:cstheme="minorEastAsia"/>
                <w:sz w:val="24"/>
                <w:highlight w:val="none"/>
              </w:rPr>
            </w:pP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机能良好且无异常发热。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24"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安全开关</w:t>
            </w:r>
          </w:p>
        </w:tc>
        <w:tc>
          <w:tcPr>
            <w:tcW w:w="480" w:type="dxa"/>
            <w:noWrap w:val="0"/>
            <w:vAlign w:val="center"/>
          </w:tcPr>
          <w:p>
            <w:pPr>
              <w:jc w:val="center"/>
              <w:rPr>
                <w:rFonts w:hint="eastAsia" w:asciiTheme="minorEastAsia" w:hAnsiTheme="minorEastAsia" w:eastAsiaTheme="minorEastAsia" w:cstheme="minorEastAsia"/>
                <w:sz w:val="24"/>
                <w:highlight w:val="none"/>
              </w:rPr>
            </w:pP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实</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w:t>
            </w:r>
          </w:p>
        </w:tc>
        <w:tc>
          <w:tcPr>
            <w:tcW w:w="836" w:type="dxa"/>
            <w:noWrap w:val="0"/>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月</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次</w:t>
            </w:r>
          </w:p>
        </w:tc>
        <w:tc>
          <w:tcPr>
            <w:tcW w:w="2700" w:type="dxa"/>
            <w:noWrap w:val="0"/>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急停、检修、安全钳</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各开关</w:t>
            </w:r>
          </w:p>
        </w:tc>
        <w:tc>
          <w:tcPr>
            <w:tcW w:w="3780" w:type="dxa"/>
            <w:noWrap w:val="0"/>
            <w:vAlign w:val="center"/>
          </w:tcPr>
          <w:p>
            <w:pPr>
              <w:rPr>
                <w:rFonts w:hint="eastAsia" w:asciiTheme="minorEastAsia" w:hAnsiTheme="minorEastAsia" w:eastAsiaTheme="minorEastAsia" w:cstheme="minorEastAsia"/>
                <w:sz w:val="24"/>
                <w:highlight w:val="none"/>
              </w:rPr>
            </w:pP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应动作可靠、灵敏。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424"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导靴、油杯</w:t>
            </w:r>
          </w:p>
        </w:tc>
        <w:tc>
          <w:tcPr>
            <w:tcW w:w="480"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目</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视</w:t>
            </w:r>
          </w:p>
        </w:tc>
        <w:tc>
          <w:tcPr>
            <w:tcW w:w="836" w:type="dxa"/>
            <w:noWrap w:val="0"/>
            <w:vAlign w:val="center"/>
          </w:tcPr>
          <w:p>
            <w:pPr>
              <w:rPr>
                <w:rFonts w:hint="eastAsia" w:asciiTheme="minorEastAsia" w:hAnsiTheme="minorEastAsia" w:eastAsiaTheme="minorEastAsia" w:cstheme="minorEastAsia"/>
                <w:sz w:val="24"/>
                <w:highlight w:val="none"/>
              </w:rPr>
            </w:pPr>
          </w:p>
        </w:tc>
        <w:tc>
          <w:tcPr>
            <w:tcW w:w="2700" w:type="dxa"/>
            <w:noWrap w:val="0"/>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检查导靴、油杯</w:t>
            </w:r>
          </w:p>
        </w:tc>
        <w:tc>
          <w:tcPr>
            <w:tcW w:w="3780" w:type="dxa"/>
            <w:noWrap w:val="0"/>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无显著磨损、裂纹和损伤，</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固定良好油量适当.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1424"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钢丝绳</w:t>
            </w:r>
          </w:p>
        </w:tc>
        <w:tc>
          <w:tcPr>
            <w:tcW w:w="480" w:type="dxa"/>
            <w:noWrap w:val="0"/>
            <w:vAlign w:val="center"/>
          </w:tcPr>
          <w:p>
            <w:pPr>
              <w:jc w:val="center"/>
              <w:rPr>
                <w:rFonts w:hint="eastAsia" w:asciiTheme="minorEastAsia" w:hAnsiTheme="minorEastAsia" w:eastAsiaTheme="minorEastAsia" w:cstheme="minorEastAsia"/>
                <w:sz w:val="24"/>
                <w:highlight w:val="none"/>
              </w:rPr>
            </w:pP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手</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w:t>
            </w:r>
          </w:p>
          <w:p>
            <w:pPr>
              <w:jc w:val="center"/>
              <w:rPr>
                <w:rFonts w:hint="eastAsia" w:asciiTheme="minorEastAsia" w:hAnsiTheme="minorEastAsia" w:eastAsiaTheme="minorEastAsia" w:cstheme="minorEastAsia"/>
                <w:sz w:val="24"/>
                <w:highlight w:val="none"/>
              </w:rPr>
            </w:pP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目</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视</w:t>
            </w:r>
          </w:p>
        </w:tc>
        <w:tc>
          <w:tcPr>
            <w:tcW w:w="836" w:type="dxa"/>
            <w:noWrap w:val="0"/>
            <w:vAlign w:val="center"/>
          </w:tcPr>
          <w:p>
            <w:pPr>
              <w:widowControl/>
              <w:jc w:val="center"/>
              <w:rPr>
                <w:rFonts w:hint="eastAsia" w:asciiTheme="minorEastAsia" w:hAnsiTheme="minorEastAsia" w:eastAsiaTheme="minorEastAsia" w:cstheme="minorEastAsia"/>
                <w:sz w:val="24"/>
                <w:highlight w:val="none"/>
              </w:rPr>
            </w:pPr>
          </w:p>
          <w:p>
            <w:pPr>
              <w:widowControl/>
              <w:jc w:val="center"/>
              <w:rPr>
                <w:rFonts w:hint="eastAsia" w:asciiTheme="minorEastAsia" w:hAnsiTheme="minorEastAsia" w:eastAsiaTheme="minorEastAsia" w:cstheme="minorEastAsia"/>
                <w:sz w:val="24"/>
                <w:highlight w:val="none"/>
              </w:rPr>
            </w:pPr>
          </w:p>
          <w:p>
            <w:pPr>
              <w:widowControl/>
              <w:jc w:val="center"/>
              <w:rPr>
                <w:rFonts w:hint="eastAsia" w:asciiTheme="minorEastAsia" w:hAnsiTheme="minorEastAsia" w:eastAsiaTheme="minorEastAsia" w:cstheme="minorEastAsia"/>
                <w:sz w:val="24"/>
                <w:highlight w:val="none"/>
              </w:rPr>
            </w:pP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月</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次</w:t>
            </w:r>
          </w:p>
        </w:tc>
        <w:tc>
          <w:tcPr>
            <w:tcW w:w="2700" w:type="dxa"/>
            <w:noWrap w:val="0"/>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（1）钢丝绳扎头</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（2）钢丝绳磨损程度</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（3）张力检查</w:t>
            </w:r>
          </w:p>
        </w:tc>
        <w:tc>
          <w:tcPr>
            <w:tcW w:w="3780" w:type="dxa"/>
            <w:noWrap w:val="0"/>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钢丝绳扎头应螺帽、开口销齐全，并帽应锁紧</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发生以下情形应更换：</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（1）出现断股</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（2）直径减少超过7％</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（3）有显著之变形、腐蚀</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（4）发生扭结</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（5）张力应均匀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424"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支架</w:t>
            </w:r>
          </w:p>
        </w:tc>
        <w:tc>
          <w:tcPr>
            <w:tcW w:w="480"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实</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w:t>
            </w:r>
          </w:p>
        </w:tc>
        <w:tc>
          <w:tcPr>
            <w:tcW w:w="836" w:type="dxa"/>
            <w:noWrap w:val="0"/>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每月</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二次</w:t>
            </w:r>
          </w:p>
        </w:tc>
        <w:tc>
          <w:tcPr>
            <w:tcW w:w="2700" w:type="dxa"/>
            <w:noWrap w:val="0"/>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固定情况</w:t>
            </w:r>
          </w:p>
        </w:tc>
        <w:tc>
          <w:tcPr>
            <w:tcW w:w="3780" w:type="dxa"/>
            <w:noWrap w:val="0"/>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所有螺栓应索紧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424"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对重</w:t>
            </w:r>
          </w:p>
        </w:tc>
        <w:tc>
          <w:tcPr>
            <w:tcW w:w="480"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实</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w:t>
            </w:r>
          </w:p>
        </w:tc>
        <w:tc>
          <w:tcPr>
            <w:tcW w:w="836" w:type="dxa"/>
            <w:noWrap w:val="0"/>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每月</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二次</w:t>
            </w:r>
          </w:p>
        </w:tc>
        <w:tc>
          <w:tcPr>
            <w:tcW w:w="2700" w:type="dxa"/>
            <w:noWrap w:val="0"/>
            <w:vAlign w:val="center"/>
          </w:tcPr>
          <w:p>
            <w:pPr>
              <w:numPr>
                <w:ilvl w:val="0"/>
                <w:numId w:val="5"/>
              </w:numPr>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压铁检查</w:t>
            </w:r>
          </w:p>
          <w:p>
            <w:pPr>
              <w:numPr>
                <w:ilvl w:val="0"/>
                <w:numId w:val="5"/>
              </w:numPr>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导靴检查</w:t>
            </w:r>
          </w:p>
        </w:tc>
        <w:tc>
          <w:tcPr>
            <w:tcW w:w="3780" w:type="dxa"/>
            <w:noWrap w:val="0"/>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有无松动，晃动、异响。</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无显著磨损，龟裂、变形、磨损。</w:t>
            </w:r>
          </w:p>
        </w:tc>
      </w:tr>
    </w:tbl>
    <w:p>
      <w:pPr>
        <w:rPr>
          <w:rFonts w:hint="eastAsia" w:asciiTheme="minorEastAsia" w:hAnsiTheme="minorEastAsia" w:eastAsiaTheme="minorEastAsia" w:cstheme="minorEastAsia"/>
          <w:sz w:val="24"/>
          <w:highlight w:val="none"/>
        </w:rPr>
      </w:pP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2、轿顶的保养</w:t>
      </w:r>
    </w:p>
    <w:tbl>
      <w:tblPr>
        <w:tblStyle w:val="18"/>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480"/>
        <w:gridCol w:w="836"/>
        <w:gridCol w:w="27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424"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检查项目</w:t>
            </w:r>
          </w:p>
        </w:tc>
        <w:tc>
          <w:tcPr>
            <w:tcW w:w="480"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方式</w:t>
            </w:r>
          </w:p>
        </w:tc>
        <w:tc>
          <w:tcPr>
            <w:tcW w:w="836"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检 查 内 容</w:t>
            </w:r>
          </w:p>
        </w:tc>
        <w:tc>
          <w:tcPr>
            <w:tcW w:w="2700"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判 定 标 准</w:t>
            </w:r>
          </w:p>
        </w:tc>
        <w:tc>
          <w:tcPr>
            <w:tcW w:w="3780"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jc w:val="center"/>
        </w:trPr>
        <w:tc>
          <w:tcPr>
            <w:tcW w:w="1424"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外门</w:t>
            </w:r>
          </w:p>
        </w:tc>
        <w:tc>
          <w:tcPr>
            <w:tcW w:w="480"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手</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w:t>
            </w:r>
          </w:p>
        </w:tc>
        <w:tc>
          <w:tcPr>
            <w:tcW w:w="836" w:type="dxa"/>
            <w:noWrap w:val="0"/>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月</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次</w:t>
            </w:r>
          </w:p>
        </w:tc>
        <w:tc>
          <w:tcPr>
            <w:tcW w:w="2700" w:type="dxa"/>
            <w:noWrap w:val="0"/>
            <w:vAlign w:val="center"/>
          </w:tcPr>
          <w:p>
            <w:pPr>
              <w:numPr>
                <w:ilvl w:val="0"/>
                <w:numId w:val="6"/>
              </w:numPr>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门连锁检查</w:t>
            </w:r>
          </w:p>
          <w:p>
            <w:pPr>
              <w:numPr>
                <w:ilvl w:val="0"/>
                <w:numId w:val="6"/>
              </w:numPr>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门滑板检查</w:t>
            </w:r>
          </w:p>
          <w:p>
            <w:pPr>
              <w:numPr>
                <w:ilvl w:val="0"/>
                <w:numId w:val="6"/>
              </w:numPr>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门悬挂系统连接检查、地坎槽检查。</w:t>
            </w:r>
          </w:p>
        </w:tc>
        <w:tc>
          <w:tcPr>
            <w:tcW w:w="3780" w:type="dxa"/>
            <w:noWrap w:val="0"/>
            <w:vAlign w:val="center"/>
          </w:tcPr>
          <w:p>
            <w:pPr>
              <w:numPr>
                <w:ilvl w:val="0"/>
                <w:numId w:val="7"/>
              </w:numPr>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动作应灵敏可靠，某一层门锁断开电梯应立即停止，触点无锈蚀、变形。</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（2）门滑道不应有油污、异物。</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（3）所有螺栓应索紧，钢丝绳张力适当，地坎槽应无异物，开门锁应灵活、有效。</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开关门应无振动、摩擦痕迹、异响。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424"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电缆</w:t>
            </w:r>
          </w:p>
        </w:tc>
        <w:tc>
          <w:tcPr>
            <w:tcW w:w="480"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目</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视</w:t>
            </w:r>
          </w:p>
        </w:tc>
        <w:tc>
          <w:tcPr>
            <w:tcW w:w="836" w:type="dxa"/>
            <w:noWrap w:val="0"/>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每月</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二次</w:t>
            </w:r>
          </w:p>
        </w:tc>
        <w:tc>
          <w:tcPr>
            <w:tcW w:w="2700" w:type="dxa"/>
            <w:noWrap w:val="0"/>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位置及电缆本身</w:t>
            </w:r>
          </w:p>
        </w:tc>
        <w:tc>
          <w:tcPr>
            <w:tcW w:w="3780" w:type="dxa"/>
            <w:noWrap w:val="0"/>
            <w:vAlign w:val="center"/>
          </w:tcPr>
          <w:p>
            <w:pPr>
              <w:rPr>
                <w:rFonts w:hint="eastAsia" w:asciiTheme="minorEastAsia" w:hAnsiTheme="minorEastAsia" w:eastAsiaTheme="minorEastAsia" w:cstheme="minorEastAsia"/>
                <w:sz w:val="24"/>
                <w:highlight w:val="none"/>
              </w:rPr>
            </w:pP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应无移位、不应有断裂、腐化。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424" w:type="dxa"/>
            <w:tcBorders>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井道各信息开关</w:t>
            </w:r>
          </w:p>
        </w:tc>
        <w:tc>
          <w:tcPr>
            <w:tcW w:w="480" w:type="dxa"/>
            <w:tcBorders>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目</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视</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实</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w:t>
            </w:r>
          </w:p>
        </w:tc>
        <w:tc>
          <w:tcPr>
            <w:tcW w:w="836" w:type="dxa"/>
            <w:tcBorders>
              <w:bottom w:val="single" w:color="auto" w:sz="4" w:space="0"/>
            </w:tcBorders>
            <w:noWrap w:val="0"/>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月</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次</w:t>
            </w:r>
          </w:p>
        </w:tc>
        <w:tc>
          <w:tcPr>
            <w:tcW w:w="2700" w:type="dxa"/>
            <w:tcBorders>
              <w:bottom w:val="single" w:color="auto" w:sz="4" w:space="0"/>
            </w:tcBorders>
            <w:noWrap w:val="0"/>
            <w:vAlign w:val="center"/>
          </w:tcPr>
          <w:p>
            <w:pPr>
              <w:numPr>
                <w:ilvl w:val="0"/>
                <w:numId w:val="8"/>
              </w:numPr>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极限、急停</w:t>
            </w:r>
          </w:p>
          <w:p>
            <w:pPr>
              <w:numPr>
                <w:ilvl w:val="0"/>
                <w:numId w:val="8"/>
              </w:numPr>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上下限位</w:t>
            </w:r>
          </w:p>
          <w:p>
            <w:pPr>
              <w:numPr>
                <w:ilvl w:val="0"/>
                <w:numId w:val="8"/>
              </w:numPr>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上下强迫减速</w:t>
            </w:r>
          </w:p>
        </w:tc>
        <w:tc>
          <w:tcPr>
            <w:tcW w:w="3780" w:type="dxa"/>
            <w:tcBorders>
              <w:bottom w:val="single" w:color="auto" w:sz="4" w:space="0"/>
            </w:tcBorders>
            <w:noWrap w:val="0"/>
            <w:vAlign w:val="center"/>
          </w:tcPr>
          <w:p>
            <w:pPr>
              <w:numPr>
                <w:ilvl w:val="0"/>
                <w:numId w:val="9"/>
              </w:numPr>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一经碰触，电梯应立即停止。</w:t>
            </w:r>
          </w:p>
          <w:p>
            <w:pPr>
              <w:numPr>
                <w:ilvl w:val="0"/>
                <w:numId w:val="9"/>
              </w:numPr>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上限位开关一经碰触，电梯应停止上行。</w:t>
            </w:r>
          </w:p>
          <w:p>
            <w:pPr>
              <w:numPr>
                <w:ilvl w:val="0"/>
                <w:numId w:val="9"/>
              </w:numPr>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一经碰触电梯应慢速行驶。</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开关盒至撞弓间距为8－10MM。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424" w:type="dxa"/>
            <w:tcBorders>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隔磁板</w:t>
            </w:r>
          </w:p>
        </w:tc>
        <w:tc>
          <w:tcPr>
            <w:tcW w:w="480" w:type="dxa"/>
            <w:tcBorders>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目</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视</w:t>
            </w:r>
          </w:p>
        </w:tc>
        <w:tc>
          <w:tcPr>
            <w:tcW w:w="836" w:type="dxa"/>
            <w:tcBorders>
              <w:bottom w:val="single" w:color="auto" w:sz="4" w:space="0"/>
            </w:tcBorders>
            <w:noWrap w:val="0"/>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每月</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二次</w:t>
            </w:r>
          </w:p>
        </w:tc>
        <w:tc>
          <w:tcPr>
            <w:tcW w:w="2700" w:type="dxa"/>
            <w:tcBorders>
              <w:bottom w:val="single" w:color="auto" w:sz="4" w:space="0"/>
            </w:tcBorders>
            <w:noWrap w:val="0"/>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（1）固定情况</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（2）间距</w:t>
            </w:r>
          </w:p>
        </w:tc>
        <w:tc>
          <w:tcPr>
            <w:tcW w:w="3780" w:type="dxa"/>
            <w:tcBorders>
              <w:bottom w:val="single" w:color="auto" w:sz="4" w:space="0"/>
            </w:tcBorders>
            <w:noWrap w:val="0"/>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（1）螺栓应紧固</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（2）应分中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424" w:type="dxa"/>
            <w:tcBorders>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配电盘</w:t>
            </w:r>
          </w:p>
        </w:tc>
        <w:tc>
          <w:tcPr>
            <w:tcW w:w="480" w:type="dxa"/>
            <w:tcBorders>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目</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视</w:t>
            </w:r>
          </w:p>
        </w:tc>
        <w:tc>
          <w:tcPr>
            <w:tcW w:w="836" w:type="dxa"/>
            <w:tcBorders>
              <w:bottom w:val="single" w:color="auto" w:sz="4" w:space="0"/>
            </w:tcBorders>
            <w:noWrap w:val="0"/>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每月</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二次</w:t>
            </w:r>
          </w:p>
        </w:tc>
        <w:tc>
          <w:tcPr>
            <w:tcW w:w="2700" w:type="dxa"/>
            <w:tcBorders>
              <w:bottom w:val="single" w:color="auto" w:sz="4" w:space="0"/>
            </w:tcBorders>
            <w:noWrap w:val="0"/>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配线检查</w:t>
            </w:r>
          </w:p>
        </w:tc>
        <w:tc>
          <w:tcPr>
            <w:tcW w:w="3780" w:type="dxa"/>
            <w:tcBorders>
              <w:bottom w:val="single" w:color="auto" w:sz="4" w:space="0"/>
            </w:tcBorders>
            <w:noWrap w:val="0"/>
            <w:vAlign w:val="center"/>
          </w:tcPr>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应排列整齐，固定良好，接点确实。</w:t>
            </w:r>
          </w:p>
        </w:tc>
      </w:tr>
    </w:tbl>
    <w:p>
      <w:pPr>
        <w:ind w:right="-109" w:rightChars="-52"/>
        <w:rPr>
          <w:rFonts w:hint="eastAsia" w:asciiTheme="minorEastAsia" w:hAnsiTheme="minorEastAsia" w:eastAsiaTheme="minorEastAsia" w:cstheme="minorEastAsia"/>
          <w:sz w:val="24"/>
          <w:highlight w:val="none"/>
        </w:rPr>
      </w:pP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3、轿厢、外呼及底坑的保养</w:t>
      </w:r>
    </w:p>
    <w:tbl>
      <w:tblPr>
        <w:tblStyle w:val="18"/>
        <w:tblW w:w="9278"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495"/>
        <w:gridCol w:w="825"/>
        <w:gridCol w:w="2685"/>
        <w:gridCol w:w="3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top"/>
          </w:tcPr>
          <w:p>
            <w:pPr>
              <w:ind w:right="-109" w:rightChars="-52"/>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检查项目</w:t>
            </w:r>
          </w:p>
        </w:tc>
        <w:tc>
          <w:tcPr>
            <w:tcW w:w="1320" w:type="dxa"/>
            <w:gridSpan w:val="2"/>
            <w:noWrap w:val="0"/>
            <w:vAlign w:val="top"/>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方式</w:t>
            </w:r>
          </w:p>
        </w:tc>
        <w:tc>
          <w:tcPr>
            <w:tcW w:w="2685" w:type="dxa"/>
            <w:noWrap w:val="0"/>
            <w:vAlign w:val="top"/>
          </w:tcPr>
          <w:p>
            <w:pPr>
              <w:ind w:right="-109" w:rightChars="-52"/>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检查内容</w:t>
            </w:r>
          </w:p>
        </w:tc>
        <w:tc>
          <w:tcPr>
            <w:tcW w:w="3848" w:type="dxa"/>
            <w:noWrap w:val="0"/>
            <w:vAlign w:val="top"/>
          </w:tcPr>
          <w:p>
            <w:pPr>
              <w:ind w:right="-109" w:rightChars="-52"/>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9" w:hRule="atLeast"/>
        </w:trPr>
        <w:tc>
          <w:tcPr>
            <w:tcW w:w="1425" w:type="dxa"/>
            <w:tcBorders>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轿厢及周壁</w:t>
            </w:r>
          </w:p>
        </w:tc>
        <w:tc>
          <w:tcPr>
            <w:tcW w:w="495" w:type="dxa"/>
            <w:tcBorders>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目</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视</w:t>
            </w:r>
          </w:p>
        </w:tc>
        <w:tc>
          <w:tcPr>
            <w:tcW w:w="825" w:type="dxa"/>
            <w:tcBorders>
              <w:bottom w:val="single" w:color="auto" w:sz="4" w:space="0"/>
            </w:tcBorders>
            <w:noWrap w:val="0"/>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月</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次</w:t>
            </w:r>
          </w:p>
        </w:tc>
        <w:tc>
          <w:tcPr>
            <w:tcW w:w="2685" w:type="dxa"/>
            <w:tcBorders>
              <w:bottom w:val="single" w:color="auto" w:sz="4" w:space="0"/>
            </w:tcBorders>
            <w:noWrap w:val="0"/>
            <w:vAlign w:val="center"/>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1：主要结构</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2：两坎间隙</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3：通讯、照明、应急照明、通风及运行噪音。</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4：操作说明</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5：紧急联络说明</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6：载重量、保修单位及合格证</w:t>
            </w:r>
          </w:p>
        </w:tc>
        <w:tc>
          <w:tcPr>
            <w:tcW w:w="3848" w:type="dxa"/>
            <w:tcBorders>
              <w:bottom w:val="single" w:color="auto" w:sz="4" w:space="0"/>
            </w:tcBorders>
            <w:noWrap w:val="0"/>
            <w:vAlign w:val="center"/>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不应以易燃材料围堵轿壁，吊顶应安装牢固。</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间隙应在3CM＋3MM之内。</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对讲机、应急灯应工作正常，通风机照明情况应良好。</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电梯运行时应无异常噪音。</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操作说明应清楚易懂，应贴于易见之处。</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应详细清楚应贴于易见之处。</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内容应确实，应贴于易见之处。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25"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轿门系统</w:t>
            </w:r>
          </w:p>
        </w:tc>
        <w:tc>
          <w:tcPr>
            <w:tcW w:w="495"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实</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w:t>
            </w:r>
          </w:p>
        </w:tc>
        <w:tc>
          <w:tcPr>
            <w:tcW w:w="825" w:type="dxa"/>
            <w:noWrap w:val="0"/>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每月</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二次</w:t>
            </w:r>
          </w:p>
        </w:tc>
        <w:tc>
          <w:tcPr>
            <w:tcW w:w="2685" w:type="dxa"/>
            <w:noWrap w:val="0"/>
            <w:vAlign w:val="center"/>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1：安全触板、光幕</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2：轿门尺寸</w:t>
            </w:r>
          </w:p>
        </w:tc>
        <w:tc>
          <w:tcPr>
            <w:tcW w:w="3848" w:type="dxa"/>
            <w:noWrap w:val="0"/>
            <w:vAlign w:val="center"/>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应灵活有效，开关门无噪声。</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与门套间隙＋－5MM，中缝不大于4MM。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1425"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（3）底坑</w:t>
            </w:r>
          </w:p>
        </w:tc>
        <w:tc>
          <w:tcPr>
            <w:tcW w:w="495" w:type="dxa"/>
            <w:noWrap w:val="0"/>
            <w:vAlign w:val="center"/>
          </w:tcPr>
          <w:p>
            <w:pPr>
              <w:jc w:val="center"/>
              <w:rPr>
                <w:rFonts w:hint="eastAsia" w:asciiTheme="minorEastAsia" w:hAnsiTheme="minorEastAsia" w:eastAsiaTheme="minorEastAsia" w:cstheme="minorEastAsia"/>
                <w:sz w:val="24"/>
                <w:highlight w:val="none"/>
              </w:rPr>
            </w:pPr>
          </w:p>
          <w:p>
            <w:pPr>
              <w:jc w:val="center"/>
              <w:rPr>
                <w:rFonts w:hint="eastAsia" w:asciiTheme="minorEastAsia" w:hAnsiTheme="minorEastAsia" w:eastAsiaTheme="minorEastAsia" w:cstheme="minorEastAsia"/>
                <w:sz w:val="24"/>
                <w:highlight w:val="none"/>
              </w:rPr>
            </w:pP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实</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w:t>
            </w:r>
          </w:p>
        </w:tc>
        <w:tc>
          <w:tcPr>
            <w:tcW w:w="825" w:type="dxa"/>
            <w:noWrap w:val="0"/>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月</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次</w:t>
            </w:r>
          </w:p>
        </w:tc>
        <w:tc>
          <w:tcPr>
            <w:tcW w:w="2685" w:type="dxa"/>
            <w:noWrap w:val="0"/>
            <w:vAlign w:val="center"/>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1：安全开关</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2：照明</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3：安全距离</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4：底坑地面</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5：张力轮</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6：补偿链</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7：缓冲器</w:t>
            </w:r>
          </w:p>
        </w:tc>
        <w:tc>
          <w:tcPr>
            <w:tcW w:w="3848" w:type="dxa"/>
            <w:noWrap w:val="0"/>
            <w:vAlign w:val="center"/>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1：各安全开关应动作可靠，一经碰触电梯应立即停止。</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2；应为36V，100米烛光以上。</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3：底坑深度应符合规范，电梯首层平层时，轿厢缓冲距离；油压式为150－400MM；弹簧式为200－350MM。</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电梯顶层平层时，对重缓冲距离；油压式为150－400MM，弹簧式为200－350MM</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4：底坑地面应无漏水、油污，防护栏安装适当。</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5：张力轮运行时应无噪音，与地面距离不小于300MM。</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6：应牢固，无扭曲与地面距离不小于150MM。</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7：应无锈蚀，复位时间符合要求，油量适当。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25"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外呼面板及显示器</w:t>
            </w:r>
          </w:p>
        </w:tc>
        <w:tc>
          <w:tcPr>
            <w:tcW w:w="495" w:type="dxa"/>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目</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视</w:t>
            </w:r>
          </w:p>
        </w:tc>
        <w:tc>
          <w:tcPr>
            <w:tcW w:w="825" w:type="dxa"/>
            <w:noWrap w:val="0"/>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每月</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二次</w:t>
            </w:r>
          </w:p>
        </w:tc>
        <w:tc>
          <w:tcPr>
            <w:tcW w:w="2685" w:type="dxa"/>
            <w:noWrap w:val="0"/>
            <w:vAlign w:val="center"/>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1：呼梯按钮</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2：显示面板</w:t>
            </w:r>
          </w:p>
        </w:tc>
        <w:tc>
          <w:tcPr>
            <w:tcW w:w="3848" w:type="dxa"/>
            <w:noWrap w:val="0"/>
            <w:vAlign w:val="center"/>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1；动作灵活、有效，无损伤。</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2：显示正确，无损伤。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25" w:type="dxa"/>
            <w:tcBorders>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厅门</w:t>
            </w:r>
          </w:p>
        </w:tc>
        <w:tc>
          <w:tcPr>
            <w:tcW w:w="495" w:type="dxa"/>
            <w:tcBorders>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实</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测</w:t>
            </w:r>
          </w:p>
        </w:tc>
        <w:tc>
          <w:tcPr>
            <w:tcW w:w="825" w:type="dxa"/>
            <w:tcBorders>
              <w:bottom w:val="single" w:color="auto" w:sz="4" w:space="0"/>
            </w:tcBorders>
            <w:noWrap w:val="0"/>
            <w:vAlign w:val="center"/>
          </w:tcPr>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每月</w:t>
            </w:r>
          </w:p>
          <w:p>
            <w:pPr>
              <w:widowControl/>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二次</w:t>
            </w:r>
          </w:p>
        </w:tc>
        <w:tc>
          <w:tcPr>
            <w:tcW w:w="2685" w:type="dxa"/>
            <w:tcBorders>
              <w:bottom w:val="single" w:color="auto" w:sz="4" w:space="0"/>
            </w:tcBorders>
            <w:noWrap w:val="0"/>
            <w:vAlign w:val="center"/>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1：紧急开门装置</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2：机械锁</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3：门间隙</w:t>
            </w:r>
          </w:p>
        </w:tc>
        <w:tc>
          <w:tcPr>
            <w:tcW w:w="3848" w:type="dxa"/>
            <w:tcBorders>
              <w:bottom w:val="single" w:color="auto" w:sz="4" w:space="0"/>
            </w:tcBorders>
            <w:noWrap w:val="0"/>
            <w:vAlign w:val="center"/>
          </w:tcPr>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1：应用三角钥匙才能开门。</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2：动作良好。</w:t>
            </w:r>
          </w:p>
          <w:p>
            <w:pPr>
              <w:ind w:right="-109" w:rightChars="-5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3：间隙为5MM左右。</w:t>
            </w:r>
          </w:p>
        </w:tc>
      </w:tr>
    </w:tbl>
    <w:p>
      <w:pPr>
        <w:ind w:right="-109" w:rightChars="-52" w:firstLine="480" w:firstLineChars="200"/>
        <w:rPr>
          <w:rFonts w:hint="eastAsia" w:asciiTheme="minorEastAsia" w:hAnsiTheme="minorEastAsia" w:eastAsiaTheme="minorEastAsia" w:cstheme="minorEastAsia"/>
          <w:sz w:val="24"/>
          <w:highlight w:val="none"/>
        </w:rPr>
      </w:pPr>
    </w:p>
    <w:p>
      <w:pPr>
        <w:ind w:right="-109" w:rightChars="-52"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4、电梯的定期保养项目</w:t>
      </w:r>
    </w:p>
    <w:tbl>
      <w:tblPr>
        <w:tblStyle w:val="18"/>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2688"/>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092" w:type="dxa"/>
            <w:tcBorders>
              <w:top w:val="single" w:color="auto" w:sz="4" w:space="0"/>
              <w:left w:val="single" w:color="auto" w:sz="4" w:space="0"/>
              <w:bottom w:val="single" w:color="auto" w:sz="4" w:space="0"/>
              <w:right w:val="nil"/>
            </w:tcBorders>
            <w:noWrap w:val="0"/>
            <w:vAlign w:val="center"/>
          </w:tcPr>
          <w:p>
            <w:pPr>
              <w:ind w:right="-109" w:rightChars="-52"/>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位置</w:t>
            </w:r>
          </w:p>
        </w:tc>
        <w:tc>
          <w:tcPr>
            <w:tcW w:w="2688" w:type="dxa"/>
            <w:tcBorders>
              <w:top w:val="single" w:color="auto" w:sz="4" w:space="0"/>
              <w:left w:val="single" w:color="auto" w:sz="4" w:space="0"/>
              <w:bottom w:val="single" w:color="auto" w:sz="4" w:space="0"/>
              <w:right w:val="nil"/>
            </w:tcBorders>
            <w:noWrap w:val="0"/>
            <w:vAlign w:val="center"/>
          </w:tcPr>
          <w:p>
            <w:pPr>
              <w:ind w:right="-109" w:rightChars="-52"/>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ind w:left="2" w:leftChars="-85" w:right="-109" w:rightChars="-52" w:hanging="180" w:hangingChars="75"/>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周期</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ind w:right="-109" w:rightChars="-52"/>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92" w:type="dxa"/>
            <w:vMerge w:val="restart"/>
            <w:tcBorders>
              <w:top w:val="single" w:color="auto" w:sz="4" w:space="0"/>
              <w:left w:val="single" w:color="auto" w:sz="4" w:space="0"/>
              <w:right w:val="nil"/>
            </w:tcBorders>
            <w:noWrap w:val="0"/>
            <w:vAlign w:val="center"/>
          </w:tcPr>
          <w:p>
            <w:pPr>
              <w:ind w:right="-109" w:rightChars="-52"/>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p>
            <w:pPr>
              <w:ind w:right="-109" w:rightChars="-52"/>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机</w:t>
            </w:r>
          </w:p>
          <w:p>
            <w:pPr>
              <w:ind w:right="-109" w:rightChars="-52"/>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房</w:t>
            </w:r>
          </w:p>
        </w:tc>
        <w:tc>
          <w:tcPr>
            <w:tcW w:w="2688" w:type="dxa"/>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曳引轮垂直度校正</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12个月／次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0＋2－0毫米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92" w:type="dxa"/>
            <w:vMerge w:val="continue"/>
            <w:tcBorders>
              <w:left w:val="single" w:color="auto" w:sz="4" w:space="0"/>
              <w:right w:val="nil"/>
            </w:tcBorders>
            <w:noWrap w:val="0"/>
            <w:vAlign w:val="center"/>
          </w:tcPr>
          <w:p>
            <w:pPr>
              <w:ind w:right="-109" w:rightChars="-52"/>
              <w:jc w:val="center"/>
              <w:rPr>
                <w:rFonts w:hint="eastAsia" w:asciiTheme="minorEastAsia" w:hAnsiTheme="minorEastAsia" w:eastAsiaTheme="minorEastAsia" w:cstheme="minorEastAsia"/>
                <w:sz w:val="24"/>
                <w:highlight w:val="none"/>
              </w:rPr>
            </w:pPr>
          </w:p>
        </w:tc>
        <w:tc>
          <w:tcPr>
            <w:tcW w:w="2688" w:type="dxa"/>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导向轮垂直度校正</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12个月／次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0±1.5毫米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092" w:type="dxa"/>
            <w:vMerge w:val="continue"/>
            <w:tcBorders>
              <w:left w:val="single" w:color="auto" w:sz="4" w:space="0"/>
              <w:right w:val="nil"/>
            </w:tcBorders>
            <w:noWrap w:val="0"/>
            <w:vAlign w:val="center"/>
          </w:tcPr>
          <w:p>
            <w:pPr>
              <w:ind w:right="-109" w:rightChars="-52"/>
              <w:jc w:val="center"/>
              <w:rPr>
                <w:rFonts w:hint="eastAsia" w:asciiTheme="minorEastAsia" w:hAnsiTheme="minorEastAsia" w:eastAsiaTheme="minorEastAsia" w:cstheme="minorEastAsia"/>
                <w:sz w:val="24"/>
                <w:highlight w:val="none"/>
              </w:rPr>
            </w:pPr>
          </w:p>
        </w:tc>
        <w:tc>
          <w:tcPr>
            <w:tcW w:w="2688" w:type="dxa"/>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导向轮与曳引轮平行度校正</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12个月／次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误差≤1毫米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92" w:type="dxa"/>
            <w:vMerge w:val="continue"/>
            <w:tcBorders>
              <w:left w:val="single" w:color="auto" w:sz="4" w:space="0"/>
              <w:right w:val="nil"/>
            </w:tcBorders>
            <w:noWrap w:val="0"/>
            <w:vAlign w:val="center"/>
          </w:tcPr>
          <w:p>
            <w:pPr>
              <w:ind w:right="-109" w:rightChars="-52"/>
              <w:jc w:val="center"/>
              <w:rPr>
                <w:rFonts w:hint="eastAsia" w:asciiTheme="minorEastAsia" w:hAnsiTheme="minorEastAsia" w:eastAsiaTheme="minorEastAsia" w:cstheme="minorEastAsia"/>
                <w:sz w:val="24"/>
                <w:highlight w:val="none"/>
              </w:rPr>
            </w:pPr>
          </w:p>
        </w:tc>
        <w:tc>
          <w:tcPr>
            <w:tcW w:w="2688" w:type="dxa"/>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制动器拆洗</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12个月／次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092" w:type="dxa"/>
            <w:vMerge w:val="continue"/>
            <w:tcBorders>
              <w:left w:val="single" w:color="auto" w:sz="4" w:space="0"/>
              <w:right w:val="nil"/>
            </w:tcBorders>
            <w:noWrap w:val="0"/>
            <w:vAlign w:val="center"/>
          </w:tcPr>
          <w:p>
            <w:pPr>
              <w:ind w:right="-109" w:rightChars="-52"/>
              <w:jc w:val="center"/>
              <w:rPr>
                <w:rFonts w:hint="eastAsia" w:asciiTheme="minorEastAsia" w:hAnsiTheme="minorEastAsia" w:eastAsiaTheme="minorEastAsia" w:cstheme="minorEastAsia"/>
                <w:sz w:val="24"/>
                <w:highlight w:val="none"/>
              </w:rPr>
            </w:pPr>
          </w:p>
        </w:tc>
        <w:tc>
          <w:tcPr>
            <w:tcW w:w="2688" w:type="dxa"/>
            <w:tcBorders>
              <w:top w:val="single" w:color="auto" w:sz="4" w:space="0"/>
              <w:left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钢丝绳平层标志刷新</w:t>
            </w:r>
          </w:p>
        </w:tc>
        <w:tc>
          <w:tcPr>
            <w:tcW w:w="2340" w:type="dxa"/>
            <w:tcBorders>
              <w:top w:val="single" w:color="auto" w:sz="4" w:space="0"/>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12个月／次</w:t>
            </w:r>
          </w:p>
        </w:tc>
        <w:tc>
          <w:tcPr>
            <w:tcW w:w="2700" w:type="dxa"/>
            <w:tcBorders>
              <w:top w:val="single" w:color="auto" w:sz="4" w:space="0"/>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红漆或黄漆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2" w:type="dxa"/>
            <w:vMerge w:val="restart"/>
            <w:tcBorders>
              <w:left w:val="single" w:color="auto" w:sz="4" w:space="0"/>
              <w:right w:val="nil"/>
            </w:tcBorders>
            <w:noWrap w:val="0"/>
            <w:vAlign w:val="center"/>
          </w:tcPr>
          <w:p>
            <w:pPr>
              <w:ind w:right="-109" w:rightChars="-52"/>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p>
            <w:pPr>
              <w:ind w:right="-109" w:rightChars="-52"/>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轿</w:t>
            </w:r>
          </w:p>
          <w:p>
            <w:pPr>
              <w:ind w:right="-109" w:rightChars="-52"/>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厢</w:t>
            </w:r>
          </w:p>
        </w:tc>
        <w:tc>
          <w:tcPr>
            <w:tcW w:w="2688" w:type="dxa"/>
            <w:tcBorders>
              <w:top w:val="single" w:color="auto" w:sz="4" w:space="0"/>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载荷校正</w:t>
            </w:r>
          </w:p>
        </w:tc>
        <w:tc>
          <w:tcPr>
            <w:tcW w:w="2340" w:type="dxa"/>
            <w:tcBorders>
              <w:top w:val="single" w:color="auto" w:sz="4" w:space="0"/>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12个月／次</w:t>
            </w:r>
          </w:p>
        </w:tc>
        <w:tc>
          <w:tcPr>
            <w:tcW w:w="2700" w:type="dxa"/>
            <w:tcBorders>
              <w:top w:val="single" w:color="auto" w:sz="4" w:space="0"/>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砝码校正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2" w:type="dxa"/>
            <w:vMerge w:val="continue"/>
            <w:tcBorders>
              <w:left w:val="single" w:color="auto" w:sz="4" w:space="0"/>
              <w:right w:val="single" w:color="auto" w:sz="4" w:space="0"/>
            </w:tcBorders>
            <w:noWrap w:val="0"/>
            <w:vAlign w:val="center"/>
          </w:tcPr>
          <w:p>
            <w:pPr>
              <w:ind w:right="-109" w:rightChars="-52"/>
              <w:jc w:val="center"/>
              <w:rPr>
                <w:rFonts w:hint="eastAsia" w:asciiTheme="minorEastAsia" w:hAnsiTheme="minorEastAsia" w:eastAsiaTheme="minorEastAsia" w:cstheme="minorEastAsia"/>
                <w:sz w:val="24"/>
                <w:highlight w:val="none"/>
              </w:rPr>
            </w:pPr>
          </w:p>
        </w:tc>
        <w:tc>
          <w:tcPr>
            <w:tcW w:w="2688" w:type="dxa"/>
            <w:tcBorders>
              <w:top w:val="single" w:color="auto" w:sz="4" w:space="0"/>
              <w:left w:val="single" w:color="auto" w:sz="4" w:space="0"/>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轿厢垂直校正</w:t>
            </w:r>
          </w:p>
        </w:tc>
        <w:tc>
          <w:tcPr>
            <w:tcW w:w="234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12个月／次</w:t>
            </w:r>
          </w:p>
        </w:tc>
        <w:tc>
          <w:tcPr>
            <w:tcW w:w="270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2" w:type="dxa"/>
            <w:vMerge w:val="continue"/>
            <w:tcBorders>
              <w:left w:val="single" w:color="auto" w:sz="4" w:space="0"/>
              <w:right w:val="single" w:color="auto" w:sz="4" w:space="0"/>
            </w:tcBorders>
            <w:noWrap w:val="0"/>
            <w:vAlign w:val="center"/>
          </w:tcPr>
          <w:p>
            <w:pPr>
              <w:ind w:right="-109" w:rightChars="-52"/>
              <w:jc w:val="center"/>
              <w:rPr>
                <w:rFonts w:hint="eastAsia" w:asciiTheme="minorEastAsia" w:hAnsiTheme="minorEastAsia" w:eastAsiaTheme="minorEastAsia" w:cstheme="minorEastAsia"/>
                <w:sz w:val="24"/>
                <w:highlight w:val="none"/>
              </w:rPr>
            </w:pPr>
          </w:p>
        </w:tc>
        <w:tc>
          <w:tcPr>
            <w:tcW w:w="2688" w:type="dxa"/>
            <w:tcBorders>
              <w:top w:val="single" w:color="auto" w:sz="4" w:space="0"/>
              <w:left w:val="single" w:color="auto" w:sz="4" w:space="0"/>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安全钳拆洗调整</w:t>
            </w:r>
          </w:p>
        </w:tc>
        <w:tc>
          <w:tcPr>
            <w:tcW w:w="234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12个月／次</w:t>
            </w:r>
          </w:p>
        </w:tc>
        <w:tc>
          <w:tcPr>
            <w:tcW w:w="270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煤油清洗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2" w:type="dxa"/>
            <w:vMerge w:val="continue"/>
            <w:tcBorders>
              <w:left w:val="single" w:color="auto" w:sz="4" w:space="0"/>
              <w:bottom w:val="single" w:color="auto" w:sz="4" w:space="0"/>
              <w:right w:val="single" w:color="auto" w:sz="4" w:space="0"/>
            </w:tcBorders>
            <w:noWrap w:val="0"/>
            <w:vAlign w:val="center"/>
          </w:tcPr>
          <w:p>
            <w:pPr>
              <w:ind w:right="-109" w:rightChars="-52"/>
              <w:jc w:val="center"/>
              <w:rPr>
                <w:rFonts w:hint="eastAsia" w:asciiTheme="minorEastAsia" w:hAnsiTheme="minorEastAsia" w:eastAsiaTheme="minorEastAsia" w:cstheme="minorEastAsia"/>
                <w:sz w:val="24"/>
                <w:highlight w:val="none"/>
              </w:rPr>
            </w:pPr>
          </w:p>
        </w:tc>
        <w:tc>
          <w:tcPr>
            <w:tcW w:w="2688" w:type="dxa"/>
            <w:tcBorders>
              <w:top w:val="single" w:color="auto" w:sz="4" w:space="0"/>
              <w:left w:val="single" w:color="auto" w:sz="4" w:space="0"/>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启动舒适感调整</w:t>
            </w:r>
          </w:p>
        </w:tc>
        <w:tc>
          <w:tcPr>
            <w:tcW w:w="234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12个月／次</w:t>
            </w:r>
          </w:p>
        </w:tc>
        <w:tc>
          <w:tcPr>
            <w:tcW w:w="270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92" w:type="dxa"/>
            <w:vMerge w:val="restart"/>
            <w:tcBorders>
              <w:left w:val="single" w:color="auto" w:sz="4" w:space="0"/>
              <w:right w:val="single" w:color="auto" w:sz="4" w:space="0"/>
            </w:tcBorders>
            <w:noWrap w:val="0"/>
            <w:vAlign w:val="center"/>
          </w:tcPr>
          <w:p>
            <w:pPr>
              <w:ind w:right="-109" w:rightChars="-52"/>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p>
            <w:pPr>
              <w:ind w:right="-109" w:rightChars="-52"/>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井</w:t>
            </w:r>
          </w:p>
          <w:p>
            <w:pPr>
              <w:ind w:right="-109" w:rightChars="-52"/>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道</w:t>
            </w:r>
          </w:p>
        </w:tc>
        <w:tc>
          <w:tcPr>
            <w:tcW w:w="2688" w:type="dxa"/>
            <w:tcBorders>
              <w:top w:val="single" w:color="auto" w:sz="4" w:space="0"/>
              <w:lef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缓冲器复位试验</w:t>
            </w:r>
          </w:p>
        </w:tc>
        <w:tc>
          <w:tcPr>
            <w:tcW w:w="2340" w:type="dxa"/>
            <w:tcBorders>
              <w:top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12个月／次</w:t>
            </w:r>
          </w:p>
        </w:tc>
        <w:tc>
          <w:tcPr>
            <w:tcW w:w="2700" w:type="dxa"/>
            <w:tcBorders>
              <w:top w:val="single" w:color="auto" w:sz="4" w:space="0"/>
              <w:lef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复位时间＜120S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92" w:type="dxa"/>
            <w:vMerge w:val="continue"/>
            <w:tcBorders>
              <w:left w:val="single" w:color="auto" w:sz="4" w:space="0"/>
              <w:right w:val="single" w:color="auto" w:sz="4" w:space="0"/>
            </w:tcBorders>
            <w:noWrap w:val="0"/>
            <w:vAlign w:val="top"/>
          </w:tcPr>
          <w:p>
            <w:pPr>
              <w:ind w:right="-109" w:rightChars="-52"/>
              <w:rPr>
                <w:rFonts w:hint="eastAsia" w:asciiTheme="minorEastAsia" w:hAnsiTheme="minorEastAsia" w:eastAsiaTheme="minorEastAsia" w:cstheme="minorEastAsia"/>
                <w:sz w:val="24"/>
                <w:highlight w:val="none"/>
              </w:rPr>
            </w:pPr>
          </w:p>
        </w:tc>
        <w:tc>
          <w:tcPr>
            <w:tcW w:w="2688" w:type="dxa"/>
            <w:tcBorders>
              <w:top w:val="single" w:color="auto" w:sz="4" w:space="0"/>
              <w:left w:val="single" w:color="auto" w:sz="4" w:space="0"/>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曳引钢丝绳伸长测量</w:t>
            </w:r>
          </w:p>
        </w:tc>
        <w:tc>
          <w:tcPr>
            <w:tcW w:w="234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12个月／次</w:t>
            </w:r>
          </w:p>
        </w:tc>
        <w:tc>
          <w:tcPr>
            <w:tcW w:w="270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pacing w:val="-20"/>
                <w:sz w:val="24"/>
                <w:highlight w:val="none"/>
              </w:rPr>
            </w:pPr>
            <w:r>
              <w:rPr>
                <w:rFonts w:hint="eastAsia" w:asciiTheme="minorEastAsia" w:hAnsiTheme="minorEastAsia" w:eastAsiaTheme="minorEastAsia" w:cstheme="minorEastAsia"/>
                <w:spacing w:val="-20"/>
                <w:sz w:val="24"/>
                <w:highlight w:val="none"/>
              </w:rPr>
              <w:t>缓冲行程超标给与截断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92" w:type="dxa"/>
            <w:vMerge w:val="continue"/>
            <w:tcBorders>
              <w:left w:val="single" w:color="auto" w:sz="4" w:space="0"/>
              <w:right w:val="single" w:color="auto" w:sz="4" w:space="0"/>
            </w:tcBorders>
            <w:noWrap w:val="0"/>
            <w:vAlign w:val="top"/>
          </w:tcPr>
          <w:p>
            <w:pPr>
              <w:ind w:right="-109" w:rightChars="-52"/>
              <w:rPr>
                <w:rFonts w:hint="eastAsia" w:asciiTheme="minorEastAsia" w:hAnsiTheme="minorEastAsia" w:eastAsiaTheme="minorEastAsia" w:cstheme="minorEastAsia"/>
                <w:sz w:val="24"/>
                <w:highlight w:val="none"/>
              </w:rPr>
            </w:pPr>
          </w:p>
        </w:tc>
        <w:tc>
          <w:tcPr>
            <w:tcW w:w="2688" w:type="dxa"/>
            <w:tcBorders>
              <w:top w:val="single" w:color="auto" w:sz="4" w:space="0"/>
              <w:left w:val="single" w:color="auto" w:sz="4" w:space="0"/>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轨道清洗</w:t>
            </w:r>
          </w:p>
        </w:tc>
        <w:tc>
          <w:tcPr>
            <w:tcW w:w="2340" w:type="dxa"/>
            <w:tcBorders>
              <w:top w:val="single" w:color="auto" w:sz="4" w:space="0"/>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12个月／次</w:t>
            </w:r>
          </w:p>
        </w:tc>
        <w:tc>
          <w:tcPr>
            <w:tcW w:w="270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煤、柴油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92" w:type="dxa"/>
            <w:vMerge w:val="continue"/>
            <w:tcBorders>
              <w:left w:val="single" w:color="auto" w:sz="4" w:space="0"/>
              <w:right w:val="single" w:color="auto" w:sz="4" w:space="0"/>
            </w:tcBorders>
            <w:noWrap w:val="0"/>
            <w:vAlign w:val="top"/>
          </w:tcPr>
          <w:p>
            <w:pPr>
              <w:ind w:right="-109" w:rightChars="-52"/>
              <w:rPr>
                <w:rFonts w:hint="eastAsia" w:asciiTheme="minorEastAsia" w:hAnsiTheme="minorEastAsia" w:eastAsiaTheme="minorEastAsia" w:cstheme="minorEastAsia"/>
                <w:sz w:val="24"/>
                <w:highlight w:val="none"/>
              </w:rPr>
            </w:pPr>
          </w:p>
        </w:tc>
        <w:tc>
          <w:tcPr>
            <w:tcW w:w="2688" w:type="dxa"/>
            <w:tcBorders>
              <w:top w:val="single" w:color="auto" w:sz="4" w:space="0"/>
              <w:lef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轨道末端、地坑部件补漆</w:t>
            </w:r>
          </w:p>
        </w:tc>
        <w:tc>
          <w:tcPr>
            <w:tcW w:w="2340" w:type="dxa"/>
            <w:tcBorders>
              <w:top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12个月／次</w:t>
            </w:r>
          </w:p>
        </w:tc>
        <w:tc>
          <w:tcPr>
            <w:tcW w:w="2700" w:type="dxa"/>
            <w:tcBorders>
              <w:top w:val="single" w:color="auto" w:sz="4" w:space="0"/>
              <w:lef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防锈漆</w:t>
            </w:r>
          </w:p>
        </w:tc>
      </w:tr>
    </w:tbl>
    <w:p>
      <w:pPr>
        <w:ind w:right="-109" w:rightChars="-52"/>
        <w:rPr>
          <w:rFonts w:hint="eastAsia" w:asciiTheme="minorEastAsia" w:hAnsiTheme="minorEastAsia" w:eastAsiaTheme="minorEastAsia" w:cstheme="minorEastAsia"/>
          <w:sz w:val="24"/>
          <w:highlight w:val="none"/>
        </w:rPr>
      </w:pPr>
    </w:p>
    <w:p>
      <w:pPr>
        <w:ind w:right="-109" w:rightChars="-5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5、电梯的润滑保养</w:t>
      </w:r>
    </w:p>
    <w:tbl>
      <w:tblPr>
        <w:tblStyle w:val="18"/>
        <w:tblW w:w="8835"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911"/>
        <w:gridCol w:w="774"/>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110" w:type="dxa"/>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润滑项目</w:t>
            </w:r>
          </w:p>
        </w:tc>
        <w:tc>
          <w:tcPr>
            <w:tcW w:w="2685"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润滑位置</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润滑周期</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润滑材料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10" w:type="dxa"/>
            <w:vMerge w:val="restart"/>
            <w:tcBorders>
              <w:top w:val="single" w:color="auto" w:sz="4" w:space="0"/>
              <w:left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机房</w:t>
            </w:r>
          </w:p>
          <w:p>
            <w:pPr>
              <w:jc w:val="center"/>
              <w:rPr>
                <w:rFonts w:hint="eastAsia" w:asciiTheme="minorEastAsia" w:hAnsiTheme="minorEastAsia" w:eastAsiaTheme="minorEastAsia" w:cstheme="minorEastAsia"/>
                <w:sz w:val="24"/>
                <w:highlight w:val="none"/>
              </w:rPr>
            </w:pPr>
          </w:p>
          <w:p>
            <w:pPr>
              <w:jc w:val="center"/>
              <w:rPr>
                <w:rFonts w:hint="eastAsia" w:asciiTheme="minorEastAsia" w:hAnsiTheme="minorEastAsia" w:eastAsiaTheme="minorEastAsia" w:cstheme="minorEastAsia"/>
                <w:sz w:val="24"/>
                <w:highlight w:val="none"/>
              </w:rPr>
            </w:pPr>
          </w:p>
        </w:tc>
        <w:tc>
          <w:tcPr>
            <w:tcW w:w="2685"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齿轮箱</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新梯6个月,一年后每12个月更换一次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80W－100W－G5齿轮油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10" w:type="dxa"/>
            <w:vMerge w:val="continue"/>
            <w:tcBorders>
              <w:left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p>
        </w:tc>
        <w:tc>
          <w:tcPr>
            <w:tcW w:w="2685"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蜗轮蜗杆的滚动轴承</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110" w:type="dxa"/>
            <w:vMerge w:val="continue"/>
            <w:tcBorders>
              <w:left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p>
        </w:tc>
        <w:tc>
          <w:tcPr>
            <w:tcW w:w="2685"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制动器的轴销</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110" w:type="dxa"/>
            <w:vMerge w:val="continue"/>
            <w:tcBorders>
              <w:left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p>
        </w:tc>
        <w:tc>
          <w:tcPr>
            <w:tcW w:w="2685"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电磁铁可动铁心与铜套之间</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石墨粉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tcBorders>
              <w:left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p>
        </w:tc>
        <w:tc>
          <w:tcPr>
            <w:tcW w:w="2685"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电机滚动轴承</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ind w:firstLine="432" w:firstLineChars="18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110" w:type="dxa"/>
            <w:vMerge w:val="continue"/>
            <w:tcBorders>
              <w:left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p>
        </w:tc>
        <w:tc>
          <w:tcPr>
            <w:tcW w:w="2685"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电机滑动轴承</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ind w:firstLine="432" w:firstLineChars="18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1110" w:type="dxa"/>
            <w:vMerge w:val="continue"/>
            <w:tcBorders>
              <w:left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p>
        </w:tc>
        <w:tc>
          <w:tcPr>
            <w:tcW w:w="2685"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导向轮</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ind w:firstLine="432" w:firstLineChars="18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10" w:type="dxa"/>
            <w:vMerge w:val="continue"/>
            <w:tcBorders>
              <w:left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p>
        </w:tc>
        <w:tc>
          <w:tcPr>
            <w:tcW w:w="2685"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限速器</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ind w:firstLine="432" w:firstLineChars="18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10" w:type="dxa"/>
            <w:vMerge w:val="restart"/>
            <w:tcBorders>
              <w:left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轿厢</w:t>
            </w: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导靴油杯</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油量少于四分之一时需添加</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ind w:firstLine="432" w:firstLineChars="18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40＃机油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110" w:type="dxa"/>
            <w:vMerge w:val="continue"/>
            <w:tcBorders>
              <w:left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轿顶轮、对重轮、复绕轮</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6个月</w:t>
            </w:r>
          </w:p>
        </w:tc>
        <w:tc>
          <w:tcPr>
            <w:tcW w:w="2700" w:type="dxa"/>
            <w:tcBorders>
              <w:top w:val="single" w:color="auto" w:sz="4" w:space="0"/>
              <w:left w:val="single" w:color="auto" w:sz="4" w:space="0"/>
              <w:bottom w:val="nil"/>
              <w:right w:val="single" w:color="auto" w:sz="4" w:space="0"/>
            </w:tcBorders>
            <w:noWrap w:val="0"/>
            <w:vAlign w:val="center"/>
          </w:tcPr>
          <w:p>
            <w:pPr>
              <w:ind w:firstLine="432" w:firstLineChars="18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110" w:type="dxa"/>
            <w:vMerge w:val="continue"/>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p>
        </w:tc>
        <w:tc>
          <w:tcPr>
            <w:tcW w:w="1911" w:type="dxa"/>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门机构轴承</w:t>
            </w:r>
          </w:p>
        </w:tc>
        <w:tc>
          <w:tcPr>
            <w:tcW w:w="774"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p>
        </w:tc>
        <w:tc>
          <w:tcPr>
            <w:tcW w:w="234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3个月</w:t>
            </w:r>
          </w:p>
        </w:tc>
        <w:tc>
          <w:tcPr>
            <w:tcW w:w="2700" w:type="dxa"/>
            <w:tcBorders>
              <w:top w:val="single" w:color="auto" w:sz="4" w:space="0"/>
              <w:left w:val="nil"/>
              <w:bottom w:val="single" w:color="auto" w:sz="4" w:space="0"/>
            </w:tcBorders>
            <w:noWrap w:val="0"/>
            <w:vAlign w:val="center"/>
          </w:tcPr>
          <w:p>
            <w:pPr>
              <w:ind w:firstLine="432" w:firstLineChars="18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110" w:type="dxa"/>
            <w:vMerge w:val="continue"/>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p>
        </w:tc>
        <w:tc>
          <w:tcPr>
            <w:tcW w:w="1911" w:type="dxa"/>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安全触板</w:t>
            </w:r>
          </w:p>
        </w:tc>
        <w:tc>
          <w:tcPr>
            <w:tcW w:w="774"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p>
          <w:p>
            <w:pPr>
              <w:jc w:val="center"/>
              <w:rPr>
                <w:rFonts w:hint="eastAsia" w:asciiTheme="minorEastAsia" w:hAnsiTheme="minorEastAsia" w:eastAsiaTheme="minorEastAsia" w:cstheme="minorEastAsia"/>
                <w:sz w:val="24"/>
                <w:highlight w:val="none"/>
              </w:rPr>
            </w:pPr>
          </w:p>
        </w:tc>
        <w:tc>
          <w:tcPr>
            <w:tcW w:w="234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3个月</w:t>
            </w:r>
          </w:p>
        </w:tc>
        <w:tc>
          <w:tcPr>
            <w:tcW w:w="2700" w:type="dxa"/>
            <w:tcBorders>
              <w:top w:val="single" w:color="auto" w:sz="4" w:space="0"/>
              <w:left w:val="nil"/>
              <w:bottom w:val="single" w:color="auto" w:sz="4" w:space="0"/>
            </w:tcBorders>
            <w:noWrap w:val="0"/>
            <w:vAlign w:val="center"/>
          </w:tcPr>
          <w:p>
            <w:pPr>
              <w:ind w:firstLine="432" w:firstLineChars="18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10" w:type="dxa"/>
            <w:vMerge w:val="continue"/>
            <w:tcBorders>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p>
        </w:tc>
        <w:tc>
          <w:tcPr>
            <w:tcW w:w="1911" w:type="dxa"/>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安全钳</w:t>
            </w:r>
          </w:p>
        </w:tc>
        <w:tc>
          <w:tcPr>
            <w:tcW w:w="774"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p>
        </w:tc>
        <w:tc>
          <w:tcPr>
            <w:tcW w:w="234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6个月</w:t>
            </w:r>
          </w:p>
        </w:tc>
        <w:tc>
          <w:tcPr>
            <w:tcW w:w="270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普通机油</w:t>
            </w:r>
          </w:p>
          <w:p>
            <w:pPr>
              <w:jc w:val="center"/>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10" w:type="dxa"/>
            <w:vMerge w:val="restart"/>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井道</w:t>
            </w:r>
          </w:p>
        </w:tc>
        <w:tc>
          <w:tcPr>
            <w:tcW w:w="1911" w:type="dxa"/>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门机构</w:t>
            </w:r>
          </w:p>
        </w:tc>
        <w:tc>
          <w:tcPr>
            <w:tcW w:w="774"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p>
        </w:tc>
        <w:tc>
          <w:tcPr>
            <w:tcW w:w="234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3个月</w:t>
            </w:r>
          </w:p>
        </w:tc>
        <w:tc>
          <w:tcPr>
            <w:tcW w:w="270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普通机油</w:t>
            </w:r>
          </w:p>
          <w:p>
            <w:pPr>
              <w:jc w:val="center"/>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10" w:type="dxa"/>
            <w:vMerge w:val="continue"/>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p>
        </w:tc>
        <w:tc>
          <w:tcPr>
            <w:tcW w:w="1911" w:type="dxa"/>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涨紧轮</w:t>
            </w:r>
          </w:p>
        </w:tc>
        <w:tc>
          <w:tcPr>
            <w:tcW w:w="774"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p>
          <w:p>
            <w:pPr>
              <w:jc w:val="center"/>
              <w:rPr>
                <w:rFonts w:hint="eastAsia" w:asciiTheme="minorEastAsia" w:hAnsiTheme="minorEastAsia" w:eastAsiaTheme="minorEastAsia" w:cstheme="minorEastAsia"/>
                <w:sz w:val="24"/>
                <w:highlight w:val="none"/>
              </w:rPr>
            </w:pPr>
          </w:p>
        </w:tc>
        <w:tc>
          <w:tcPr>
            <w:tcW w:w="234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3个月</w:t>
            </w:r>
          </w:p>
        </w:tc>
        <w:tc>
          <w:tcPr>
            <w:tcW w:w="270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10" w:type="dxa"/>
            <w:vMerge w:val="continue"/>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p>
        </w:tc>
        <w:tc>
          <w:tcPr>
            <w:tcW w:w="1911" w:type="dxa"/>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缓冲器</w:t>
            </w:r>
          </w:p>
        </w:tc>
        <w:tc>
          <w:tcPr>
            <w:tcW w:w="774"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p>
        </w:tc>
        <w:tc>
          <w:tcPr>
            <w:tcW w:w="234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6个月添加一次，12个月更换一次</w:t>
            </w:r>
          </w:p>
        </w:tc>
        <w:tc>
          <w:tcPr>
            <w:tcW w:w="270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液压油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110" w:type="dxa"/>
            <w:vMerge w:val="continue"/>
            <w:tcBorders>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highlight w:val="none"/>
              </w:rPr>
            </w:pPr>
          </w:p>
        </w:tc>
        <w:tc>
          <w:tcPr>
            <w:tcW w:w="1911" w:type="dxa"/>
            <w:tcBorders>
              <w:top w:val="single" w:color="auto" w:sz="4" w:space="0"/>
              <w:left w:val="single" w:color="auto" w:sz="4" w:space="0"/>
              <w:bottom w:val="single" w:color="auto" w:sz="4" w:space="0"/>
              <w:right w:val="nil"/>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井道信息件开关</w:t>
            </w:r>
          </w:p>
        </w:tc>
        <w:tc>
          <w:tcPr>
            <w:tcW w:w="774"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p>
        </w:tc>
        <w:tc>
          <w:tcPr>
            <w:tcW w:w="234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3个月</w:t>
            </w:r>
          </w:p>
        </w:tc>
        <w:tc>
          <w:tcPr>
            <w:tcW w:w="2700" w:type="dxa"/>
            <w:tcBorders>
              <w:top w:val="single" w:color="auto" w:sz="4" w:space="0"/>
              <w:left w:val="nil"/>
              <w:bottom w:val="single" w:color="auto" w:sz="4" w:space="0"/>
            </w:tcBorders>
            <w:noWrap w:val="0"/>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普通机油</w:t>
            </w:r>
          </w:p>
        </w:tc>
      </w:tr>
    </w:tbl>
    <w:p>
      <w:pPr>
        <w:spacing w:line="500" w:lineRule="exact"/>
        <w:ind w:right="-109" w:rightChars="-52"/>
        <w:rPr>
          <w:rFonts w:hint="eastAsia" w:ascii="楷体_GB2312" w:eastAsia="楷体_GB2312"/>
          <w:sz w:val="24"/>
        </w:rPr>
      </w:pPr>
    </w:p>
    <w:p>
      <w:pPr>
        <w:spacing w:line="500" w:lineRule="exact"/>
        <w:ind w:firstLine="480" w:firstLineChars="200"/>
        <w:rPr>
          <w:rFonts w:hint="eastAsia" w:ascii="宋体" w:hAnsi="宋体" w:cs="宋体"/>
          <w:sz w:val="24"/>
        </w:rPr>
      </w:pPr>
      <w:r>
        <w:rPr>
          <w:rFonts w:hint="eastAsia" w:ascii="宋体" w:hAnsi="宋体" w:cs="宋体"/>
          <w:sz w:val="24"/>
        </w:rPr>
        <w:t>三、电梯维保安全操作规程</w:t>
      </w:r>
    </w:p>
    <w:p>
      <w:pPr>
        <w:spacing w:line="500" w:lineRule="exact"/>
        <w:ind w:firstLine="480" w:firstLineChars="200"/>
        <w:rPr>
          <w:rFonts w:hint="eastAsia" w:ascii="宋体" w:hAnsi="宋体" w:cs="宋体"/>
          <w:sz w:val="24"/>
        </w:rPr>
      </w:pPr>
      <w:r>
        <w:rPr>
          <w:rFonts w:hint="eastAsia" w:ascii="宋体" w:hAnsi="宋体" w:cs="宋体"/>
          <w:sz w:val="24"/>
        </w:rPr>
        <w:t>1.维修人员进入检修现场，必须穿工作服和绝缘鞋。</w:t>
      </w:r>
    </w:p>
    <w:p>
      <w:pPr>
        <w:spacing w:line="500" w:lineRule="exact"/>
        <w:ind w:firstLine="480" w:firstLineChars="200"/>
        <w:rPr>
          <w:rFonts w:hint="eastAsia" w:ascii="宋体" w:hAnsi="宋体" w:cs="宋体"/>
          <w:sz w:val="24"/>
        </w:rPr>
      </w:pPr>
      <w:r>
        <w:rPr>
          <w:rFonts w:hint="eastAsia" w:ascii="宋体" w:hAnsi="宋体" w:cs="宋体"/>
          <w:sz w:val="24"/>
        </w:rPr>
        <w:t>2.轿厢内或入口的明显处应挂上“检修停用”标牌。</w:t>
      </w:r>
    </w:p>
    <w:p>
      <w:pPr>
        <w:spacing w:line="500" w:lineRule="exact"/>
        <w:ind w:firstLine="480" w:firstLineChars="200"/>
        <w:rPr>
          <w:rFonts w:hint="eastAsia" w:ascii="宋体" w:hAnsi="宋体" w:cs="宋体"/>
          <w:sz w:val="24"/>
        </w:rPr>
      </w:pPr>
      <w:r>
        <w:rPr>
          <w:rFonts w:hint="eastAsia" w:ascii="宋体" w:hAnsi="宋体" w:cs="宋体"/>
          <w:sz w:val="24"/>
        </w:rPr>
        <w:t>3.让无关人员离开轿厢或其他检修工作场所，关好层门。不能关闭层门时，需用合适的护栏挡住入口处，以防止无关人员进入电梯。</w:t>
      </w:r>
    </w:p>
    <w:p>
      <w:pPr>
        <w:spacing w:line="500" w:lineRule="exact"/>
        <w:ind w:firstLine="480" w:firstLineChars="200"/>
        <w:rPr>
          <w:rFonts w:hint="eastAsia" w:ascii="宋体" w:hAnsi="宋体" w:cs="宋体"/>
          <w:sz w:val="24"/>
        </w:rPr>
      </w:pPr>
      <w:r>
        <w:rPr>
          <w:rFonts w:hint="eastAsia" w:ascii="宋体" w:hAnsi="宋体" w:cs="宋体"/>
          <w:sz w:val="24"/>
        </w:rPr>
        <w:t>4.上轿顶作检修工作时，首先应先将轿顶开关置于检修状态，并关好层门。停梯工作时必须按下急停开关。</w:t>
      </w:r>
    </w:p>
    <w:p>
      <w:pPr>
        <w:spacing w:line="500" w:lineRule="exact"/>
        <w:ind w:firstLine="480" w:firstLineChars="200"/>
        <w:rPr>
          <w:rFonts w:hint="eastAsia" w:ascii="宋体" w:hAnsi="宋体" w:cs="宋体"/>
          <w:sz w:val="24"/>
        </w:rPr>
      </w:pPr>
      <w:r>
        <w:rPr>
          <w:rFonts w:hint="eastAsia" w:ascii="宋体" w:hAnsi="宋体" w:cs="宋体"/>
          <w:sz w:val="24"/>
        </w:rPr>
        <w:t>5.给传动部位加油、清洗，或观察钢丝绳的磨损情况时，必须停止电梯运行。</w:t>
      </w:r>
    </w:p>
    <w:p>
      <w:pPr>
        <w:spacing w:line="500" w:lineRule="exact"/>
        <w:ind w:firstLine="480" w:firstLineChars="200"/>
        <w:rPr>
          <w:rFonts w:hint="eastAsia" w:ascii="宋体" w:hAnsi="宋体" w:cs="宋体"/>
          <w:sz w:val="24"/>
        </w:rPr>
      </w:pPr>
      <w:r>
        <w:rPr>
          <w:rFonts w:hint="eastAsia" w:ascii="宋体" w:hAnsi="宋体" w:cs="宋体"/>
          <w:sz w:val="24"/>
        </w:rPr>
        <w:t>6.人在轿顶上工作时，站立位置应有选择，脚下不得有油污，否则应清理干净。</w:t>
      </w:r>
    </w:p>
    <w:p>
      <w:pPr>
        <w:spacing w:line="500" w:lineRule="exact"/>
        <w:ind w:firstLine="480" w:firstLineChars="200"/>
        <w:rPr>
          <w:rFonts w:hint="eastAsia" w:ascii="宋体" w:hAnsi="宋体" w:cs="宋体"/>
          <w:sz w:val="24"/>
        </w:rPr>
      </w:pPr>
      <w:r>
        <w:rPr>
          <w:rFonts w:hint="eastAsia" w:ascii="宋体" w:hAnsi="宋体" w:cs="宋体"/>
          <w:sz w:val="24"/>
        </w:rPr>
        <w:t>7.人在轿顶上准备开动电梯以观察有关电梯部件的工作情况时，手必须握住轿顶上梁或护栏等机件。并注意身体部位始终置于轿厢外框之内，防止与井道构件碰撞。须由轿内的司机或检修人员开电梯时，要注意配合，服从轿顶人员指挥，未有指令不准开动电梯。</w:t>
      </w:r>
    </w:p>
    <w:p>
      <w:pPr>
        <w:spacing w:line="500" w:lineRule="exact"/>
        <w:ind w:firstLine="480" w:firstLineChars="200"/>
        <w:rPr>
          <w:rFonts w:hint="eastAsia" w:ascii="宋体" w:hAnsi="宋体" w:cs="宋体"/>
          <w:sz w:val="24"/>
        </w:rPr>
      </w:pPr>
      <w:r>
        <w:rPr>
          <w:rFonts w:hint="eastAsia" w:ascii="宋体" w:hAnsi="宋体" w:cs="宋体"/>
          <w:sz w:val="24"/>
        </w:rPr>
        <w:t>8.在多台电梯共用一个井道时，除注意本电梯的情况外，还应注意其他电梯的动态，以防止被碰撞。</w:t>
      </w:r>
    </w:p>
    <w:p>
      <w:pPr>
        <w:spacing w:line="500" w:lineRule="exact"/>
        <w:ind w:firstLine="480" w:firstLineChars="200"/>
        <w:rPr>
          <w:rFonts w:hint="eastAsia" w:ascii="宋体" w:hAnsi="宋体" w:cs="宋体"/>
          <w:sz w:val="24"/>
        </w:rPr>
      </w:pPr>
      <w:r>
        <w:rPr>
          <w:rFonts w:hint="eastAsia" w:ascii="宋体" w:hAnsi="宋体" w:cs="宋体"/>
          <w:sz w:val="24"/>
        </w:rPr>
        <w:t>9.禁止在轿顶和井道内吸烟。</w:t>
      </w:r>
    </w:p>
    <w:p>
      <w:pPr>
        <w:spacing w:line="500" w:lineRule="exact"/>
        <w:ind w:firstLine="480" w:firstLineChars="200"/>
        <w:rPr>
          <w:rFonts w:hint="eastAsia" w:ascii="宋体" w:hAnsi="宋体" w:cs="宋体"/>
          <w:sz w:val="24"/>
        </w:rPr>
      </w:pPr>
      <w:r>
        <w:rPr>
          <w:rFonts w:hint="eastAsia" w:ascii="宋体" w:hAnsi="宋体" w:cs="宋体"/>
          <w:sz w:val="24"/>
        </w:rPr>
        <w:t>10.检修电器部件时应尽可能避免带电作业。必须带电操作时，应预防触电，并有两人协同进行。</w:t>
      </w:r>
    </w:p>
    <w:p>
      <w:pPr>
        <w:spacing w:line="500" w:lineRule="exact"/>
        <w:ind w:firstLine="480" w:firstLineChars="200"/>
        <w:rPr>
          <w:rFonts w:hint="eastAsia" w:ascii="宋体" w:hAnsi="宋体" w:cs="宋体"/>
          <w:sz w:val="24"/>
        </w:rPr>
      </w:pPr>
      <w:r>
        <w:rPr>
          <w:rFonts w:hint="eastAsia" w:ascii="宋体" w:hAnsi="宋体" w:cs="宋体"/>
          <w:sz w:val="24"/>
        </w:rPr>
        <w:t>11.移动式照明应为安全电压，应使用带有防护罩的照明设备。</w:t>
      </w:r>
    </w:p>
    <w:p>
      <w:pPr>
        <w:spacing w:line="500" w:lineRule="exact"/>
        <w:ind w:firstLine="480" w:firstLineChars="200"/>
        <w:rPr>
          <w:rFonts w:hint="eastAsia" w:ascii="宋体" w:hAnsi="宋体" w:cs="宋体"/>
          <w:sz w:val="24"/>
        </w:rPr>
      </w:pPr>
      <w:r>
        <w:rPr>
          <w:rFonts w:hint="eastAsia" w:ascii="宋体" w:hAnsi="宋体" w:cs="宋体"/>
          <w:sz w:val="24"/>
        </w:rPr>
        <w:t>12.严禁维修人员站在井道外探身到井道内，以及两脚分别站在能相对运动部件上，进行长时间的检修工作。</w:t>
      </w:r>
    </w:p>
    <w:p>
      <w:pPr>
        <w:spacing w:line="500" w:lineRule="exact"/>
        <w:ind w:firstLine="480" w:firstLineChars="200"/>
        <w:rPr>
          <w:rFonts w:hint="eastAsia" w:ascii="宋体" w:hAnsi="宋体" w:cs="宋体"/>
          <w:sz w:val="24"/>
        </w:rPr>
      </w:pPr>
      <w:r>
        <w:rPr>
          <w:rFonts w:hint="eastAsia" w:ascii="宋体" w:hAnsi="宋体" w:cs="宋体"/>
          <w:sz w:val="24"/>
        </w:rPr>
        <w:t>13.进入底坑，应将底坑急停开关断开。</w:t>
      </w:r>
    </w:p>
    <w:p>
      <w:pPr>
        <w:keepNext w:val="0"/>
        <w:keepLines w:val="0"/>
        <w:widowControl/>
        <w:suppressLineNumbers w:val="0"/>
        <w:jc w:val="left"/>
      </w:pPr>
    </w:p>
    <w:p>
      <w:pPr>
        <w:pStyle w:val="9"/>
        <w:ind w:left="0"/>
        <w:rPr>
          <w:rFonts w:ascii="仿宋_GB2312" w:hAnsi="仿宋_GB2312" w:eastAsia="仿宋_GB2312" w:cs="仿宋_GB2312"/>
          <w:sz w:val="21"/>
          <w:szCs w:val="21"/>
          <w:lang w:val="en-US"/>
        </w:rPr>
      </w:pPr>
    </w:p>
    <w:p>
      <w:pPr>
        <w:pStyle w:val="10"/>
        <w:rPr>
          <w:rFonts w:hint="eastAsia" w:ascii="宋体" w:hAnsi="宋体"/>
          <w:sz w:val="24"/>
          <w:szCs w:val="24"/>
        </w:rPr>
      </w:pPr>
    </w:p>
    <w:p>
      <w:pPr>
        <w:pStyle w:val="2"/>
        <w:jc w:val="center"/>
        <w:rPr>
          <w:rFonts w:hint="eastAsia" w:hAnsi="宋体" w:eastAsia="黑体"/>
          <w:szCs w:val="22"/>
          <w:highlight w:val="none"/>
          <w:lang w:eastAsia="zh-CN"/>
        </w:rPr>
      </w:pPr>
      <w:bookmarkStart w:id="42" w:name="_Toc38879335"/>
      <w:bookmarkStart w:id="43" w:name="_Toc63412030"/>
      <w:bookmarkStart w:id="44" w:name="_Toc14439"/>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章  评</w:t>
      </w:r>
      <w:r>
        <w:rPr>
          <w:rFonts w:hint="eastAsia" w:ascii="黑体" w:hAnsi="黑体" w:eastAsia="黑体"/>
          <w:b w:val="0"/>
          <w:highlight w:val="none"/>
          <w:lang w:eastAsia="zh-CN"/>
        </w:rPr>
        <w:t>审方</w:t>
      </w:r>
      <w:r>
        <w:rPr>
          <w:rFonts w:hint="eastAsia" w:ascii="黑体" w:hAnsi="黑体" w:eastAsia="黑体"/>
          <w:b w:val="0"/>
          <w:highlight w:val="none"/>
        </w:rPr>
        <w:t>法</w:t>
      </w:r>
      <w:bookmarkEnd w:id="42"/>
      <w:bookmarkEnd w:id="43"/>
      <w:r>
        <w:rPr>
          <w:rFonts w:hint="eastAsia" w:ascii="黑体" w:hAnsi="黑体" w:eastAsia="黑体"/>
          <w:b w:val="0"/>
          <w:highlight w:val="none"/>
          <w:lang w:eastAsia="zh-CN"/>
        </w:rPr>
        <w:t>与标准</w:t>
      </w:r>
      <w:bookmarkEnd w:id="44"/>
    </w:p>
    <w:p>
      <w:pPr>
        <w:pageBreakBefore w:val="0"/>
        <w:widowControl w:val="0"/>
        <w:kinsoku/>
        <w:wordWrap/>
        <w:overflowPunct/>
        <w:topLinePunct w:val="0"/>
        <w:autoSpaceDE/>
        <w:autoSpaceDN/>
        <w:bidi w:val="0"/>
        <w:adjustRightInd w:val="0"/>
        <w:snapToGrid w:val="0"/>
        <w:spacing w:line="360" w:lineRule="auto"/>
        <w:ind w:right="-10" w:firstLine="422" w:firstLineChars="175"/>
        <w:textAlignment w:val="auto"/>
        <w:rPr>
          <w:rFonts w:hint="eastAsia" w:ascii="宋体" w:hAnsi="宋体"/>
          <w:b/>
          <w:bCs/>
          <w:sz w:val="24"/>
          <w:lang w:eastAsia="zh-CN"/>
        </w:rPr>
      </w:pPr>
      <w:bookmarkStart w:id="45" w:name="_Toc448"/>
      <w:r>
        <w:rPr>
          <w:rFonts w:hint="eastAsia" w:ascii="宋体" w:hAnsi="宋体"/>
          <w:b/>
          <w:bCs/>
          <w:sz w:val="24"/>
          <w:lang w:eastAsia="zh-CN"/>
        </w:rPr>
        <w:t>一、总则</w:t>
      </w:r>
    </w:p>
    <w:p>
      <w:pPr>
        <w:pageBreakBefore w:val="0"/>
        <w:widowControl w:val="0"/>
        <w:kinsoku/>
        <w:wordWrap/>
        <w:overflowPunct/>
        <w:topLinePunct w:val="0"/>
        <w:autoSpaceDE/>
        <w:autoSpaceDN/>
        <w:bidi w:val="0"/>
        <w:adjustRightInd w:val="0"/>
        <w:snapToGrid w:val="0"/>
        <w:spacing w:line="360" w:lineRule="auto"/>
        <w:ind w:right="-10" w:firstLine="420" w:firstLineChars="175"/>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本项目将按照磋商文件第二章 投标人须知的相关要求及本章的规定评审。</w:t>
      </w:r>
    </w:p>
    <w:p>
      <w:pPr>
        <w:pageBreakBefore w:val="0"/>
        <w:widowControl w:val="0"/>
        <w:numPr>
          <w:ilvl w:val="0"/>
          <w:numId w:val="10"/>
        </w:numPr>
        <w:kinsoku/>
        <w:wordWrap/>
        <w:overflowPunct/>
        <w:topLinePunct w:val="0"/>
        <w:autoSpaceDE/>
        <w:autoSpaceDN/>
        <w:bidi w:val="0"/>
        <w:snapToGrid w:val="0"/>
        <w:spacing w:before="0" w:after="0" w:line="360" w:lineRule="auto"/>
        <w:ind w:left="240" w:leftChars="0" w:firstLineChars="0"/>
        <w:textAlignment w:val="auto"/>
        <w:outlineLvl w:val="9"/>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评审方法与标准</w:t>
      </w:r>
    </w:p>
    <w:p>
      <w:pPr>
        <w:adjustRightInd w:val="0"/>
        <w:snapToGrid w:val="0"/>
        <w:spacing w:line="360" w:lineRule="auto"/>
        <w:ind w:right="-10" w:firstLine="422" w:firstLineChars="175"/>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2.1 初审</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磋商小组对投标人的响应文件进行初审，以确定其是否满足磋商文件的实质</w:t>
      </w:r>
    </w:p>
    <w:p>
      <w:pPr>
        <w:adjustRightInd w:val="0"/>
        <w:snapToGrid w:val="0"/>
        <w:spacing w:line="360" w:lineRule="auto"/>
        <w:ind w:right="-10" w:firstLine="420" w:firstLineChars="175"/>
        <w:rPr>
          <w:rFonts w:hint="eastAsia"/>
          <w:lang w:val="en-US" w:eastAsia="zh-CN"/>
        </w:rPr>
      </w:pPr>
      <w:r>
        <w:rPr>
          <w:rFonts w:hint="eastAsia" w:ascii="宋体" w:hAnsi="宋体" w:eastAsia="宋体" w:cs="Times New Roman"/>
          <w:sz w:val="24"/>
          <w:lang w:val="en-US" w:eastAsia="zh-CN"/>
        </w:rPr>
        <w:t>性要求。初审表如下：</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359"/>
        <w:gridCol w:w="2132"/>
        <w:gridCol w:w="755"/>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noWrap w:val="0"/>
            <w:vAlign w:val="center"/>
          </w:tcPr>
          <w:p>
            <w:pPr>
              <w:pStyle w:val="26"/>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0" w:type="pct"/>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384" w:type="pct"/>
            <w:tcBorders>
              <w:bottom w:val="single" w:color="auto" w:sz="4" w:space="0"/>
            </w:tcBorders>
            <w:noWrap w:val="0"/>
            <w:vAlign w:val="center"/>
          </w:tcPr>
          <w:p>
            <w:pPr>
              <w:pStyle w:val="26"/>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1251"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443"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1501"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0" w:type="pct"/>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384" w:type="pct"/>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1251" w:type="pct"/>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443"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1"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20"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p>
        </w:tc>
        <w:tc>
          <w:tcPr>
            <w:tcW w:w="1384"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1251"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1"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p>
        </w:tc>
        <w:tc>
          <w:tcPr>
            <w:tcW w:w="1384"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1251"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1"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4</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1501" w:type="pct"/>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1384" w:type="pct"/>
            <w:noWrap w:val="0"/>
            <w:vAlign w:val="center"/>
          </w:tcPr>
          <w:p>
            <w:pPr>
              <w:spacing w:after="50" w:line="360" w:lineRule="auto"/>
              <w:ind w:right="-10"/>
              <w:jc w:val="center"/>
              <w:rPr>
                <w:rFonts w:hint="eastAsia" w:ascii="宋体" w:hAnsi="宋体"/>
                <w:color w:val="auto"/>
                <w:sz w:val="24"/>
                <w:szCs w:val="24"/>
                <w:highlight w:val="none"/>
              </w:rPr>
            </w:pPr>
            <w:r>
              <w:rPr>
                <w:rFonts w:hint="eastAsia" w:ascii="宋体" w:hAnsi="宋体" w:eastAsia="宋体" w:cs="Times New Roman"/>
                <w:sz w:val="24"/>
                <w:szCs w:val="18"/>
                <w:highlight w:val="none"/>
                <w:u w:val="none"/>
                <w:lang w:val="en-US" w:eastAsia="zh-CN"/>
              </w:rPr>
              <w:t>投标人资质要求</w:t>
            </w:r>
          </w:p>
        </w:tc>
        <w:tc>
          <w:tcPr>
            <w:tcW w:w="1251" w:type="pct"/>
            <w:noWrap w:val="0"/>
            <w:vAlign w:val="center"/>
          </w:tcPr>
          <w:p>
            <w:pPr>
              <w:spacing w:after="50"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符合磋商文件要求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1"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eastAsia="宋体" w:cs="Times New Roman"/>
                <w:color w:val="auto"/>
                <w:sz w:val="24"/>
                <w:szCs w:val="24"/>
                <w:highlight w:val="none"/>
                <w:u w:val="none"/>
                <w:lang w:val="en-US" w:eastAsia="zh-CN" w:bidi="ar-SA"/>
              </w:rPr>
              <w:t>具有中华人民共和国特种设备安装改造维修（修理）许可证（电梯） A 级或中华人民共和国特种设备生产许可证（电梯安装（含修理））A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6</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开标一览表</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1"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7</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1"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8</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1251"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501" w:type="pct"/>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9</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1251" w:type="pct"/>
            <w:noWrap w:val="0"/>
            <w:vAlign w:val="center"/>
          </w:tcPr>
          <w:p>
            <w:pPr>
              <w:pStyle w:val="26"/>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无严重的编排混乱、内容不全或字迹模糊辨认不清、前后矛盾情况，对评标无实质性影响的</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501"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jc w:val="center"/>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10</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1251"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有明确规定的</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501"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noWrap w:val="0"/>
            <w:vAlign w:val="center"/>
          </w:tcPr>
          <w:p>
            <w:pPr>
              <w:adjustRightInd w:val="0"/>
              <w:snapToGrid w:val="0"/>
              <w:spacing w:line="360" w:lineRule="auto"/>
              <w:ind w:right="-10"/>
              <w:rPr>
                <w:rFonts w:hint="eastAsia" w:ascii="宋体" w:hAnsi="宋体"/>
                <w:color w:val="auto"/>
                <w:sz w:val="24"/>
                <w:szCs w:val="24"/>
                <w:highlight w:val="none"/>
              </w:rPr>
            </w:pPr>
            <w:r>
              <w:rPr>
                <w:rFonts w:hint="eastAsia" w:ascii="宋体" w:hAnsi="宋体"/>
                <w:b/>
                <w:bCs w:val="0"/>
                <w:color w:val="auto"/>
                <w:sz w:val="24"/>
                <w:highlight w:val="none"/>
              </w:rPr>
              <w:t>初审指标通过标准：投标人必须通过初审表中的全部评审指标。</w:t>
            </w: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right="-11" w:firstLine="422" w:firstLineChars="175"/>
        <w:textAlignment w:val="auto"/>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2.2 综合评分</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2.2.1本项目综合评分满分为100 分，其中：技术资信分值占总分值的权重</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为</w:t>
      </w:r>
      <w:r>
        <w:rPr>
          <w:rFonts w:hint="eastAsia" w:ascii="宋体" w:hAnsi="宋体" w:eastAsia="宋体" w:cs="Times New Roman"/>
          <w:sz w:val="24"/>
          <w:u w:val="single"/>
          <w:lang w:val="en-US" w:eastAsia="zh-CN"/>
        </w:rPr>
        <w:t xml:space="preserve"> </w:t>
      </w:r>
      <w:r>
        <w:rPr>
          <w:rFonts w:hint="eastAsia" w:hAnsi="宋体" w:cs="Times New Roman"/>
          <w:sz w:val="24"/>
          <w:u w:val="single"/>
          <w:lang w:val="en-US" w:eastAsia="zh-CN"/>
        </w:rPr>
        <w:t xml:space="preserve">80 </w:t>
      </w:r>
      <w:r>
        <w:rPr>
          <w:rFonts w:hint="eastAsia" w:ascii="宋体" w:hAnsi="宋体" w:eastAsia="宋体" w:cs="Times New Roman"/>
          <w:sz w:val="24"/>
          <w:u w:val="single"/>
          <w:lang w:val="en-US" w:eastAsia="zh-CN"/>
        </w:rPr>
        <w:t>%</w:t>
      </w:r>
      <w:r>
        <w:rPr>
          <w:rFonts w:hint="eastAsia" w:ascii="宋体" w:hAnsi="宋体" w:eastAsia="宋体" w:cs="Times New Roman"/>
          <w:sz w:val="24"/>
          <w:lang w:val="en-US" w:eastAsia="zh-CN"/>
        </w:rPr>
        <w:t>，价格分值占总分值的权重为</w:t>
      </w:r>
      <w:r>
        <w:rPr>
          <w:rFonts w:hint="eastAsia" w:ascii="宋体" w:hAnsi="宋体" w:eastAsia="宋体" w:cs="Times New Roman"/>
          <w:sz w:val="24"/>
          <w:u w:val="single"/>
          <w:lang w:val="en-US" w:eastAsia="zh-CN"/>
        </w:rPr>
        <w:t xml:space="preserve"> </w:t>
      </w:r>
      <w:r>
        <w:rPr>
          <w:rFonts w:hint="eastAsia" w:hAnsi="宋体" w:cs="Times New Roman"/>
          <w:sz w:val="24"/>
          <w:u w:val="single"/>
          <w:lang w:val="en-US" w:eastAsia="zh-CN"/>
        </w:rPr>
        <w:t>20</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 磋商小组按照下表对通过初审的所有投标人的响应文件进行综合评分，具体评分细则如下：</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2.2.2.1技术资信分</w:t>
      </w:r>
    </w:p>
    <w:tbl>
      <w:tblPr>
        <w:tblStyle w:val="18"/>
        <w:tblW w:w="541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8"/>
        <w:gridCol w:w="6662"/>
        <w:gridCol w:w="1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504" w:type="pct"/>
            <w:noWrap w:val="0"/>
            <w:vAlign w:val="center"/>
          </w:tcPr>
          <w:p>
            <w:pPr>
              <w:pStyle w:val="27"/>
              <w:keepNext w:val="0"/>
              <w:keepLines w:val="0"/>
              <w:pageBreakBefore w:val="0"/>
              <w:kinsoku/>
              <w:wordWrap/>
              <w:overflowPunct/>
              <w:topLinePunct w:val="0"/>
              <w:autoSpaceDE/>
              <w:autoSpaceDN/>
              <w:bidi w:val="0"/>
              <w:adjustRightInd w:val="0"/>
              <w:snapToGrid w:val="0"/>
              <w:spacing w:after="0" w:line="240" w:lineRule="auto"/>
              <w:contextualSpacing/>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评分因素</w:t>
            </w:r>
          </w:p>
        </w:tc>
        <w:tc>
          <w:tcPr>
            <w:tcW w:w="3697" w:type="pct"/>
            <w:noWrap w:val="0"/>
            <w:vAlign w:val="center"/>
          </w:tcPr>
          <w:p>
            <w:pPr>
              <w:pStyle w:val="27"/>
              <w:keepNext w:val="0"/>
              <w:keepLines w:val="0"/>
              <w:pageBreakBefore w:val="0"/>
              <w:kinsoku/>
              <w:wordWrap/>
              <w:overflowPunct/>
              <w:topLinePunct w:val="0"/>
              <w:autoSpaceDE/>
              <w:autoSpaceDN/>
              <w:bidi w:val="0"/>
              <w:adjustRightInd w:val="0"/>
              <w:snapToGrid w:val="0"/>
              <w:spacing w:after="0" w:line="240" w:lineRule="auto"/>
              <w:contextualSpacing/>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评分标准</w:t>
            </w:r>
          </w:p>
        </w:tc>
        <w:tc>
          <w:tcPr>
            <w:tcW w:w="797" w:type="pct"/>
            <w:noWrap w:val="0"/>
            <w:vAlign w:val="center"/>
          </w:tcPr>
          <w:p>
            <w:pPr>
              <w:pStyle w:val="27"/>
              <w:keepNext w:val="0"/>
              <w:keepLines w:val="0"/>
              <w:pageBreakBefore w:val="0"/>
              <w:kinsoku/>
              <w:wordWrap/>
              <w:overflowPunct/>
              <w:topLinePunct w:val="0"/>
              <w:autoSpaceDE/>
              <w:autoSpaceDN/>
              <w:bidi w:val="0"/>
              <w:adjustRightInd w:val="0"/>
              <w:snapToGrid w:val="0"/>
              <w:spacing w:after="0" w:line="240" w:lineRule="auto"/>
              <w:contextualSpacing/>
              <w:jc w:val="center"/>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jc w:val="center"/>
        </w:trPr>
        <w:tc>
          <w:tcPr>
            <w:tcW w:w="504" w:type="pct"/>
            <w:noWrap w:val="0"/>
            <w:vAlign w:val="center"/>
          </w:tcPr>
          <w:p>
            <w:pPr>
              <w:keepNext w:val="0"/>
              <w:keepLines w:val="0"/>
              <w:pageBreakBefore w:val="0"/>
              <w:kinsoku/>
              <w:wordWrap/>
              <w:overflowPunct/>
              <w:topLinePunct w:val="0"/>
              <w:autoSpaceDE/>
              <w:autoSpaceDN/>
              <w:bidi w:val="0"/>
              <w:spacing w:line="240" w:lineRule="auto"/>
              <w:contextualSpacing/>
              <w:jc w:val="center"/>
              <w:textAlignment w:val="auto"/>
              <w:rPr>
                <w:rFonts w:hint="eastAsia" w:asciiTheme="minorEastAsia" w:hAnsiTheme="minorEastAsia" w:eastAsiaTheme="minorEastAsia" w:cstheme="minorEastAsia"/>
                <w:b/>
                <w:bCs w:val="0"/>
                <w:i w:val="0"/>
                <w:iCs w:val="0"/>
                <w:spacing w:val="1"/>
                <w:sz w:val="24"/>
                <w:highlight w:val="none"/>
              </w:rPr>
            </w:pPr>
            <w:r>
              <w:rPr>
                <w:rFonts w:hint="eastAsia" w:asciiTheme="minorEastAsia" w:hAnsiTheme="minorEastAsia" w:eastAsiaTheme="minorEastAsia" w:cstheme="minorEastAsia"/>
                <w:b/>
                <w:bCs w:val="0"/>
                <w:i w:val="0"/>
                <w:iCs w:val="0"/>
                <w:spacing w:val="1"/>
                <w:sz w:val="24"/>
                <w:highlight w:val="none"/>
              </w:rPr>
              <w:t>总体服务方案</w:t>
            </w:r>
          </w:p>
          <w:p>
            <w:pPr>
              <w:keepNext w:val="0"/>
              <w:keepLines w:val="0"/>
              <w:pageBreakBefore w:val="0"/>
              <w:kinsoku/>
              <w:wordWrap/>
              <w:overflowPunct/>
              <w:topLinePunct w:val="0"/>
              <w:autoSpaceDE/>
              <w:autoSpaceDN/>
              <w:bidi w:val="0"/>
              <w:spacing w:line="240" w:lineRule="auto"/>
              <w:contextualSpacing/>
              <w:jc w:val="center"/>
              <w:textAlignment w:val="auto"/>
              <w:rPr>
                <w:rFonts w:hint="eastAsia" w:ascii="宋体" w:hAnsi="宋体" w:eastAsia="宋体" w:cs="宋体"/>
                <w:b/>
                <w:bCs w:val="0"/>
                <w:i w:val="0"/>
                <w:iCs w:val="0"/>
                <w:sz w:val="24"/>
                <w:highlight w:val="none"/>
              </w:rPr>
            </w:pPr>
          </w:p>
        </w:tc>
        <w:tc>
          <w:tcPr>
            <w:tcW w:w="3697"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根据投标人投标文件中提供的服务方案进行综合评审、综合评分：</w:t>
            </w:r>
          </w:p>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1、服务方案完整、措施得当、针对性强、合理可行、对完成项目有保障的，得</w:t>
            </w:r>
            <w:r>
              <w:rPr>
                <w:rFonts w:hint="eastAsia" w:asciiTheme="minorEastAsia" w:hAnsiTheme="minorEastAsia" w:eastAsiaTheme="minorEastAsia" w:cstheme="minorEastAsia"/>
                <w:sz w:val="24"/>
                <w:highlight w:val="none"/>
                <w:lang w:val="en-US" w:eastAsia="zh-CN"/>
              </w:rPr>
              <w:t>15</w:t>
            </w:r>
            <w:r>
              <w:rPr>
                <w:rFonts w:hint="eastAsia" w:asciiTheme="minorEastAsia" w:hAnsiTheme="minorEastAsia" w:eastAsiaTheme="minorEastAsia" w:cstheme="minorEastAsia"/>
                <w:sz w:val="24"/>
                <w:highlight w:val="none"/>
              </w:rPr>
              <w:t xml:space="preserve">分； </w:t>
            </w:r>
          </w:p>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2、服务方案基本完整、措施基本得当、具有针对性、基本合理可行、对完成项目基本有保障的，得</w:t>
            </w: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rPr>
              <w:t>分；</w:t>
            </w:r>
          </w:p>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3、服务方案不够完整、措施不够全面、针对性不强、可行性不强、对完成项目保障不足的，得</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分。</w:t>
            </w:r>
          </w:p>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4、服务方案差、缺乏具体措施、针对性及可行性的，得基础分3分。</w:t>
            </w:r>
          </w:p>
          <w:p>
            <w:pPr>
              <w:pStyle w:val="17"/>
              <w:keepNext w:val="0"/>
              <w:keepLines w:val="0"/>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highlight w:val="none"/>
              </w:rPr>
            </w:pPr>
            <w:r>
              <w:rPr>
                <w:rFonts w:hint="eastAsia" w:asciiTheme="minorEastAsia" w:hAnsiTheme="minorEastAsia" w:eastAsiaTheme="minorEastAsia" w:cstheme="minorEastAsia"/>
                <w:b/>
                <w:sz w:val="24"/>
                <w:szCs w:val="28"/>
                <w:highlight w:val="none"/>
              </w:rPr>
              <w:t>注：未提供的不得分。</w:t>
            </w:r>
          </w:p>
        </w:tc>
        <w:tc>
          <w:tcPr>
            <w:tcW w:w="797" w:type="pct"/>
            <w:noWrap w:val="0"/>
            <w:vAlign w:val="center"/>
          </w:tcPr>
          <w:p>
            <w:pPr>
              <w:pStyle w:val="17"/>
              <w:keepNext w:val="0"/>
              <w:keepLines w:val="0"/>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b/>
                <w:bCs w:val="0"/>
                <w:sz w:val="24"/>
                <w:szCs w:val="28"/>
                <w:highlight w:val="none"/>
              </w:rPr>
            </w:pPr>
            <w:r>
              <w:rPr>
                <w:rFonts w:hint="eastAsia" w:asciiTheme="minorEastAsia" w:hAnsiTheme="minorEastAsia" w:eastAsiaTheme="minorEastAsia" w:cstheme="minorEastAsia"/>
                <w:b/>
                <w:bCs w:val="0"/>
                <w:i w:val="0"/>
                <w:iCs w:val="0"/>
                <w:spacing w:val="1"/>
                <w:sz w:val="24"/>
                <w:highlight w:val="none"/>
              </w:rPr>
              <w:t>（0-</w:t>
            </w:r>
            <w:r>
              <w:rPr>
                <w:rFonts w:hint="eastAsia" w:asciiTheme="minorEastAsia" w:hAnsiTheme="minorEastAsia" w:eastAsiaTheme="minorEastAsia" w:cstheme="minorEastAsia"/>
                <w:b/>
                <w:bCs w:val="0"/>
                <w:i w:val="0"/>
                <w:iCs w:val="0"/>
                <w:spacing w:val="1"/>
                <w:sz w:val="24"/>
                <w:highlight w:val="none"/>
                <w:lang w:val="en-US" w:eastAsia="zh-CN"/>
              </w:rPr>
              <w:t>15</w:t>
            </w:r>
            <w:r>
              <w:rPr>
                <w:rFonts w:hint="eastAsia" w:asciiTheme="minorEastAsia" w:hAnsiTheme="minorEastAsia" w:eastAsiaTheme="minorEastAsia" w:cstheme="minorEastAsia"/>
                <w:b/>
                <w:bCs w:val="0"/>
                <w:i w:val="0"/>
                <w:iCs w:val="0"/>
                <w:spacing w:val="1"/>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5" w:hRule="atLeast"/>
          <w:jc w:val="center"/>
        </w:trPr>
        <w:tc>
          <w:tcPr>
            <w:tcW w:w="504" w:type="pct"/>
            <w:noWrap w:val="0"/>
            <w:vAlign w:val="center"/>
          </w:tcPr>
          <w:p>
            <w:pPr>
              <w:keepNext w:val="0"/>
              <w:keepLines w:val="0"/>
              <w:pageBreakBefore w:val="0"/>
              <w:kinsoku/>
              <w:wordWrap/>
              <w:overflowPunct/>
              <w:topLinePunct w:val="0"/>
              <w:autoSpaceDE/>
              <w:autoSpaceDN/>
              <w:bidi w:val="0"/>
              <w:spacing w:line="240" w:lineRule="auto"/>
              <w:contextualSpacing/>
              <w:jc w:val="center"/>
              <w:textAlignment w:val="auto"/>
              <w:rPr>
                <w:rFonts w:hint="eastAsia" w:asciiTheme="minorEastAsia" w:hAnsiTheme="minorEastAsia" w:eastAsiaTheme="minorEastAsia" w:cstheme="minorEastAsia"/>
                <w:b/>
                <w:bCs w:val="0"/>
                <w:i w:val="0"/>
                <w:iCs w:val="0"/>
                <w:spacing w:val="1"/>
                <w:sz w:val="24"/>
                <w:highlight w:val="none"/>
              </w:rPr>
            </w:pPr>
            <w:r>
              <w:rPr>
                <w:rFonts w:hint="eastAsia" w:asciiTheme="minorEastAsia" w:hAnsiTheme="minorEastAsia" w:eastAsiaTheme="minorEastAsia" w:cstheme="minorEastAsia"/>
                <w:b/>
                <w:bCs w:val="0"/>
                <w:i w:val="0"/>
                <w:iCs w:val="0"/>
                <w:spacing w:val="1"/>
                <w:sz w:val="24"/>
                <w:highlight w:val="none"/>
              </w:rPr>
              <w:t>人员配备</w:t>
            </w:r>
          </w:p>
          <w:p>
            <w:pPr>
              <w:keepNext w:val="0"/>
              <w:keepLines w:val="0"/>
              <w:pageBreakBefore w:val="0"/>
              <w:kinsoku/>
              <w:wordWrap/>
              <w:overflowPunct/>
              <w:topLinePunct w:val="0"/>
              <w:autoSpaceDE/>
              <w:autoSpaceDN/>
              <w:bidi w:val="0"/>
              <w:spacing w:line="240" w:lineRule="auto"/>
              <w:contextualSpacing/>
              <w:jc w:val="center"/>
              <w:textAlignment w:val="auto"/>
              <w:rPr>
                <w:rFonts w:hint="eastAsia" w:ascii="宋体" w:hAnsi="宋体" w:eastAsia="宋体" w:cs="宋体"/>
                <w:b/>
                <w:bCs w:val="0"/>
                <w:i w:val="0"/>
                <w:iCs w:val="0"/>
                <w:sz w:val="24"/>
                <w:highlight w:val="none"/>
              </w:rPr>
            </w:pPr>
          </w:p>
        </w:tc>
        <w:tc>
          <w:tcPr>
            <w:tcW w:w="3697"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szCs w:val="24"/>
                <w:highlight w:val="none"/>
                <w:lang w:eastAsia="zh-CN"/>
              </w:rPr>
              <w:t>根据</w:t>
            </w:r>
            <w:r>
              <w:rPr>
                <w:rFonts w:hint="eastAsia" w:asciiTheme="minorEastAsia" w:hAnsiTheme="minorEastAsia" w:eastAsiaTheme="minorEastAsia" w:cstheme="minorEastAsia"/>
                <w:sz w:val="24"/>
                <w:highlight w:val="none"/>
                <w:lang w:eastAsia="zh-CN"/>
              </w:rPr>
              <w:t>投标人投标文件中提供的人员配备方案，主要考虑人员配备的科学合理性（专业技术证书、工作经历、应急能力、项目经验、工作时长、适应加班等）：</w:t>
            </w:r>
          </w:p>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1、本项目拟配备人员具有以下证书的：具有特种设备作业人员T/T1/T2证，每提供1个得2分，满分10分</w:t>
            </w:r>
            <w:r>
              <w:rPr>
                <w:rFonts w:hint="eastAsia" w:asciiTheme="minorEastAsia" w:hAnsiTheme="minorEastAsia" w:eastAsiaTheme="minorEastAsia" w:cstheme="minorEastAsia"/>
                <w:sz w:val="24"/>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2、拟为本项目配备的人员取得《电梯安装维修工二级技师证》且在有效期内</w:t>
            </w:r>
            <w:r>
              <w:rPr>
                <w:rFonts w:hint="eastAsia" w:asciiTheme="minorEastAsia" w:hAnsiTheme="minorEastAsia" w:eastAsiaTheme="minorEastAsia" w:cstheme="minorEastAsia"/>
                <w:sz w:val="24"/>
                <w:highlight w:val="none"/>
                <w:lang w:eastAsia="zh-CN"/>
              </w:rPr>
              <w:t>，得</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分；</w:t>
            </w:r>
          </w:p>
          <w:p>
            <w:pPr>
              <w:pStyle w:val="8"/>
              <w:ind w:left="0" w:leftChars="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3、针对本项目拟派项目负责人拥有机电类或电气类高级工程师证书的 ，得5分。</w:t>
            </w:r>
          </w:p>
          <w:p>
            <w:pPr>
              <w:keepNext w:val="0"/>
              <w:keepLines w:val="0"/>
              <w:pageBreakBefore w:val="0"/>
              <w:widowControl/>
              <w:kinsoku/>
              <w:wordWrap/>
              <w:overflowPunct/>
              <w:topLinePunct w:val="0"/>
              <w:autoSpaceDE/>
              <w:autoSpaceDN/>
              <w:bidi w:val="0"/>
              <w:spacing w:line="240" w:lineRule="auto"/>
              <w:contextualSpacing/>
              <w:jc w:val="both"/>
              <w:textAlignment w:val="auto"/>
              <w:rPr>
                <w:rFonts w:hint="eastAsia" w:ascii="宋体" w:hAnsi="宋体" w:eastAsia="宋体" w:cs="宋体"/>
                <w:b/>
                <w:bCs/>
                <w:sz w:val="24"/>
                <w:highlight w:val="none"/>
              </w:rPr>
            </w:pPr>
            <w:r>
              <w:rPr>
                <w:rFonts w:hint="eastAsia" w:asciiTheme="minorEastAsia" w:hAnsiTheme="minorEastAsia" w:eastAsiaTheme="minorEastAsia" w:cstheme="minorEastAsia"/>
                <w:b/>
                <w:sz w:val="24"/>
                <w:highlight w:val="none"/>
              </w:rPr>
              <w:t>注：未提供的不得分</w:t>
            </w:r>
            <w:r>
              <w:rPr>
                <w:rFonts w:hint="eastAsia" w:asciiTheme="minorEastAsia" w:hAnsiTheme="minorEastAsia" w:eastAsiaTheme="minorEastAsia" w:cstheme="minorEastAsia"/>
                <w:b/>
                <w:sz w:val="24"/>
                <w:highlight w:val="none"/>
                <w:lang w:eastAsia="zh-CN"/>
              </w:rPr>
              <w:t>，</w:t>
            </w:r>
            <w:r>
              <w:rPr>
                <w:rFonts w:hint="eastAsia" w:asciiTheme="minorEastAsia" w:hAnsiTheme="minorEastAsia" w:eastAsiaTheme="minorEastAsia" w:cstheme="minorEastAsia"/>
                <w:b/>
                <w:sz w:val="24"/>
                <w:highlight w:val="none"/>
                <w:lang w:val="en-US" w:eastAsia="zh-CN"/>
              </w:rPr>
              <w:t>投标人需提供近半年内（任意3个月）为相关人员缴纳社保的证明材料</w:t>
            </w:r>
            <w:r>
              <w:rPr>
                <w:rFonts w:hint="eastAsia" w:asciiTheme="minorEastAsia" w:hAnsiTheme="minorEastAsia" w:eastAsiaTheme="minorEastAsia" w:cstheme="minorEastAsia"/>
                <w:b/>
                <w:sz w:val="24"/>
                <w:highlight w:val="none"/>
              </w:rPr>
              <w:t>。</w:t>
            </w:r>
          </w:p>
        </w:tc>
        <w:tc>
          <w:tcPr>
            <w:tcW w:w="797" w:type="pct"/>
            <w:noWrap w:val="0"/>
            <w:vAlign w:val="center"/>
          </w:tcPr>
          <w:p>
            <w:pPr>
              <w:keepNext w:val="0"/>
              <w:keepLines w:val="0"/>
              <w:pageBreakBefore w:val="0"/>
              <w:widowControl/>
              <w:kinsoku/>
              <w:wordWrap/>
              <w:overflowPunct/>
              <w:topLinePunct w:val="0"/>
              <w:autoSpaceDE/>
              <w:autoSpaceDN/>
              <w:bidi w:val="0"/>
              <w:spacing w:line="240" w:lineRule="auto"/>
              <w:contextualSpacing/>
              <w:jc w:val="both"/>
              <w:textAlignment w:val="auto"/>
              <w:rPr>
                <w:rFonts w:hint="eastAsia" w:ascii="宋体" w:hAnsi="宋体" w:eastAsia="宋体" w:cs="宋体"/>
                <w:b/>
                <w:bCs w:val="0"/>
                <w:sz w:val="24"/>
                <w:highlight w:val="none"/>
              </w:rPr>
            </w:pPr>
            <w:r>
              <w:rPr>
                <w:rFonts w:hint="eastAsia" w:asciiTheme="minorEastAsia" w:hAnsiTheme="minorEastAsia" w:eastAsiaTheme="minorEastAsia" w:cstheme="minorEastAsia"/>
                <w:b/>
                <w:bCs w:val="0"/>
                <w:i w:val="0"/>
                <w:iCs w:val="0"/>
                <w:spacing w:val="1"/>
                <w:sz w:val="24"/>
                <w:highlight w:val="none"/>
              </w:rPr>
              <w:t>（0-</w:t>
            </w:r>
            <w:r>
              <w:rPr>
                <w:rFonts w:hint="eastAsia" w:asciiTheme="minorEastAsia" w:hAnsiTheme="minorEastAsia" w:eastAsiaTheme="minorEastAsia" w:cstheme="minorEastAsia"/>
                <w:b/>
                <w:bCs w:val="0"/>
                <w:i w:val="0"/>
                <w:iCs w:val="0"/>
                <w:spacing w:val="1"/>
                <w:sz w:val="24"/>
                <w:highlight w:val="none"/>
                <w:lang w:val="en-US" w:eastAsia="zh-CN"/>
              </w:rPr>
              <w:t>20</w:t>
            </w:r>
            <w:r>
              <w:rPr>
                <w:rFonts w:hint="eastAsia" w:asciiTheme="minorEastAsia" w:hAnsiTheme="minorEastAsia" w:eastAsiaTheme="minorEastAsia" w:cstheme="minorEastAsia"/>
                <w:b/>
                <w:bCs w:val="0"/>
                <w:i w:val="0"/>
                <w:iCs w:val="0"/>
                <w:spacing w:val="1"/>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jc w:val="center"/>
        </w:trPr>
        <w:tc>
          <w:tcPr>
            <w:tcW w:w="504" w:type="pct"/>
            <w:noWrap w:val="0"/>
            <w:vAlign w:val="center"/>
          </w:tcPr>
          <w:p>
            <w:pPr>
              <w:keepNext w:val="0"/>
              <w:keepLines w:val="0"/>
              <w:pageBreakBefore w:val="0"/>
              <w:kinsoku/>
              <w:wordWrap/>
              <w:overflowPunct/>
              <w:topLinePunct w:val="0"/>
              <w:autoSpaceDE/>
              <w:autoSpaceDN/>
              <w:bidi w:val="0"/>
              <w:spacing w:line="240" w:lineRule="auto"/>
              <w:contextualSpacing/>
              <w:jc w:val="center"/>
              <w:textAlignment w:val="auto"/>
              <w:rPr>
                <w:rFonts w:hint="eastAsia" w:ascii="宋体" w:hAnsi="宋体" w:eastAsia="宋体" w:cs="宋体"/>
                <w:b/>
                <w:bCs w:val="0"/>
                <w:i w:val="0"/>
                <w:iCs w:val="0"/>
                <w:spacing w:val="1"/>
                <w:sz w:val="24"/>
                <w:highlight w:val="none"/>
              </w:rPr>
            </w:pPr>
            <w:r>
              <w:rPr>
                <w:rFonts w:hint="eastAsia" w:ascii="宋体" w:hAnsi="宋体" w:eastAsia="宋体" w:cs="宋体"/>
                <w:b/>
                <w:bCs w:val="0"/>
                <w:i w:val="0"/>
                <w:iCs w:val="0"/>
                <w:spacing w:val="1"/>
                <w:sz w:val="24"/>
                <w:highlight w:val="none"/>
              </w:rPr>
              <w:t>信用评价</w:t>
            </w:r>
          </w:p>
        </w:tc>
        <w:tc>
          <w:tcPr>
            <w:tcW w:w="3697"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投标人在省级及以上电梯维保单位信用评价中，</w:t>
            </w:r>
          </w:p>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获得过A信用评价的，得1</w:t>
            </w:r>
            <w:r>
              <w:rPr>
                <w:rFonts w:hint="eastAsia" w:hAnsi="宋体" w:cs="宋体"/>
                <w:sz w:val="24"/>
                <w:highlight w:val="none"/>
                <w:lang w:val="en-US" w:eastAsia="zh-CN"/>
              </w:rPr>
              <w:t>0</w:t>
            </w:r>
            <w:r>
              <w:rPr>
                <w:rFonts w:hint="eastAsia" w:ascii="宋体" w:hAnsi="宋体" w:eastAsia="宋体" w:cs="宋体"/>
                <w:sz w:val="24"/>
                <w:highlight w:val="none"/>
                <w:lang w:eastAsia="zh-CN"/>
              </w:rPr>
              <w:t>分；</w:t>
            </w:r>
          </w:p>
          <w:p>
            <w:pPr>
              <w:keepNext w:val="0"/>
              <w:keepLines w:val="0"/>
              <w:pageBreakBefore w:val="0"/>
              <w:kinsoku/>
              <w:wordWrap/>
              <w:overflowPunct/>
              <w:topLinePunct w:val="0"/>
              <w:autoSpaceDE/>
              <w:autoSpaceDN/>
              <w:bidi w:val="0"/>
              <w:adjustRightInd w:val="0"/>
              <w:snapToGrid w:val="0"/>
              <w:spacing w:line="240" w:lineRule="auto"/>
              <w:ind w:right="-10"/>
              <w:jc w:val="both"/>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获得过</w:t>
            </w:r>
            <w:r>
              <w:rPr>
                <w:rFonts w:hint="eastAsia" w:ascii="宋体" w:hAnsi="宋体" w:cs="宋体"/>
                <w:sz w:val="24"/>
                <w:highlight w:val="none"/>
                <w:lang w:val="en-US" w:eastAsia="zh-CN"/>
              </w:rPr>
              <w:t>B</w:t>
            </w:r>
            <w:r>
              <w:rPr>
                <w:rFonts w:hint="eastAsia" w:ascii="宋体" w:hAnsi="宋体" w:eastAsia="宋体" w:cs="宋体"/>
                <w:sz w:val="24"/>
                <w:highlight w:val="none"/>
                <w:lang w:eastAsia="zh-CN"/>
              </w:rPr>
              <w:t>用评价的，得</w:t>
            </w:r>
            <w:r>
              <w:rPr>
                <w:rFonts w:hint="eastAsia" w:hAnsi="宋体" w:cs="宋体"/>
                <w:sz w:val="24"/>
                <w:highlight w:val="none"/>
                <w:lang w:val="en-US" w:eastAsia="zh-CN"/>
              </w:rPr>
              <w:t>6</w:t>
            </w:r>
            <w:r>
              <w:rPr>
                <w:rFonts w:hint="eastAsia" w:ascii="宋体" w:hAnsi="宋体" w:eastAsia="宋体" w:cs="宋体"/>
                <w:sz w:val="24"/>
                <w:highlight w:val="none"/>
                <w:lang w:eastAsia="zh-CN"/>
              </w:rPr>
              <w:t>分；</w:t>
            </w:r>
          </w:p>
          <w:p>
            <w:pPr>
              <w:pStyle w:val="4"/>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b/>
                <w:bCs/>
                <w:color w:val="000000"/>
                <w:sz w:val="24"/>
                <w:szCs w:val="24"/>
                <w:highlight w:val="none"/>
                <w:lang w:eastAsia="zh-CN" w:bidi="ar"/>
              </w:rPr>
              <w:t>注：投标文件中提供以上证书扫描件或影印件，未提供的不得分。</w:t>
            </w:r>
          </w:p>
        </w:tc>
        <w:tc>
          <w:tcPr>
            <w:tcW w:w="797" w:type="pct"/>
            <w:noWrap w:val="0"/>
            <w:vAlign w:val="center"/>
          </w:tcPr>
          <w:p>
            <w:pPr>
              <w:pStyle w:val="4"/>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b/>
                <w:bCs w:val="0"/>
                <w:color w:val="000000"/>
                <w:sz w:val="24"/>
                <w:szCs w:val="24"/>
                <w:highlight w:val="none"/>
                <w:lang w:eastAsia="zh-CN" w:bidi="ar"/>
              </w:rPr>
            </w:pPr>
            <w:r>
              <w:rPr>
                <w:rFonts w:hint="eastAsia" w:ascii="宋体" w:hAnsi="宋体" w:eastAsia="宋体" w:cs="宋体"/>
                <w:b/>
                <w:bCs w:val="0"/>
                <w:i w:val="0"/>
                <w:iCs w:val="0"/>
                <w:spacing w:val="1"/>
                <w:sz w:val="24"/>
                <w:highlight w:val="none"/>
              </w:rPr>
              <w:t>（0-1</w:t>
            </w:r>
            <w:r>
              <w:rPr>
                <w:rFonts w:hint="eastAsia" w:hAnsi="宋体" w:cs="宋体"/>
                <w:b/>
                <w:bCs w:val="0"/>
                <w:i w:val="0"/>
                <w:iCs w:val="0"/>
                <w:spacing w:val="1"/>
                <w:sz w:val="24"/>
                <w:highlight w:val="none"/>
                <w:lang w:val="en-US" w:eastAsia="zh-CN"/>
              </w:rPr>
              <w:t>0</w:t>
            </w:r>
            <w:r>
              <w:rPr>
                <w:rFonts w:hint="eastAsia" w:ascii="宋体" w:hAnsi="宋体" w:eastAsia="宋体" w:cs="宋体"/>
                <w:b/>
                <w:bCs w:val="0"/>
                <w:i w:val="0"/>
                <w:iCs w:val="0"/>
                <w:spacing w:val="1"/>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jc w:val="center"/>
        </w:trPr>
        <w:tc>
          <w:tcPr>
            <w:tcW w:w="504" w:type="pct"/>
            <w:noWrap w:val="0"/>
            <w:vAlign w:val="center"/>
          </w:tcPr>
          <w:p>
            <w:pPr>
              <w:pStyle w:val="27"/>
              <w:keepNext w:val="0"/>
              <w:keepLines w:val="0"/>
              <w:pageBreakBefore w:val="0"/>
              <w:kinsoku/>
              <w:wordWrap/>
              <w:overflowPunct/>
              <w:topLinePunct w:val="0"/>
              <w:autoSpaceDE/>
              <w:autoSpaceDN/>
              <w:bidi w:val="0"/>
              <w:adjustRightInd w:val="0"/>
              <w:snapToGrid w:val="0"/>
              <w:spacing w:after="0" w:line="240" w:lineRule="auto"/>
              <w:contextualSpacing/>
              <w:jc w:val="center"/>
              <w:textAlignment w:val="auto"/>
              <w:rPr>
                <w:rFonts w:hint="eastAsia" w:ascii="宋体" w:hAnsi="宋体" w:eastAsia="宋体" w:cs="宋体"/>
                <w:b/>
                <w:bCs w:val="0"/>
                <w:i w:val="0"/>
                <w:iCs w:val="0"/>
                <w:sz w:val="24"/>
                <w:szCs w:val="24"/>
                <w:highlight w:val="none"/>
                <w:lang w:eastAsia="zh-CN"/>
              </w:rPr>
            </w:pPr>
            <w:r>
              <w:rPr>
                <w:rFonts w:hint="eastAsia" w:ascii="宋体" w:hAnsi="宋体" w:eastAsia="宋体" w:cs="宋体"/>
                <w:b/>
                <w:bCs w:val="0"/>
                <w:i w:val="0"/>
                <w:iCs w:val="0"/>
                <w:sz w:val="24"/>
                <w:szCs w:val="24"/>
                <w:highlight w:val="none"/>
                <w:lang w:eastAsia="zh-CN"/>
              </w:rPr>
              <w:t>投标人体系认证</w:t>
            </w:r>
          </w:p>
          <w:p>
            <w:pPr>
              <w:pStyle w:val="27"/>
              <w:keepNext w:val="0"/>
              <w:keepLines w:val="0"/>
              <w:pageBreakBefore w:val="0"/>
              <w:kinsoku/>
              <w:wordWrap/>
              <w:overflowPunct/>
              <w:topLinePunct w:val="0"/>
              <w:autoSpaceDE/>
              <w:autoSpaceDN/>
              <w:bidi w:val="0"/>
              <w:adjustRightInd w:val="0"/>
              <w:snapToGrid w:val="0"/>
              <w:spacing w:after="0" w:line="240" w:lineRule="auto"/>
              <w:contextualSpacing/>
              <w:jc w:val="center"/>
              <w:textAlignment w:val="auto"/>
              <w:rPr>
                <w:rFonts w:hint="eastAsia" w:ascii="宋体" w:hAnsi="宋体" w:eastAsia="宋体" w:cs="宋体"/>
                <w:b/>
                <w:bCs w:val="0"/>
                <w:i w:val="0"/>
                <w:iCs w:val="0"/>
                <w:sz w:val="24"/>
                <w:szCs w:val="24"/>
                <w:highlight w:val="none"/>
                <w:lang w:eastAsia="zh-CN"/>
              </w:rPr>
            </w:pPr>
          </w:p>
        </w:tc>
        <w:tc>
          <w:tcPr>
            <w:tcW w:w="3697" w:type="pct"/>
            <w:noWrap w:val="0"/>
            <w:vAlign w:val="center"/>
          </w:tcPr>
          <w:p>
            <w:pPr>
              <w:pStyle w:val="27"/>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eastAsia="zh-CN" w:bidi="ar"/>
              </w:rPr>
              <w:t>投标人具有经中国国家认证认可监督管理委员会认证机构颁发的有效期内的：</w:t>
            </w:r>
          </w:p>
          <w:p>
            <w:pPr>
              <w:pStyle w:val="27"/>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val="en-US" w:eastAsia="zh-CN" w:bidi="ar"/>
              </w:rPr>
              <w:t>1、</w:t>
            </w:r>
            <w:r>
              <w:rPr>
                <w:rFonts w:hint="eastAsia" w:ascii="宋体" w:hAnsi="宋体" w:eastAsia="宋体" w:cs="宋体"/>
                <w:color w:val="000000"/>
                <w:sz w:val="24"/>
                <w:szCs w:val="24"/>
                <w:highlight w:val="none"/>
                <w:lang w:eastAsia="zh-CN" w:bidi="ar"/>
              </w:rPr>
              <w:t>质量管理体系认证证书的，得</w:t>
            </w:r>
            <w:r>
              <w:rPr>
                <w:rFonts w:hint="eastAsia" w:ascii="宋体" w:hAnsi="宋体" w:eastAsia="宋体" w:cs="宋体"/>
                <w:color w:val="000000"/>
                <w:sz w:val="24"/>
                <w:szCs w:val="24"/>
                <w:highlight w:val="none"/>
                <w:lang w:val="en-US" w:eastAsia="zh-CN" w:bidi="ar"/>
              </w:rPr>
              <w:t>1</w:t>
            </w:r>
            <w:r>
              <w:rPr>
                <w:rFonts w:hint="eastAsia" w:ascii="宋体" w:hAnsi="宋体" w:eastAsia="宋体" w:cs="宋体"/>
                <w:color w:val="000000"/>
                <w:sz w:val="24"/>
                <w:szCs w:val="24"/>
                <w:highlight w:val="none"/>
                <w:lang w:eastAsia="zh-CN" w:bidi="ar"/>
              </w:rPr>
              <w:t xml:space="preserve">分； </w:t>
            </w:r>
          </w:p>
          <w:p>
            <w:pPr>
              <w:pStyle w:val="27"/>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eastAsia="zh-CN" w:bidi="ar"/>
              </w:rPr>
              <w:t>2、环境管理体系认证证书的，得</w:t>
            </w:r>
            <w:r>
              <w:rPr>
                <w:rFonts w:hint="eastAsia" w:ascii="宋体" w:hAnsi="宋体" w:eastAsia="宋体" w:cs="宋体"/>
                <w:color w:val="000000"/>
                <w:sz w:val="24"/>
                <w:szCs w:val="24"/>
                <w:highlight w:val="none"/>
                <w:lang w:val="en-US" w:eastAsia="zh-CN" w:bidi="ar"/>
              </w:rPr>
              <w:t>1</w:t>
            </w:r>
            <w:r>
              <w:rPr>
                <w:rFonts w:hint="eastAsia" w:ascii="宋体" w:hAnsi="宋体" w:eastAsia="宋体" w:cs="宋体"/>
                <w:color w:val="000000"/>
                <w:sz w:val="24"/>
                <w:szCs w:val="24"/>
                <w:highlight w:val="none"/>
                <w:lang w:eastAsia="zh-CN" w:bidi="ar"/>
              </w:rPr>
              <w:t xml:space="preserve">分； </w:t>
            </w:r>
          </w:p>
          <w:p>
            <w:pPr>
              <w:pStyle w:val="27"/>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eastAsia="zh-CN" w:bidi="ar"/>
              </w:rPr>
              <w:t>3、职业健康安全管理体系认证证书的，得</w:t>
            </w:r>
            <w:r>
              <w:rPr>
                <w:rFonts w:hint="eastAsia" w:ascii="宋体" w:hAnsi="宋体" w:eastAsia="宋体" w:cs="宋体"/>
                <w:color w:val="000000"/>
                <w:sz w:val="24"/>
                <w:szCs w:val="24"/>
                <w:highlight w:val="none"/>
                <w:lang w:val="en-US" w:eastAsia="zh-CN" w:bidi="ar"/>
              </w:rPr>
              <w:t>1</w:t>
            </w:r>
            <w:r>
              <w:rPr>
                <w:rFonts w:hint="eastAsia" w:ascii="宋体" w:hAnsi="宋体" w:eastAsia="宋体" w:cs="宋体"/>
                <w:color w:val="000000"/>
                <w:sz w:val="24"/>
                <w:szCs w:val="24"/>
                <w:highlight w:val="none"/>
                <w:lang w:eastAsia="zh-CN" w:bidi="ar"/>
              </w:rPr>
              <w:t>分。</w:t>
            </w:r>
          </w:p>
          <w:p>
            <w:pPr>
              <w:keepNext w:val="0"/>
              <w:keepLines w:val="0"/>
              <w:widowControl/>
              <w:suppressLineNumbers w:val="0"/>
              <w:jc w:val="left"/>
              <w:rPr>
                <w:rFonts w:hint="eastAsia" w:ascii="宋体" w:hAnsi="宋体" w:eastAsia="宋体" w:cs="宋体"/>
                <w:color w:val="000000"/>
                <w:sz w:val="24"/>
                <w:szCs w:val="24"/>
                <w:highlight w:val="none"/>
                <w:lang w:eastAsia="zh-CN" w:bidi="ar"/>
              </w:rPr>
            </w:pPr>
            <w:r>
              <w:rPr>
                <w:rFonts w:hint="eastAsia" w:ascii="宋体" w:hAnsi="宋体" w:eastAsia="宋体" w:cs="宋体"/>
                <w:b/>
                <w:bCs/>
                <w:color w:val="000000"/>
                <w:sz w:val="24"/>
                <w:szCs w:val="24"/>
                <w:highlight w:val="none"/>
                <w:lang w:eastAsia="zh-CN" w:bidi="ar"/>
              </w:rPr>
              <w:t>注：</w:t>
            </w:r>
            <w:r>
              <w:rPr>
                <w:rFonts w:hint="eastAsia" w:ascii="宋体" w:hAnsi="宋体" w:eastAsia="宋体" w:cs="宋体"/>
                <w:b/>
                <w:bCs/>
                <w:color w:val="000000"/>
                <w:kern w:val="0"/>
                <w:sz w:val="24"/>
                <w:szCs w:val="24"/>
                <w:highlight w:val="none"/>
                <w:lang w:val="en-US" w:eastAsia="zh-CN" w:bidi="ar"/>
              </w:rPr>
              <w:t>投标文件中提供上述证书的扫描件及全国认证认可信息公共服务平台官网证书信息查询截图。</w:t>
            </w:r>
          </w:p>
        </w:tc>
        <w:tc>
          <w:tcPr>
            <w:tcW w:w="797" w:type="pct"/>
            <w:noWrap w:val="0"/>
            <w:vAlign w:val="center"/>
          </w:tcPr>
          <w:p>
            <w:pPr>
              <w:pStyle w:val="27"/>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宋体" w:hAnsi="宋体" w:eastAsia="宋体" w:cs="宋体"/>
                <w:b/>
                <w:bCs w:val="0"/>
                <w:color w:val="000000"/>
                <w:sz w:val="24"/>
                <w:szCs w:val="24"/>
                <w:highlight w:val="none"/>
                <w:lang w:eastAsia="zh-CN" w:bidi="ar"/>
              </w:rPr>
            </w:pPr>
            <w:r>
              <w:rPr>
                <w:rFonts w:hint="eastAsia" w:ascii="宋体" w:hAnsi="宋体" w:eastAsia="宋体" w:cs="宋体"/>
                <w:b/>
                <w:bCs w:val="0"/>
                <w:i w:val="0"/>
                <w:iCs w:val="0"/>
                <w:sz w:val="24"/>
                <w:szCs w:val="24"/>
                <w:highlight w:val="none"/>
                <w:lang w:eastAsia="zh-CN"/>
              </w:rPr>
              <w:t>（0-</w:t>
            </w:r>
            <w:r>
              <w:rPr>
                <w:rFonts w:hint="eastAsia" w:ascii="宋体" w:hAnsi="宋体" w:eastAsia="宋体" w:cs="宋体"/>
                <w:b/>
                <w:bCs w:val="0"/>
                <w:i w:val="0"/>
                <w:iCs w:val="0"/>
                <w:sz w:val="24"/>
                <w:szCs w:val="24"/>
                <w:highlight w:val="none"/>
                <w:lang w:val="en-US" w:eastAsia="zh-CN"/>
              </w:rPr>
              <w:t>3</w:t>
            </w:r>
            <w:r>
              <w:rPr>
                <w:rFonts w:hint="eastAsia" w:ascii="宋体" w:hAnsi="宋体" w:eastAsia="宋体" w:cs="宋体"/>
                <w:b/>
                <w:bCs w:val="0"/>
                <w:i w:val="0"/>
                <w:iCs w:val="0"/>
                <w:sz w:val="24"/>
                <w:szCs w:val="24"/>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504" w:type="pct"/>
            <w:noWrap w:val="0"/>
            <w:vAlign w:val="center"/>
          </w:tcPr>
          <w:p>
            <w:pPr>
              <w:pStyle w:val="27"/>
              <w:keepNext w:val="0"/>
              <w:keepLines w:val="0"/>
              <w:pageBreakBefore w:val="0"/>
              <w:kinsoku/>
              <w:wordWrap/>
              <w:overflowPunct/>
              <w:topLinePunct w:val="0"/>
              <w:autoSpaceDE/>
              <w:autoSpaceDN/>
              <w:bidi w:val="0"/>
              <w:adjustRightInd w:val="0"/>
              <w:snapToGrid w:val="0"/>
              <w:spacing w:after="0" w:line="240" w:lineRule="auto"/>
              <w:contextualSpacing/>
              <w:jc w:val="center"/>
              <w:textAlignment w:val="auto"/>
              <w:rPr>
                <w:rFonts w:hint="default" w:ascii="宋体" w:hAnsi="宋体" w:eastAsia="宋体" w:cs="宋体"/>
                <w:b/>
                <w:bCs w:val="0"/>
                <w:i w:val="0"/>
                <w:iCs w:val="0"/>
                <w:sz w:val="24"/>
                <w:szCs w:val="24"/>
                <w:highlight w:val="none"/>
                <w:lang w:val="en-US" w:eastAsia="zh-CN"/>
              </w:rPr>
            </w:pPr>
            <w:r>
              <w:rPr>
                <w:rFonts w:hint="eastAsia" w:asciiTheme="minorEastAsia" w:hAnsiTheme="minorEastAsia" w:eastAsiaTheme="minorEastAsia" w:cstheme="minorEastAsia"/>
                <w:b/>
                <w:bCs w:val="0"/>
                <w:i w:val="0"/>
                <w:iCs w:val="0"/>
                <w:sz w:val="24"/>
                <w:szCs w:val="24"/>
                <w:highlight w:val="none"/>
                <w:lang w:eastAsia="zh-CN"/>
              </w:rPr>
              <w:t>服务单位</w:t>
            </w:r>
            <w:r>
              <w:rPr>
                <w:rFonts w:hint="eastAsia" w:asciiTheme="minorEastAsia" w:hAnsiTheme="minorEastAsia" w:eastAsiaTheme="minorEastAsia" w:cstheme="minorEastAsia"/>
                <w:b/>
                <w:bCs w:val="0"/>
                <w:i w:val="0"/>
                <w:iCs w:val="0"/>
                <w:sz w:val="24"/>
                <w:szCs w:val="24"/>
                <w:highlight w:val="none"/>
                <w:lang w:val="en-US" w:eastAsia="zh-CN"/>
              </w:rPr>
              <w:t>荣誉</w:t>
            </w:r>
          </w:p>
        </w:tc>
        <w:tc>
          <w:tcPr>
            <w:tcW w:w="3697" w:type="pct"/>
            <w:noWrap w:val="0"/>
            <w:vAlign w:val="center"/>
          </w:tcPr>
          <w:p>
            <w:pPr>
              <w:pStyle w:val="27"/>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Theme="minorEastAsia" w:hAnsiTheme="minorEastAsia" w:eastAsiaTheme="minorEastAsia" w:cstheme="minorEastAsia"/>
                <w:color w:val="000000"/>
                <w:sz w:val="24"/>
                <w:szCs w:val="24"/>
                <w:highlight w:val="none"/>
                <w:lang w:eastAsia="zh-CN" w:bidi="ar"/>
              </w:rPr>
            </w:pPr>
            <w:r>
              <w:rPr>
                <w:rFonts w:hint="eastAsia" w:asciiTheme="minorEastAsia" w:hAnsiTheme="minorEastAsia" w:eastAsiaTheme="minorEastAsia" w:cstheme="minorEastAsia"/>
                <w:color w:val="000000"/>
                <w:sz w:val="24"/>
                <w:szCs w:val="24"/>
                <w:highlight w:val="none"/>
                <w:lang w:eastAsia="zh-CN" w:bidi="ar"/>
              </w:rPr>
              <w:t>投标人</w:t>
            </w:r>
            <w:r>
              <w:rPr>
                <w:rFonts w:hint="eastAsia" w:asciiTheme="minorEastAsia" w:hAnsiTheme="minorEastAsia" w:eastAsiaTheme="minorEastAsia" w:cstheme="minorEastAsia"/>
                <w:color w:val="000000"/>
                <w:sz w:val="24"/>
                <w:szCs w:val="24"/>
                <w:highlight w:val="none"/>
                <w:lang w:val="en-US" w:eastAsia="zh-CN" w:bidi="ar"/>
              </w:rPr>
              <w:t>具有行政主管部门或在国内依法登记注册的行业协会或学会颁发</w:t>
            </w:r>
            <w:r>
              <w:rPr>
                <w:rFonts w:hint="eastAsia" w:asciiTheme="minorEastAsia" w:hAnsiTheme="minorEastAsia" w:eastAsiaTheme="minorEastAsia" w:cstheme="minorEastAsia"/>
                <w:color w:val="000000"/>
                <w:sz w:val="24"/>
                <w:szCs w:val="24"/>
                <w:highlight w:val="none"/>
                <w:lang w:eastAsia="zh-CN" w:bidi="ar"/>
              </w:rPr>
              <w:t>星级电梯维保服务单位的：</w:t>
            </w:r>
          </w:p>
          <w:p>
            <w:pPr>
              <w:pStyle w:val="27"/>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Theme="minorEastAsia" w:hAnsiTheme="minorEastAsia" w:eastAsiaTheme="minorEastAsia" w:cstheme="minorEastAsia"/>
                <w:color w:val="000000"/>
                <w:sz w:val="24"/>
                <w:szCs w:val="24"/>
                <w:highlight w:val="none"/>
                <w:lang w:eastAsia="zh-CN" w:bidi="ar"/>
              </w:rPr>
            </w:pPr>
            <w:r>
              <w:rPr>
                <w:rFonts w:hint="eastAsia" w:asciiTheme="minorEastAsia" w:hAnsiTheme="minorEastAsia" w:eastAsiaTheme="minorEastAsia" w:cstheme="minorEastAsia"/>
                <w:color w:val="000000"/>
                <w:sz w:val="24"/>
                <w:szCs w:val="24"/>
                <w:highlight w:val="none"/>
                <w:lang w:eastAsia="zh-CN" w:bidi="ar"/>
              </w:rPr>
              <w:t>1、获得五星级的，得1</w:t>
            </w:r>
            <w:r>
              <w:rPr>
                <w:rFonts w:hint="eastAsia" w:asciiTheme="minorEastAsia" w:hAnsiTheme="minorEastAsia" w:eastAsiaTheme="minorEastAsia" w:cstheme="minorEastAsia"/>
                <w:color w:val="000000"/>
                <w:sz w:val="24"/>
                <w:szCs w:val="24"/>
                <w:highlight w:val="none"/>
                <w:lang w:val="en-US" w:eastAsia="zh-CN" w:bidi="ar"/>
              </w:rPr>
              <w:t>2</w:t>
            </w:r>
            <w:r>
              <w:rPr>
                <w:rFonts w:hint="eastAsia" w:asciiTheme="minorEastAsia" w:hAnsiTheme="minorEastAsia" w:eastAsiaTheme="minorEastAsia" w:cstheme="minorEastAsia"/>
                <w:color w:val="000000"/>
                <w:sz w:val="24"/>
                <w:szCs w:val="24"/>
                <w:highlight w:val="none"/>
                <w:lang w:eastAsia="zh-CN" w:bidi="ar"/>
              </w:rPr>
              <w:t xml:space="preserve">分； </w:t>
            </w:r>
          </w:p>
          <w:p>
            <w:pPr>
              <w:pStyle w:val="27"/>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Theme="minorEastAsia" w:hAnsiTheme="minorEastAsia" w:eastAsiaTheme="minorEastAsia" w:cstheme="minorEastAsia"/>
                <w:color w:val="000000"/>
                <w:sz w:val="24"/>
                <w:szCs w:val="24"/>
                <w:highlight w:val="none"/>
                <w:lang w:eastAsia="zh-CN" w:bidi="ar"/>
              </w:rPr>
            </w:pPr>
            <w:r>
              <w:rPr>
                <w:rFonts w:hint="eastAsia" w:asciiTheme="minorEastAsia" w:hAnsiTheme="minorEastAsia" w:eastAsiaTheme="minorEastAsia" w:cstheme="minorEastAsia"/>
                <w:color w:val="000000"/>
                <w:sz w:val="24"/>
                <w:szCs w:val="24"/>
                <w:highlight w:val="none"/>
                <w:lang w:eastAsia="zh-CN" w:bidi="ar"/>
              </w:rPr>
              <w:t>2、获得四星级的，得</w:t>
            </w:r>
            <w:r>
              <w:rPr>
                <w:rFonts w:hint="eastAsia" w:asciiTheme="minorEastAsia" w:hAnsiTheme="minorEastAsia" w:eastAsiaTheme="minorEastAsia" w:cstheme="minorEastAsia"/>
                <w:color w:val="000000"/>
                <w:sz w:val="24"/>
                <w:szCs w:val="24"/>
                <w:highlight w:val="none"/>
                <w:lang w:val="en-US" w:eastAsia="zh-CN" w:bidi="ar"/>
              </w:rPr>
              <w:t>8</w:t>
            </w:r>
            <w:r>
              <w:rPr>
                <w:rFonts w:hint="eastAsia" w:asciiTheme="minorEastAsia" w:hAnsiTheme="minorEastAsia" w:eastAsiaTheme="minorEastAsia" w:cstheme="minorEastAsia"/>
                <w:color w:val="000000"/>
                <w:sz w:val="24"/>
                <w:szCs w:val="24"/>
                <w:highlight w:val="none"/>
                <w:lang w:eastAsia="zh-CN" w:bidi="ar"/>
              </w:rPr>
              <w:t xml:space="preserve">分； </w:t>
            </w:r>
          </w:p>
          <w:p>
            <w:pPr>
              <w:pStyle w:val="27"/>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Theme="minorEastAsia" w:hAnsiTheme="minorEastAsia" w:eastAsiaTheme="minorEastAsia" w:cstheme="minorEastAsia"/>
                <w:color w:val="000000"/>
                <w:sz w:val="24"/>
                <w:szCs w:val="24"/>
                <w:highlight w:val="none"/>
                <w:lang w:eastAsia="zh-CN" w:bidi="ar"/>
              </w:rPr>
            </w:pPr>
            <w:r>
              <w:rPr>
                <w:rFonts w:hint="eastAsia" w:asciiTheme="minorEastAsia" w:hAnsiTheme="minorEastAsia" w:eastAsiaTheme="minorEastAsia" w:cstheme="minorEastAsia"/>
                <w:color w:val="000000"/>
                <w:sz w:val="24"/>
                <w:szCs w:val="24"/>
                <w:highlight w:val="none"/>
                <w:lang w:eastAsia="zh-CN" w:bidi="ar"/>
              </w:rPr>
              <w:t>3、获得三星级的，得</w:t>
            </w:r>
            <w:r>
              <w:rPr>
                <w:rFonts w:hint="eastAsia" w:asciiTheme="minorEastAsia" w:hAnsiTheme="minorEastAsia" w:eastAsiaTheme="minorEastAsia" w:cstheme="minorEastAsia"/>
                <w:color w:val="000000"/>
                <w:sz w:val="24"/>
                <w:szCs w:val="24"/>
                <w:highlight w:val="none"/>
                <w:lang w:val="en-US" w:eastAsia="zh-CN" w:bidi="ar"/>
              </w:rPr>
              <w:t>4</w:t>
            </w:r>
            <w:r>
              <w:rPr>
                <w:rFonts w:hint="eastAsia" w:asciiTheme="minorEastAsia" w:hAnsiTheme="minorEastAsia" w:eastAsiaTheme="minorEastAsia" w:cstheme="minorEastAsia"/>
                <w:color w:val="000000"/>
                <w:sz w:val="24"/>
                <w:szCs w:val="24"/>
                <w:highlight w:val="none"/>
                <w:lang w:eastAsia="zh-CN" w:bidi="ar"/>
              </w:rPr>
              <w:t>分。</w:t>
            </w:r>
          </w:p>
          <w:p>
            <w:pPr>
              <w:pStyle w:val="27"/>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宋体" w:hAnsi="宋体" w:eastAsia="宋体" w:cs="宋体"/>
                <w:color w:val="000000"/>
                <w:sz w:val="24"/>
                <w:szCs w:val="24"/>
                <w:highlight w:val="none"/>
                <w:lang w:eastAsia="zh-CN" w:bidi="ar"/>
              </w:rPr>
            </w:pPr>
            <w:r>
              <w:rPr>
                <w:rFonts w:hint="eastAsia" w:asciiTheme="minorEastAsia" w:hAnsiTheme="minorEastAsia" w:eastAsiaTheme="minorEastAsia" w:cstheme="minorEastAsia"/>
                <w:b/>
                <w:bCs/>
                <w:color w:val="000000"/>
                <w:sz w:val="24"/>
                <w:szCs w:val="24"/>
                <w:highlight w:val="none"/>
                <w:lang w:eastAsia="zh-CN" w:bidi="ar"/>
              </w:rPr>
              <w:t>注：投标文件中提供证书、批复、网上公示截图（具有其中之一即可）等证明材料的</w:t>
            </w:r>
            <w:r>
              <w:rPr>
                <w:rFonts w:hint="eastAsia" w:asciiTheme="minorEastAsia" w:hAnsiTheme="minorEastAsia" w:eastAsiaTheme="minorEastAsia" w:cstheme="minorEastAsia"/>
                <w:b/>
                <w:bCs/>
                <w:color w:val="000000"/>
                <w:sz w:val="24"/>
                <w:szCs w:val="24"/>
                <w:highlight w:val="none"/>
                <w:lang w:val="en-US" w:eastAsia="zh-CN" w:bidi="ar"/>
              </w:rPr>
              <w:t>复印</w:t>
            </w:r>
            <w:r>
              <w:rPr>
                <w:rFonts w:hint="eastAsia" w:asciiTheme="minorEastAsia" w:hAnsiTheme="minorEastAsia" w:eastAsiaTheme="minorEastAsia" w:cstheme="minorEastAsia"/>
                <w:b/>
                <w:bCs/>
                <w:color w:val="000000"/>
                <w:sz w:val="24"/>
                <w:szCs w:val="24"/>
                <w:highlight w:val="none"/>
                <w:lang w:eastAsia="zh-CN" w:bidi="ar"/>
              </w:rPr>
              <w:t>件。证明材料须能体现投标人名称。“国内依法登记注册”以中国社会组织政务服务平台中“全国社会组织信用信息公示平台（试运行）”查询结果为准。针对国内依法登记注册的行业协会（或学会）颁发的奖项、荣誉，投标文件中须提供提供该协会在中国社会组织政务服务平台中“全国社会组织信用信息公示平台（试运行）”查询结果截图。民政部公布的“离岸社团”、“山寨社团”颁发的奖项、荣誉均无效。</w:t>
            </w:r>
          </w:p>
        </w:tc>
        <w:tc>
          <w:tcPr>
            <w:tcW w:w="797" w:type="pct"/>
            <w:noWrap w:val="0"/>
            <w:vAlign w:val="center"/>
          </w:tcPr>
          <w:p>
            <w:pPr>
              <w:pStyle w:val="27"/>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宋体" w:hAnsi="宋体" w:eastAsia="宋体" w:cs="宋体"/>
                <w:b/>
                <w:bCs w:val="0"/>
                <w:color w:val="000000"/>
                <w:sz w:val="24"/>
                <w:szCs w:val="24"/>
                <w:highlight w:val="none"/>
                <w:lang w:eastAsia="zh-CN" w:bidi="ar"/>
              </w:rPr>
            </w:pPr>
            <w:r>
              <w:rPr>
                <w:rFonts w:hint="eastAsia" w:ascii="宋体" w:hAnsi="宋体" w:eastAsia="宋体" w:cs="宋体"/>
                <w:b/>
                <w:bCs w:val="0"/>
                <w:i w:val="0"/>
                <w:iCs w:val="0"/>
                <w:sz w:val="24"/>
                <w:szCs w:val="24"/>
                <w:highlight w:val="none"/>
                <w:lang w:eastAsia="zh-CN"/>
              </w:rPr>
              <w:t>（0-1</w:t>
            </w:r>
            <w:r>
              <w:rPr>
                <w:rFonts w:hint="eastAsia" w:ascii="宋体" w:hAnsi="宋体" w:eastAsia="宋体" w:cs="宋体"/>
                <w:b/>
                <w:bCs w:val="0"/>
                <w:i w:val="0"/>
                <w:iCs w:val="0"/>
                <w:sz w:val="24"/>
                <w:szCs w:val="24"/>
                <w:highlight w:val="none"/>
                <w:lang w:val="en-US" w:eastAsia="zh-CN"/>
              </w:rPr>
              <w:t>2</w:t>
            </w:r>
            <w:r>
              <w:rPr>
                <w:rFonts w:hint="eastAsia" w:ascii="宋体" w:hAnsi="宋体" w:eastAsia="宋体" w:cs="宋体"/>
                <w:b/>
                <w:bCs w:val="0"/>
                <w:i w:val="0"/>
                <w:iCs w:val="0"/>
                <w:sz w:val="24"/>
                <w:szCs w:val="24"/>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0" w:type="auto"/>
            <w:vAlign w:val="center"/>
          </w:tcPr>
          <w:p>
            <w:pPr>
              <w:pStyle w:val="27"/>
              <w:keepNext w:val="0"/>
              <w:keepLines w:val="0"/>
              <w:pageBreakBefore w:val="0"/>
              <w:kinsoku/>
              <w:wordWrap/>
              <w:overflowPunct/>
              <w:topLinePunct w:val="0"/>
              <w:autoSpaceDE/>
              <w:autoSpaceDN/>
              <w:bidi w:val="0"/>
              <w:adjustRightInd w:val="0"/>
              <w:snapToGrid w:val="0"/>
              <w:spacing w:after="0" w:line="240" w:lineRule="auto"/>
              <w:contextualSpacing/>
              <w:jc w:val="center"/>
              <w:textAlignment w:val="auto"/>
              <w:rPr>
                <w:rFonts w:hint="eastAsia" w:asciiTheme="minorEastAsia" w:hAnsiTheme="minorEastAsia" w:eastAsiaTheme="minorEastAsia" w:cstheme="minorEastAsia"/>
                <w:b/>
                <w:bCs w:val="0"/>
                <w:i w:val="0"/>
                <w:iCs w:val="0"/>
                <w:kern w:val="2"/>
                <w:sz w:val="24"/>
                <w:szCs w:val="24"/>
                <w:highlight w:val="none"/>
                <w:lang w:val="en-US" w:eastAsia="zh-CN" w:bidi="zh-CN"/>
              </w:rPr>
            </w:pPr>
            <w:r>
              <w:rPr>
                <w:rFonts w:hint="eastAsia" w:asciiTheme="minorEastAsia" w:hAnsiTheme="minorEastAsia" w:eastAsiaTheme="minorEastAsia" w:cstheme="minorEastAsia"/>
                <w:b/>
                <w:bCs w:val="0"/>
                <w:i w:val="0"/>
                <w:iCs w:val="0"/>
                <w:sz w:val="24"/>
                <w:szCs w:val="24"/>
                <w:highlight w:val="none"/>
                <w:lang w:val="en-US" w:eastAsia="zh-CN"/>
              </w:rPr>
              <w:t>仪器配备</w:t>
            </w:r>
          </w:p>
        </w:tc>
        <w:tc>
          <w:tcPr>
            <w:tcW w:w="0" w:type="auto"/>
            <w:vAlign w:val="center"/>
          </w:tcPr>
          <w:p>
            <w:pPr>
              <w:pStyle w:val="27"/>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Theme="minorEastAsia" w:hAnsiTheme="minorEastAsia" w:eastAsiaTheme="minorEastAsia" w:cstheme="minorEastAsia"/>
                <w:color w:val="000000"/>
                <w:sz w:val="24"/>
                <w:szCs w:val="24"/>
                <w:highlight w:val="none"/>
                <w:lang w:eastAsia="zh-CN" w:bidi="ar"/>
              </w:rPr>
            </w:pPr>
            <w:r>
              <w:rPr>
                <w:rFonts w:hint="eastAsia" w:asciiTheme="minorEastAsia" w:hAnsiTheme="minorEastAsia" w:eastAsiaTheme="minorEastAsia" w:cstheme="minorEastAsia"/>
                <w:color w:val="000000"/>
                <w:sz w:val="24"/>
                <w:szCs w:val="24"/>
                <w:highlight w:val="none"/>
                <w:lang w:val="en-US" w:eastAsia="zh-CN" w:bidi="ar"/>
              </w:rPr>
              <w:t xml:space="preserve">投标人具有以下仪器设备，每提供一类得2分，满分10分。 </w:t>
            </w:r>
          </w:p>
          <w:p>
            <w:pPr>
              <w:pStyle w:val="27"/>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Theme="minorEastAsia" w:hAnsiTheme="minorEastAsia" w:eastAsiaTheme="minorEastAsia" w:cstheme="minorEastAsia"/>
                <w:color w:val="000000"/>
                <w:sz w:val="24"/>
                <w:szCs w:val="24"/>
                <w:highlight w:val="none"/>
                <w:lang w:eastAsia="zh-CN" w:bidi="ar"/>
              </w:rPr>
            </w:pPr>
            <w:r>
              <w:rPr>
                <w:rFonts w:hint="eastAsia" w:asciiTheme="minorEastAsia" w:hAnsiTheme="minorEastAsia" w:eastAsiaTheme="minorEastAsia" w:cstheme="minorEastAsia"/>
                <w:color w:val="000000"/>
                <w:sz w:val="24"/>
                <w:szCs w:val="24"/>
                <w:highlight w:val="none"/>
                <w:lang w:val="en-US" w:eastAsia="zh-CN" w:bidi="ar"/>
              </w:rPr>
              <w:t xml:space="preserve">1.电梯曳引机综合性能检测仪 </w:t>
            </w:r>
          </w:p>
          <w:p>
            <w:pPr>
              <w:pStyle w:val="27"/>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Theme="minorEastAsia" w:hAnsiTheme="minorEastAsia" w:eastAsiaTheme="minorEastAsia" w:cstheme="minorEastAsia"/>
                <w:color w:val="000000"/>
                <w:sz w:val="24"/>
                <w:szCs w:val="24"/>
                <w:highlight w:val="none"/>
                <w:lang w:eastAsia="zh-CN" w:bidi="ar"/>
              </w:rPr>
            </w:pPr>
            <w:r>
              <w:rPr>
                <w:rFonts w:hint="eastAsia" w:asciiTheme="minorEastAsia" w:hAnsiTheme="minorEastAsia" w:eastAsiaTheme="minorEastAsia" w:cstheme="minorEastAsia"/>
                <w:color w:val="000000"/>
                <w:sz w:val="24"/>
                <w:szCs w:val="24"/>
                <w:highlight w:val="none"/>
                <w:lang w:val="en-US" w:eastAsia="zh-CN" w:bidi="ar"/>
              </w:rPr>
              <w:t xml:space="preserve">2.地接电阻测试仪 </w:t>
            </w:r>
          </w:p>
          <w:p>
            <w:pPr>
              <w:pStyle w:val="27"/>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Theme="minorEastAsia" w:hAnsiTheme="minorEastAsia" w:eastAsiaTheme="minorEastAsia" w:cstheme="minorEastAsia"/>
                <w:color w:val="000000"/>
                <w:sz w:val="24"/>
                <w:szCs w:val="24"/>
                <w:highlight w:val="none"/>
                <w:lang w:eastAsia="zh-CN" w:bidi="ar"/>
              </w:rPr>
            </w:pPr>
            <w:r>
              <w:rPr>
                <w:rFonts w:hint="eastAsia" w:asciiTheme="minorEastAsia" w:hAnsiTheme="minorEastAsia" w:eastAsiaTheme="minorEastAsia" w:cstheme="minorEastAsia"/>
                <w:color w:val="000000"/>
                <w:sz w:val="24"/>
                <w:szCs w:val="24"/>
                <w:highlight w:val="none"/>
                <w:lang w:val="en-US" w:eastAsia="zh-CN" w:bidi="ar"/>
              </w:rPr>
              <w:t xml:space="preserve">3.限速器测试仪 </w:t>
            </w:r>
          </w:p>
          <w:p>
            <w:pPr>
              <w:pStyle w:val="27"/>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Theme="minorEastAsia" w:hAnsiTheme="minorEastAsia" w:eastAsiaTheme="minorEastAsia" w:cstheme="minorEastAsia"/>
                <w:color w:val="000000"/>
                <w:sz w:val="24"/>
                <w:szCs w:val="24"/>
                <w:highlight w:val="none"/>
                <w:lang w:eastAsia="zh-CN" w:bidi="ar"/>
              </w:rPr>
            </w:pPr>
            <w:r>
              <w:rPr>
                <w:rFonts w:hint="eastAsia" w:asciiTheme="minorEastAsia" w:hAnsiTheme="minorEastAsia" w:eastAsiaTheme="minorEastAsia" w:cstheme="minorEastAsia"/>
                <w:color w:val="000000"/>
                <w:sz w:val="24"/>
                <w:szCs w:val="24"/>
                <w:highlight w:val="none"/>
                <w:lang w:val="en-US" w:eastAsia="zh-CN" w:bidi="ar"/>
              </w:rPr>
              <w:t xml:space="preserve">4.绝缘电阻测试仪 </w:t>
            </w:r>
          </w:p>
          <w:p>
            <w:pPr>
              <w:pStyle w:val="27"/>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Theme="minorEastAsia" w:hAnsiTheme="minorEastAsia" w:eastAsiaTheme="minorEastAsia" w:cstheme="minorEastAsia"/>
                <w:color w:val="000000"/>
                <w:sz w:val="24"/>
                <w:szCs w:val="24"/>
                <w:highlight w:val="none"/>
                <w:lang w:eastAsia="zh-CN" w:bidi="ar"/>
              </w:rPr>
            </w:pPr>
            <w:r>
              <w:rPr>
                <w:rFonts w:hint="eastAsia" w:asciiTheme="minorEastAsia" w:hAnsiTheme="minorEastAsia" w:eastAsiaTheme="minorEastAsia" w:cstheme="minorEastAsia"/>
                <w:color w:val="000000"/>
                <w:sz w:val="24"/>
                <w:szCs w:val="24"/>
                <w:highlight w:val="none"/>
                <w:lang w:val="en-US" w:eastAsia="zh-CN" w:bidi="ar"/>
              </w:rPr>
              <w:t xml:space="preserve">5.激光导轨测试仪 </w:t>
            </w:r>
          </w:p>
          <w:p>
            <w:pPr>
              <w:pStyle w:val="27"/>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Theme="minorEastAsia" w:hAnsiTheme="minorEastAsia" w:eastAsiaTheme="minorEastAsia" w:cstheme="minorEastAsia"/>
                <w:b/>
                <w:bCs/>
                <w:color w:val="000000"/>
                <w:kern w:val="2"/>
                <w:sz w:val="24"/>
                <w:szCs w:val="24"/>
                <w:highlight w:val="none"/>
                <w:lang w:val="en-US" w:eastAsia="zh-CN" w:bidi="ar"/>
              </w:rPr>
            </w:pPr>
            <w:r>
              <w:rPr>
                <w:rFonts w:hint="eastAsia" w:asciiTheme="minorEastAsia" w:hAnsiTheme="minorEastAsia" w:eastAsiaTheme="minorEastAsia" w:cstheme="minorEastAsia"/>
                <w:b/>
                <w:bCs/>
                <w:color w:val="000000"/>
                <w:sz w:val="24"/>
                <w:szCs w:val="24"/>
                <w:highlight w:val="none"/>
                <w:lang w:val="en-US" w:eastAsia="zh-CN" w:bidi="ar"/>
              </w:rPr>
              <w:t>注：需提供仪器的图片，提供承诺书或者设备采购证明（如采购票据等）。同一类提供多个设备的，不累计计分，仅计分一次。</w:t>
            </w:r>
          </w:p>
        </w:tc>
        <w:tc>
          <w:tcPr>
            <w:tcW w:w="0" w:type="auto"/>
            <w:vAlign w:val="center"/>
          </w:tcPr>
          <w:p>
            <w:pPr>
              <w:pStyle w:val="27"/>
              <w:keepNext w:val="0"/>
              <w:keepLines w:val="0"/>
              <w:pageBreakBefore w:val="0"/>
              <w:kinsoku/>
              <w:wordWrap/>
              <w:overflowPunct/>
              <w:topLinePunct w:val="0"/>
              <w:autoSpaceDE/>
              <w:autoSpaceDN/>
              <w:bidi w:val="0"/>
              <w:adjustRightInd w:val="0"/>
              <w:snapToGrid w:val="0"/>
              <w:spacing w:after="0" w:line="240" w:lineRule="auto"/>
              <w:contextualSpacing/>
              <w:jc w:val="both"/>
              <w:textAlignment w:val="auto"/>
              <w:rPr>
                <w:rFonts w:hint="eastAsia" w:asciiTheme="minorEastAsia" w:hAnsiTheme="minorEastAsia" w:eastAsiaTheme="minorEastAsia" w:cstheme="minorEastAsia"/>
                <w:b/>
                <w:bCs w:val="0"/>
                <w:i w:val="0"/>
                <w:iCs w:val="0"/>
                <w:kern w:val="2"/>
                <w:sz w:val="24"/>
                <w:szCs w:val="24"/>
                <w:highlight w:val="none"/>
                <w:lang w:val="zh-CN" w:eastAsia="zh-CN" w:bidi="zh-CN"/>
              </w:rPr>
            </w:pPr>
            <w:r>
              <w:rPr>
                <w:rFonts w:hint="eastAsia" w:asciiTheme="minorEastAsia" w:hAnsiTheme="minorEastAsia" w:eastAsiaTheme="minorEastAsia" w:cstheme="minorEastAsia"/>
                <w:b/>
                <w:bCs w:val="0"/>
                <w:i w:val="0"/>
                <w:iCs w:val="0"/>
                <w:sz w:val="24"/>
                <w:szCs w:val="24"/>
                <w:highlight w:val="none"/>
                <w:lang w:eastAsia="zh-CN"/>
              </w:rPr>
              <w:t>（</w:t>
            </w:r>
            <w:r>
              <w:rPr>
                <w:rFonts w:hint="eastAsia" w:asciiTheme="minorEastAsia" w:hAnsiTheme="minorEastAsia" w:eastAsiaTheme="minorEastAsia" w:cstheme="minorEastAsia"/>
                <w:b/>
                <w:bCs w:val="0"/>
                <w:i w:val="0"/>
                <w:iCs w:val="0"/>
                <w:sz w:val="24"/>
                <w:szCs w:val="24"/>
                <w:highlight w:val="none"/>
                <w:lang w:val="en-US" w:eastAsia="zh-CN"/>
              </w:rPr>
              <w:t>0-10分</w:t>
            </w:r>
            <w:r>
              <w:rPr>
                <w:rFonts w:hint="eastAsia" w:asciiTheme="minorEastAsia" w:hAnsiTheme="minorEastAsia" w:eastAsiaTheme="minorEastAsia" w:cstheme="minorEastAsia"/>
                <w:b/>
                <w:bCs w:val="0"/>
                <w:i w:val="0"/>
                <w:iCs w:val="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0" w:type="auto"/>
            <w:vAlign w:val="center"/>
          </w:tcPr>
          <w:p>
            <w:pPr>
              <w:keepNext w:val="0"/>
              <w:keepLines w:val="0"/>
              <w:pageBreakBefore w:val="0"/>
              <w:kinsoku/>
              <w:wordWrap/>
              <w:overflowPunct/>
              <w:topLinePunct w:val="0"/>
              <w:autoSpaceDE/>
              <w:autoSpaceDN/>
              <w:bidi w:val="0"/>
              <w:spacing w:line="240" w:lineRule="auto"/>
              <w:contextualSpacing/>
              <w:jc w:val="center"/>
              <w:textAlignment w:val="auto"/>
              <w:rPr>
                <w:rFonts w:hint="eastAsia" w:asciiTheme="minorEastAsia" w:hAnsiTheme="minorEastAsia" w:eastAsiaTheme="minorEastAsia" w:cstheme="minorEastAsia"/>
                <w:b/>
                <w:bCs w:val="0"/>
                <w:i w:val="0"/>
                <w:iCs w:val="0"/>
                <w:spacing w:val="1"/>
                <w:kern w:val="2"/>
                <w:sz w:val="24"/>
                <w:szCs w:val="24"/>
                <w:highlight w:val="none"/>
                <w:lang w:val="en-US" w:eastAsia="zh-CN" w:bidi="ar-SA"/>
              </w:rPr>
            </w:pPr>
            <w:r>
              <w:rPr>
                <w:rFonts w:hint="eastAsia" w:asciiTheme="minorEastAsia" w:hAnsiTheme="minorEastAsia" w:eastAsiaTheme="minorEastAsia" w:cstheme="minorEastAsia"/>
                <w:b/>
                <w:bCs w:val="0"/>
                <w:i w:val="0"/>
                <w:iCs w:val="0"/>
                <w:spacing w:val="1"/>
                <w:sz w:val="24"/>
                <w:highlight w:val="none"/>
                <w:lang w:val="en-US" w:eastAsia="zh-CN"/>
              </w:rPr>
              <w:t>投标人业绩</w:t>
            </w:r>
          </w:p>
        </w:tc>
        <w:tc>
          <w:tcPr>
            <w:tcW w:w="0" w:type="auto"/>
            <w:vAlign w:val="center"/>
          </w:tcPr>
          <w:p>
            <w:pPr>
              <w:pStyle w:val="4"/>
              <w:keepNext w:val="0"/>
              <w:keepLines w:val="0"/>
              <w:pageBreakBefore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自20</w:t>
            </w:r>
            <w:r>
              <w:rPr>
                <w:rFonts w:hint="eastAsia" w:asciiTheme="minorEastAsia" w:hAnsiTheme="minorEastAsia" w:eastAsiaTheme="minorEastAsia" w:cstheme="minorEastAsia"/>
                <w:sz w:val="24"/>
                <w:highlight w:val="none"/>
                <w:lang w:val="en-US" w:eastAsia="zh-CN"/>
              </w:rPr>
              <w:t>21</w:t>
            </w:r>
            <w:r>
              <w:rPr>
                <w:rFonts w:hint="eastAsia" w:asciiTheme="minorEastAsia" w:hAnsiTheme="minorEastAsia" w:eastAsiaTheme="minorEastAsia" w:cstheme="minorEastAsia"/>
                <w:sz w:val="24"/>
                <w:highlight w:val="none"/>
                <w:lang w:eastAsia="zh-CN"/>
              </w:rPr>
              <w:t>年1月1日以来(以合同签订时间为准)，供应商具有单个合同电梯维保数量</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0台及以上的电梯维保项目业绩，每提供1个得</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分，满分</w:t>
            </w: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lang w:eastAsia="zh-CN"/>
              </w:rPr>
              <w:t>分。</w:t>
            </w:r>
          </w:p>
          <w:p>
            <w:pPr>
              <w:pStyle w:val="4"/>
              <w:keepNext w:val="0"/>
              <w:keepLines w:val="0"/>
              <w:pageBreakBefore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bCs/>
                <w:sz w:val="24"/>
                <w:highlight w:val="none"/>
                <w:lang w:eastAsia="zh-CN"/>
              </w:rPr>
              <w:t>注:正在履约或已完成业绩均予以认可，响应文件中须提供业绩合同扫描件，如业绩合同中不能体现合同签订时间、项目类型、电梯维保数量等评审因素的，须同时提供合同甲方加盖公章的证明材料扫描件，未提供不得分</w:t>
            </w:r>
            <w:r>
              <w:rPr>
                <w:rFonts w:hint="eastAsia" w:asciiTheme="minorEastAsia" w:hAnsiTheme="minorEastAsia" w:eastAsiaTheme="minorEastAsia" w:cstheme="minorEastAsia"/>
                <w:b/>
                <w:bCs/>
                <w:color w:val="000000"/>
                <w:sz w:val="24"/>
                <w:szCs w:val="24"/>
                <w:highlight w:val="none"/>
                <w:lang w:eastAsia="zh-CN" w:bidi="ar"/>
              </w:rPr>
              <w:t>。</w:t>
            </w:r>
          </w:p>
        </w:tc>
        <w:tc>
          <w:tcPr>
            <w:tcW w:w="0" w:type="auto"/>
            <w:vAlign w:val="center"/>
          </w:tcPr>
          <w:p>
            <w:pPr>
              <w:pStyle w:val="4"/>
              <w:keepNext w:val="0"/>
              <w:keepLines w:val="0"/>
              <w:pageBreakBefore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b/>
                <w:bCs w:val="0"/>
                <w:color w:val="000000"/>
                <w:kern w:val="2"/>
                <w:sz w:val="24"/>
                <w:szCs w:val="24"/>
                <w:highlight w:val="none"/>
                <w:lang w:val="en-US" w:eastAsia="zh-CN" w:bidi="ar"/>
              </w:rPr>
            </w:pPr>
            <w:r>
              <w:rPr>
                <w:rFonts w:hint="eastAsia" w:asciiTheme="minorEastAsia" w:hAnsiTheme="minorEastAsia" w:eastAsiaTheme="minorEastAsia" w:cstheme="minorEastAsia"/>
                <w:b/>
                <w:bCs w:val="0"/>
                <w:i w:val="0"/>
                <w:iCs w:val="0"/>
                <w:spacing w:val="1"/>
                <w:sz w:val="24"/>
                <w:highlight w:val="none"/>
              </w:rPr>
              <w:t>（0-</w:t>
            </w:r>
            <w:r>
              <w:rPr>
                <w:rFonts w:hint="eastAsia" w:asciiTheme="minorEastAsia" w:hAnsiTheme="minorEastAsia" w:eastAsiaTheme="minorEastAsia" w:cstheme="minorEastAsia"/>
                <w:b/>
                <w:bCs w:val="0"/>
                <w:i w:val="0"/>
                <w:iCs w:val="0"/>
                <w:spacing w:val="1"/>
                <w:sz w:val="24"/>
                <w:highlight w:val="none"/>
                <w:lang w:val="en-US" w:eastAsia="zh-CN"/>
              </w:rPr>
              <w:t>10</w:t>
            </w:r>
            <w:r>
              <w:rPr>
                <w:rFonts w:hint="eastAsia" w:asciiTheme="minorEastAsia" w:hAnsiTheme="minorEastAsia" w:eastAsiaTheme="minorEastAsia" w:cstheme="minorEastAsia"/>
                <w:b/>
                <w:bCs w:val="0"/>
                <w:i w:val="0"/>
                <w:iCs w:val="0"/>
                <w:spacing w:val="1"/>
                <w:sz w:val="24"/>
                <w:highlight w:val="none"/>
              </w:rPr>
              <w:t>分）</w:t>
            </w:r>
          </w:p>
        </w:tc>
      </w:tr>
    </w:tbl>
    <w:p>
      <w:pPr>
        <w:pStyle w:val="9"/>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eastAsia" w:ascii="宋体" w:hAnsi="宋体" w:eastAsia="宋体"/>
          <w:b w:val="0"/>
          <w:bCs/>
          <w:sz w:val="24"/>
          <w:highlight w:val="none"/>
          <w:lang w:eastAsia="zh-CN"/>
        </w:rPr>
      </w:pPr>
      <w:r>
        <w:rPr>
          <w:rFonts w:hint="eastAsia" w:ascii="宋体" w:hAnsi="宋体"/>
          <w:b w:val="0"/>
          <w:bCs/>
          <w:sz w:val="24"/>
          <w:highlight w:val="none"/>
          <w:lang w:val="en-US" w:eastAsia="zh-CN"/>
        </w:rPr>
        <w:t>2.2.2.2</w:t>
      </w:r>
      <w:r>
        <w:rPr>
          <w:rFonts w:hint="eastAsia" w:ascii="宋体" w:hAnsi="宋体"/>
          <w:b w:val="0"/>
          <w:bCs/>
          <w:sz w:val="24"/>
          <w:highlight w:val="none"/>
        </w:rPr>
        <w:t>磋商</w:t>
      </w:r>
      <w:r>
        <w:rPr>
          <w:rFonts w:hint="eastAsia" w:ascii="宋体" w:hAnsi="宋体"/>
          <w:b w:val="0"/>
          <w:bCs/>
          <w:sz w:val="24"/>
          <w:highlight w:val="none"/>
          <w:lang w:eastAsia="zh-CN"/>
        </w:rPr>
        <w:t>报价</w:t>
      </w:r>
    </w:p>
    <w:p>
      <w:pPr>
        <w:adjustRightInd w:val="0"/>
        <w:snapToGrid w:val="0"/>
        <w:spacing w:line="360" w:lineRule="auto"/>
        <w:ind w:right="-10" w:firstLine="420" w:firstLineChars="175"/>
        <w:rPr>
          <w:rFonts w:hint="eastAsia" w:ascii="宋体" w:hAnsi="宋体" w:eastAsia="宋体" w:cs="Times New Roman"/>
          <w:sz w:val="24"/>
          <w:highlight w:val="none"/>
          <w:lang w:val="en-US" w:eastAsia="zh-CN"/>
        </w:rPr>
      </w:pPr>
      <w:r>
        <w:rPr>
          <w:rFonts w:hint="eastAsia"/>
          <w:sz w:val="24"/>
          <w:highlight w:val="none"/>
          <w:lang w:eastAsia="zh-CN"/>
        </w:rPr>
        <w:t>因开标硬件设施限制，本次磋商，投标人只需一次报价（以开标一览表中报价为准），无需进行二轮及多轮报价，</w:t>
      </w:r>
      <w:r>
        <w:rPr>
          <w:rFonts w:hint="eastAsia" w:ascii="宋体" w:hAnsi="宋体"/>
          <w:bCs/>
          <w:sz w:val="24"/>
          <w:highlight w:val="none"/>
        </w:rPr>
        <w:t>投标人最终</w:t>
      </w:r>
      <w:r>
        <w:rPr>
          <w:rFonts w:hint="eastAsia" w:ascii="宋体" w:hAnsi="宋体"/>
          <w:bCs/>
          <w:sz w:val="24"/>
          <w:highlight w:val="none"/>
          <w:lang w:eastAsia="zh-CN"/>
        </w:rPr>
        <w:t>评审</w:t>
      </w:r>
      <w:r>
        <w:rPr>
          <w:rFonts w:hint="eastAsia" w:ascii="宋体" w:hAnsi="宋体"/>
          <w:bCs/>
          <w:sz w:val="24"/>
          <w:highlight w:val="none"/>
        </w:rPr>
        <w:t>报价是签订合同的依据。</w:t>
      </w:r>
    </w:p>
    <w:p>
      <w:pPr>
        <w:adjustRightInd w:val="0"/>
        <w:snapToGrid w:val="0"/>
        <w:spacing w:line="360" w:lineRule="auto"/>
        <w:ind w:right="-10" w:firstLine="420" w:firstLineChars="175"/>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2.2.2.3价格分值计算：</w:t>
      </w:r>
    </w:p>
    <w:p>
      <w:pPr>
        <w:adjustRightInd w:val="0"/>
        <w:snapToGrid w:val="0"/>
        <w:spacing w:line="360" w:lineRule="auto"/>
        <w:ind w:right="-10" w:firstLine="420" w:firstLineChars="175"/>
        <w:rPr>
          <w:rFonts w:hint="eastAsia" w:ascii="宋体" w:hAnsi="宋体"/>
          <w:bCs/>
          <w:color w:val="auto"/>
          <w:sz w:val="24"/>
          <w:highlight w:val="none"/>
        </w:rPr>
      </w:pPr>
      <w:r>
        <w:rPr>
          <w:rFonts w:hint="eastAsia" w:ascii="宋体" w:hAnsi="宋体"/>
          <w:bCs/>
          <w:color w:val="auto"/>
          <w:sz w:val="24"/>
          <w:highlight w:val="none"/>
        </w:rPr>
        <w:t>依据通过初审的有效投标人名单，其投标人的</w:t>
      </w:r>
      <w:r>
        <w:rPr>
          <w:rFonts w:hint="eastAsia" w:ascii="宋体" w:hAnsi="宋体"/>
          <w:bCs/>
          <w:color w:val="auto"/>
          <w:sz w:val="24"/>
          <w:highlight w:val="none"/>
          <w:lang w:eastAsia="zh-CN"/>
        </w:rPr>
        <w:t>价格分值</w:t>
      </w:r>
      <w:r>
        <w:rPr>
          <w:rFonts w:hint="eastAsia" w:ascii="宋体" w:hAnsi="宋体"/>
          <w:bCs/>
          <w:color w:val="auto"/>
          <w:sz w:val="24"/>
          <w:highlight w:val="none"/>
        </w:rPr>
        <w:t>得分按照以下方式计算：</w:t>
      </w:r>
    </w:p>
    <w:tbl>
      <w:tblPr>
        <w:tblStyle w:val="18"/>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699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noWrap w:val="0"/>
            <w:vAlign w:val="center"/>
          </w:tcPr>
          <w:p>
            <w:pPr>
              <w:spacing w:line="0" w:lineRule="atLeast"/>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eastAsia="zh-CN"/>
              </w:rPr>
              <w:t>价格分</w:t>
            </w:r>
          </w:p>
        </w:tc>
        <w:tc>
          <w:tcPr>
            <w:tcW w:w="4169" w:type="pct"/>
            <w:noWrap w:val="0"/>
            <w:vAlign w:val="center"/>
          </w:tcPr>
          <w:p>
            <w:pPr>
              <w:spacing w:line="460" w:lineRule="exact"/>
              <w:jc w:val="left"/>
              <w:rPr>
                <w:rFonts w:ascii="宋体" w:hAnsi="宋体" w:eastAsia="宋体" w:cs="宋体"/>
                <w:sz w:val="24"/>
                <w:highlight w:val="none"/>
              </w:rPr>
            </w:pPr>
            <w:r>
              <w:rPr>
                <w:rFonts w:hint="eastAsia" w:ascii="宋体" w:hAnsi="宋体" w:eastAsia="宋体" w:cs="宋体"/>
                <w:sz w:val="24"/>
                <w:highlight w:val="none"/>
              </w:rPr>
              <w:t>价格分统一采用低价优先法，即满足招标文件要求且投标价格最低的投标报价为评标基准价，其价格分为满分</w:t>
            </w:r>
            <w:r>
              <w:rPr>
                <w:rFonts w:hint="eastAsia" w:ascii="宋体" w:hAnsi="宋体" w:eastAsia="宋体" w:cs="宋体"/>
                <w:sz w:val="24"/>
                <w:highlight w:val="none"/>
                <w:u w:val="single"/>
              </w:rPr>
              <w:t xml:space="preserve"> </w:t>
            </w:r>
            <w:r>
              <w:rPr>
                <w:rFonts w:hint="eastAsia" w:hAnsi="宋体" w:cs="宋体"/>
                <w:sz w:val="24"/>
                <w:highlight w:val="none"/>
                <w:u w:val="single"/>
                <w:lang w:val="en-US" w:eastAsia="zh-CN"/>
              </w:rPr>
              <w:t>20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2"/>
                <w:szCs w:val="22"/>
                <w:highlight w:val="none"/>
              </w:rPr>
            </w:pPr>
            <w:r>
              <w:rPr>
                <w:rFonts w:hint="eastAsia" w:ascii="宋体" w:hAnsi="宋体" w:eastAsia="宋体" w:cs="宋体"/>
                <w:sz w:val="24"/>
                <w:highlight w:val="none"/>
              </w:rPr>
              <w:t>投标报价得分＝（评标基准价/投标报价）×</w:t>
            </w:r>
            <w:r>
              <w:rPr>
                <w:rFonts w:hint="eastAsia" w:ascii="宋体" w:hAnsi="宋体" w:eastAsia="宋体" w:cs="宋体"/>
                <w:sz w:val="24"/>
                <w:highlight w:val="none"/>
                <w:u w:val="single"/>
              </w:rPr>
              <w:t xml:space="preserve"> </w:t>
            </w:r>
            <w:r>
              <w:rPr>
                <w:rFonts w:hint="eastAsia" w:hAnsi="宋体" w:cs="宋体"/>
                <w:sz w:val="24"/>
                <w:highlight w:val="none"/>
                <w:u w:val="single"/>
                <w:lang w:val="en-US" w:eastAsia="zh-CN"/>
              </w:rPr>
              <w:t>20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％×100</w:t>
            </w:r>
          </w:p>
        </w:tc>
        <w:tc>
          <w:tcPr>
            <w:tcW w:w="488" w:type="pct"/>
            <w:noWrap w:val="0"/>
            <w:vAlign w:val="center"/>
          </w:tcPr>
          <w:p>
            <w:pPr>
              <w:widowControl/>
              <w:numPr>
                <w:ilvl w:val="0"/>
                <w:numId w:val="0"/>
              </w:numPr>
              <w:spacing w:line="0" w:lineRule="atLeast"/>
              <w:jc w:val="center"/>
              <w:rPr>
                <w:rFonts w:hint="eastAsia" w:ascii="宋体" w:hAnsi="宋体" w:cs="宋体"/>
                <w:b/>
                <w:color w:val="auto"/>
                <w:kern w:val="0"/>
                <w:sz w:val="22"/>
                <w:szCs w:val="22"/>
                <w:highlight w:val="none"/>
              </w:rPr>
            </w:pPr>
            <w:r>
              <w:rPr>
                <w:rFonts w:hint="eastAsia" w:ascii="宋体" w:hAnsi="宋体" w:eastAsia="宋体" w:cs="宋体"/>
                <w:sz w:val="24"/>
                <w:szCs w:val="24"/>
                <w:highlight w:val="none"/>
                <w:lang w:val="en-US" w:eastAsia="zh-CN"/>
              </w:rPr>
              <w:t>0-</w:t>
            </w:r>
            <w:r>
              <w:rPr>
                <w:rFonts w:hint="eastAsia" w:hAnsi="宋体" w:cs="宋体"/>
                <w:sz w:val="24"/>
                <w:szCs w:val="24"/>
                <w:highlight w:val="none"/>
                <w:lang w:val="en-US" w:eastAsia="zh-CN"/>
              </w:rPr>
              <w:t>20</w:t>
            </w:r>
            <w:r>
              <w:rPr>
                <w:rFonts w:hint="eastAsia" w:ascii="宋体" w:hAnsi="宋体" w:eastAsia="宋体" w:cs="宋体"/>
                <w:sz w:val="24"/>
                <w:szCs w:val="24"/>
                <w:highlight w:val="none"/>
                <w:lang w:eastAsia="zh-CN"/>
              </w:rPr>
              <w:t>分</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default" w:ascii="宋体" w:hAnsi="宋体"/>
          <w:b w:val="0"/>
          <w:bCs/>
          <w:sz w:val="24"/>
          <w:highlight w:val="none"/>
          <w:lang w:val="en-US" w:eastAsia="zh-CN"/>
        </w:rPr>
      </w:pPr>
      <w:r>
        <w:rPr>
          <w:rFonts w:hint="eastAsia" w:ascii="宋体" w:hAnsi="宋体"/>
          <w:b w:val="0"/>
          <w:bCs/>
          <w:sz w:val="24"/>
          <w:highlight w:val="none"/>
          <w:lang w:val="en-US" w:eastAsia="zh-CN"/>
        </w:rPr>
        <w:t>2.2.3分值汇总</w:t>
      </w:r>
    </w:p>
    <w:p>
      <w:pPr>
        <w:numPr>
          <w:ilvl w:val="0"/>
          <w:numId w:val="11"/>
        </w:numPr>
        <w:adjustRightInd w:val="0"/>
        <w:snapToGrid w:val="0"/>
        <w:spacing w:line="360" w:lineRule="auto"/>
        <w:ind w:right="-10" w:firstLine="420" w:firstLineChars="175"/>
        <w:rPr>
          <w:rFonts w:hint="eastAsia" w:ascii="宋体" w:hAnsi="宋体"/>
          <w:bCs/>
          <w:sz w:val="24"/>
        </w:rPr>
      </w:pPr>
      <w:r>
        <w:rPr>
          <w:rFonts w:hint="eastAsia" w:ascii="宋体" w:hAnsi="宋体" w:eastAsia="宋体" w:cs="Times New Roman"/>
          <w:b w:val="0"/>
          <w:bCs/>
          <w:color w:val="auto"/>
          <w:sz w:val="24"/>
          <w:szCs w:val="20"/>
          <w:highlight w:val="none"/>
          <w:lang w:val="en-US" w:eastAsia="zh-CN" w:bidi="ar-SA"/>
        </w:rPr>
        <w:t>磋商小组各成员按照本章2.2.2.1评分标准独立对通过初审的响应文件进行技术资信分评价、打分。</w:t>
      </w:r>
      <w:r>
        <w:rPr>
          <w:rFonts w:hint="eastAsia" w:ascii="宋体" w:hAnsi="宋体"/>
          <w:kern w:val="0"/>
          <w:sz w:val="24"/>
        </w:rPr>
        <w:t>磋商小组</w:t>
      </w:r>
      <w:r>
        <w:rPr>
          <w:rFonts w:hint="eastAsia" w:ascii="宋体" w:hAnsi="宋体"/>
          <w:bCs/>
          <w:sz w:val="24"/>
        </w:rPr>
        <w:t>各成员每一项的打分取平均值，得到该投标人该分值项的得分。将投标人每个分值项得分进行汇总，得到该投标人的技术部分得分（四舍五入保留至小数点后两位数）。</w:t>
      </w:r>
    </w:p>
    <w:p>
      <w:pPr>
        <w:numPr>
          <w:ilvl w:val="0"/>
          <w:numId w:val="11"/>
        </w:numPr>
        <w:adjustRightInd w:val="0"/>
        <w:snapToGrid w:val="0"/>
        <w:spacing w:line="360" w:lineRule="auto"/>
        <w:ind w:right="-10" w:firstLine="420" w:firstLineChars="175"/>
        <w:rPr>
          <w:rFonts w:hint="eastAsia" w:ascii="宋体" w:hAnsi="宋体" w:eastAsia="宋体" w:cs="Times New Roman"/>
          <w:b w:val="0"/>
          <w:bCs/>
          <w:color w:val="auto"/>
          <w:sz w:val="24"/>
          <w:szCs w:val="20"/>
          <w:highlight w:val="none"/>
          <w:lang w:val="en-US" w:eastAsia="zh-CN" w:bidi="ar-SA"/>
        </w:rPr>
      </w:pPr>
      <w:r>
        <w:rPr>
          <w:rFonts w:hint="eastAsia" w:ascii="宋体" w:hAnsi="宋体" w:eastAsia="宋体" w:cs="Times New Roman"/>
          <w:b w:val="0"/>
          <w:bCs/>
          <w:color w:val="auto"/>
          <w:sz w:val="24"/>
          <w:szCs w:val="20"/>
          <w:highlight w:val="none"/>
          <w:lang w:val="en-US" w:eastAsia="zh-CN" w:bidi="ar-SA"/>
        </w:rPr>
        <w:t>将每个投标人的技术资信分加上根据上述标准计算出的价格分，即为该投标人的综合总得分。</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lang w:val="en-US" w:eastAsia="zh-CN"/>
        </w:rPr>
        <w:t>2.3</w:t>
      </w:r>
      <w:r>
        <w:rPr>
          <w:rFonts w:hint="eastAsia" w:ascii="宋体" w:hAnsi="宋体"/>
          <w:b/>
          <w:color w:val="auto"/>
          <w:sz w:val="24"/>
          <w:szCs w:val="24"/>
          <w:highlight w:val="none"/>
        </w:rPr>
        <w:t>确定中标候选人</w:t>
      </w:r>
    </w:p>
    <w:bookmarkEnd w:id="45"/>
    <w:p>
      <w:pPr>
        <w:adjustRightInd w:val="0"/>
        <w:snapToGrid w:val="0"/>
        <w:spacing w:line="360" w:lineRule="auto"/>
        <w:ind w:right="-10" w:firstLine="420" w:firstLineChars="175"/>
        <w:rPr>
          <w:rFonts w:ascii="宋体" w:hAnsi="宋体"/>
          <w:bCs/>
          <w:sz w:val="24"/>
        </w:rPr>
      </w:pPr>
      <w:bookmarkStart w:id="46" w:name="_Toc28799375"/>
      <w:r>
        <w:rPr>
          <w:rFonts w:hint="eastAsia" w:ascii="宋体" w:hAnsi="宋体"/>
          <w:bCs/>
          <w:sz w:val="24"/>
          <w:lang w:val="en-US" w:eastAsia="zh-CN"/>
        </w:rPr>
        <w:t>2.3.1</w:t>
      </w:r>
      <w:r>
        <w:rPr>
          <w:rFonts w:hint="eastAsia" w:ascii="宋体" w:hAnsi="宋体"/>
          <w:bCs/>
          <w:sz w:val="24"/>
        </w:rPr>
        <w:t>按照有效投标人</w:t>
      </w:r>
      <w:r>
        <w:rPr>
          <w:rFonts w:hint="eastAsia" w:ascii="宋体" w:hAnsi="宋体"/>
          <w:bCs/>
          <w:sz w:val="24"/>
          <w:lang w:eastAsia="zh-CN"/>
        </w:rPr>
        <w:t>综合总得分</w:t>
      </w:r>
      <w:r>
        <w:rPr>
          <w:rFonts w:hint="eastAsia" w:ascii="宋体" w:hAnsi="宋体"/>
          <w:bCs/>
          <w:sz w:val="24"/>
        </w:rPr>
        <w:t>由高到低排出中标候选人。</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最终得分相同的，按技术部分得分由高到低顺序排序。技术部分得分及最终得分均相同的，</w:t>
      </w:r>
      <w:bookmarkStart w:id="47" w:name="_Hlk514735510"/>
      <w:r>
        <w:rPr>
          <w:rFonts w:hint="eastAsia" w:ascii="宋体" w:hAnsi="宋体"/>
          <w:bCs/>
          <w:sz w:val="24"/>
        </w:rPr>
        <w:t>则采取磋商小组抽签方式确定其前后次序。</w:t>
      </w:r>
      <w:bookmarkEnd w:id="47"/>
    </w:p>
    <w:p>
      <w:pPr>
        <w:adjustRightInd w:val="0"/>
        <w:snapToGrid w:val="0"/>
        <w:spacing w:line="360" w:lineRule="auto"/>
        <w:ind w:right="-10" w:firstLine="482" w:firstLineChars="200"/>
        <w:rPr>
          <w:rFonts w:hint="eastAsia" w:ascii="宋体" w:hAnsi="宋体"/>
          <w:sz w:val="24"/>
        </w:rPr>
      </w:pPr>
      <w:r>
        <w:rPr>
          <w:rFonts w:hint="eastAsia" w:ascii="宋体" w:hAnsi="宋体"/>
          <w:b/>
          <w:sz w:val="24"/>
          <w:lang w:val="en-US" w:eastAsia="zh-CN"/>
        </w:rPr>
        <w:t>2.4</w:t>
      </w:r>
      <w:r>
        <w:rPr>
          <w:rFonts w:hint="eastAsia" w:ascii="宋体" w:hAnsi="宋体"/>
          <w:sz w:val="24"/>
        </w:rPr>
        <w:t xml:space="preserve"> 在评审过程中，磋商小组发现投标人的报价或者某些分项报价可能低于成本或者高于磋商文件设定的最高投标限价的，磋商小组将以</w:t>
      </w:r>
      <w:r>
        <w:rPr>
          <w:rFonts w:hint="eastAsia" w:ascii="宋体" w:hAnsi="宋体"/>
          <w:sz w:val="24"/>
          <w:lang w:eastAsia="zh-CN"/>
        </w:rPr>
        <w:t>不利于投标人的原则推断，</w:t>
      </w:r>
      <w:r>
        <w:rPr>
          <w:rFonts w:hint="eastAsia" w:ascii="宋体" w:hAnsi="宋体"/>
          <w:sz w:val="24"/>
        </w:rPr>
        <w:t>经磋商小组认定其报价低于成本或者高于磋商文件设定的最高投标限价的，将否决其投标。</w:t>
      </w:r>
    </w:p>
    <w:p>
      <w:pPr>
        <w:adjustRightInd w:val="0"/>
        <w:snapToGrid w:val="0"/>
        <w:spacing w:line="360" w:lineRule="auto"/>
        <w:ind w:right="-10" w:firstLine="482" w:firstLineChars="200"/>
        <w:rPr>
          <w:rFonts w:ascii="宋体" w:hAnsi="宋体"/>
          <w:sz w:val="24"/>
        </w:rPr>
      </w:pPr>
      <w:r>
        <w:rPr>
          <w:rFonts w:hint="eastAsia" w:ascii="宋体" w:hAnsi="宋体"/>
          <w:b/>
          <w:sz w:val="24"/>
          <w:lang w:val="en-US" w:eastAsia="zh-CN"/>
        </w:rPr>
        <w:t>2.5</w:t>
      </w:r>
      <w:r>
        <w:rPr>
          <w:rFonts w:hint="eastAsia" w:ascii="宋体" w:hAnsi="宋体"/>
          <w:sz w:val="24"/>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int="eastAsia" w:ascii="宋体" w:hAnsi="宋体"/>
          <w:sz w:val="24"/>
        </w:rPr>
      </w:pPr>
      <w:r>
        <w:rPr>
          <w:rFonts w:hint="eastAsia" w:ascii="宋体" w:hAnsi="宋体"/>
          <w:b/>
          <w:bCs/>
          <w:sz w:val="24"/>
          <w:lang w:val="en-US" w:eastAsia="zh-CN"/>
        </w:rPr>
        <w:t>2.6</w:t>
      </w:r>
      <w:r>
        <w:rPr>
          <w:rFonts w:hint="eastAsia" w:ascii="宋体" w:hAnsi="宋体"/>
          <w:sz w:val="24"/>
        </w:rPr>
        <w:t>评</w:t>
      </w:r>
      <w:r>
        <w:rPr>
          <w:rFonts w:hint="eastAsia" w:ascii="宋体" w:hAnsi="宋体"/>
          <w:sz w:val="24"/>
          <w:lang w:eastAsia="zh-CN"/>
        </w:rPr>
        <w:t>审</w:t>
      </w:r>
      <w:r>
        <w:rPr>
          <w:rFonts w:hint="eastAsia" w:ascii="宋体" w:hAnsi="宋体"/>
          <w:sz w:val="24"/>
        </w:rPr>
        <w:t>后，磋商小组应写出评</w:t>
      </w:r>
      <w:r>
        <w:rPr>
          <w:rFonts w:hint="eastAsia" w:ascii="宋体" w:hAnsi="宋体"/>
          <w:sz w:val="24"/>
          <w:lang w:eastAsia="zh-CN"/>
        </w:rPr>
        <w:t>审</w:t>
      </w:r>
      <w:r>
        <w:rPr>
          <w:rFonts w:hint="eastAsia" w:ascii="宋体" w:hAnsi="宋体"/>
          <w:sz w:val="24"/>
        </w:rPr>
        <w:t>报告并签字。评</w:t>
      </w:r>
      <w:r>
        <w:rPr>
          <w:rFonts w:hint="eastAsia" w:ascii="宋体" w:hAnsi="宋体"/>
          <w:sz w:val="24"/>
          <w:lang w:eastAsia="zh-CN"/>
        </w:rPr>
        <w:t>审</w:t>
      </w:r>
      <w:r>
        <w:rPr>
          <w:rFonts w:hint="eastAsia" w:ascii="宋体" w:hAnsi="宋体"/>
          <w:sz w:val="24"/>
        </w:rPr>
        <w:t>报告是磋商小组根据全体</w:t>
      </w:r>
      <w:r>
        <w:rPr>
          <w:rFonts w:hint="eastAsia" w:ascii="宋体" w:hAnsi="宋体"/>
          <w:sz w:val="24"/>
          <w:lang w:eastAsia="zh-CN"/>
        </w:rPr>
        <w:t>磋商小组成员</w:t>
      </w:r>
      <w:r>
        <w:rPr>
          <w:rFonts w:hint="eastAsia" w:ascii="宋体" w:hAnsi="宋体"/>
          <w:sz w:val="24"/>
        </w:rPr>
        <w:t>签字的原始评</w:t>
      </w:r>
      <w:r>
        <w:rPr>
          <w:rFonts w:hint="eastAsia" w:ascii="宋体" w:hAnsi="宋体"/>
          <w:sz w:val="24"/>
          <w:lang w:eastAsia="zh-CN"/>
        </w:rPr>
        <w:t>审</w:t>
      </w:r>
      <w:r>
        <w:rPr>
          <w:rFonts w:hint="eastAsia" w:ascii="宋体" w:hAnsi="宋体"/>
          <w:sz w:val="24"/>
        </w:rPr>
        <w:t>记录和评</w:t>
      </w:r>
      <w:r>
        <w:rPr>
          <w:rFonts w:hint="eastAsia" w:ascii="宋体" w:hAnsi="宋体"/>
          <w:sz w:val="24"/>
          <w:lang w:eastAsia="zh-CN"/>
        </w:rPr>
        <w:t>审</w:t>
      </w:r>
      <w:r>
        <w:rPr>
          <w:rFonts w:hint="eastAsia" w:ascii="宋体" w:hAnsi="宋体"/>
          <w:sz w:val="24"/>
        </w:rPr>
        <w:t>结果编写的报告，磋商小组全体成员均须在评</w:t>
      </w:r>
      <w:r>
        <w:rPr>
          <w:rFonts w:hint="eastAsia" w:ascii="宋体" w:hAnsi="宋体"/>
          <w:sz w:val="24"/>
          <w:lang w:eastAsia="zh-CN"/>
        </w:rPr>
        <w:t>审</w:t>
      </w:r>
      <w:r>
        <w:rPr>
          <w:rFonts w:hint="eastAsia" w:ascii="宋体" w:hAnsi="宋体"/>
          <w:sz w:val="24"/>
        </w:rPr>
        <w:t>报告上签字。评</w:t>
      </w:r>
      <w:r>
        <w:rPr>
          <w:rFonts w:hint="eastAsia" w:ascii="宋体" w:hAnsi="宋体"/>
          <w:sz w:val="24"/>
          <w:lang w:eastAsia="zh-CN"/>
        </w:rPr>
        <w:t>审</w:t>
      </w:r>
      <w:r>
        <w:rPr>
          <w:rFonts w:hint="eastAsia" w:ascii="宋体" w:hAnsi="宋体"/>
          <w:sz w:val="24"/>
        </w:rPr>
        <w:t>报告应如实记录本次评</w:t>
      </w:r>
      <w:r>
        <w:rPr>
          <w:rFonts w:hint="eastAsia" w:ascii="宋体" w:hAnsi="宋体"/>
          <w:sz w:val="24"/>
          <w:lang w:eastAsia="zh-CN"/>
        </w:rPr>
        <w:t>审</w:t>
      </w:r>
      <w:r>
        <w:rPr>
          <w:rFonts w:hint="eastAsia" w:ascii="宋体" w:hAnsi="宋体"/>
          <w:sz w:val="24"/>
        </w:rPr>
        <w:t>的主要过程，全面反映评</w:t>
      </w:r>
      <w:r>
        <w:rPr>
          <w:rFonts w:hint="eastAsia" w:ascii="宋体" w:hAnsi="宋体"/>
          <w:sz w:val="24"/>
          <w:lang w:eastAsia="zh-CN"/>
        </w:rPr>
        <w:t>审</w:t>
      </w:r>
      <w:r>
        <w:rPr>
          <w:rFonts w:hint="eastAsia" w:ascii="宋体" w:hAnsi="宋体"/>
          <w:sz w:val="24"/>
        </w:rPr>
        <w:t>过程中的各种不同的意见，以及其他澄清、说明、补正事项。</w:t>
      </w:r>
    </w:p>
    <w:p>
      <w:pPr>
        <w:adjustRightInd w:val="0"/>
        <w:snapToGrid w:val="0"/>
        <w:spacing w:line="360" w:lineRule="auto"/>
        <w:ind w:right="-10"/>
        <w:rPr>
          <w:rFonts w:ascii="宋体" w:hAnsi="宋体"/>
          <w:sz w:val="24"/>
        </w:rPr>
      </w:pPr>
      <w:r>
        <w:rPr>
          <w:rFonts w:ascii="宋体" w:hAnsi="宋体"/>
          <w:sz w:val="24"/>
        </w:rPr>
        <w:t xml:space="preserve">    </w:t>
      </w:r>
      <w:r>
        <w:rPr>
          <w:rFonts w:hint="eastAsia" w:ascii="宋体" w:hAnsi="宋体"/>
          <w:b/>
          <w:sz w:val="24"/>
          <w:lang w:val="en-US" w:eastAsia="zh-CN"/>
        </w:rPr>
        <w:t>2.7</w:t>
      </w:r>
      <w:r>
        <w:rPr>
          <w:rFonts w:hint="eastAsia" w:ascii="宋体" w:hAnsi="宋体"/>
          <w:sz w:val="24"/>
        </w:rPr>
        <w:t>磋商小组和评</w:t>
      </w:r>
      <w:r>
        <w:rPr>
          <w:rFonts w:hint="eastAsia" w:ascii="宋体" w:hAnsi="宋体"/>
          <w:sz w:val="24"/>
          <w:lang w:eastAsia="zh-CN"/>
        </w:rPr>
        <w:t>审</w:t>
      </w:r>
      <w:r>
        <w:rPr>
          <w:rFonts w:hint="eastAsia" w:ascii="宋体" w:hAnsi="宋体"/>
          <w:sz w:val="24"/>
        </w:rPr>
        <w:t>工作人员应严格遵守国家的法律、法规和规章制度；严格按照本次磋商文件进行评</w:t>
      </w:r>
      <w:r>
        <w:rPr>
          <w:rFonts w:hint="eastAsia" w:ascii="宋体" w:hAnsi="宋体"/>
          <w:sz w:val="24"/>
          <w:lang w:eastAsia="zh-CN"/>
        </w:rPr>
        <w:t>审</w:t>
      </w:r>
      <w:r>
        <w:rPr>
          <w:rFonts w:hint="eastAsia" w:ascii="宋体" w:hAnsi="宋体"/>
          <w:sz w:val="24"/>
        </w:rPr>
        <w:t>；公正廉洁、不徇私情，不得损害国家利益；保护招、投标人的合法权益。</w:t>
      </w:r>
    </w:p>
    <w:p>
      <w:pPr>
        <w:rPr>
          <w:rFonts w:hint="eastAsia" w:ascii="宋体" w:hAnsi="宋体"/>
          <w:b w:val="0"/>
          <w:bCs w:val="0"/>
          <w:color w:val="auto"/>
          <w:sz w:val="24"/>
          <w:highlight w:val="none"/>
        </w:rPr>
      </w:pPr>
    </w:p>
    <w:p>
      <w:pPr>
        <w:pStyle w:val="2"/>
        <w:numPr>
          <w:ilvl w:val="0"/>
          <w:numId w:val="0"/>
        </w:numPr>
        <w:jc w:val="center"/>
        <w:rPr>
          <w:rFonts w:hint="eastAsia" w:ascii="宋体" w:hAnsi="Times New Roman" w:eastAsia="宋体" w:cs="Times New Roman"/>
          <w:b/>
          <w:bCs/>
          <w:lang w:val="en-US" w:eastAsia="zh-CN"/>
        </w:rPr>
      </w:pPr>
      <w:bookmarkStart w:id="48" w:name="_Toc31114"/>
      <w:r>
        <w:rPr>
          <w:rFonts w:hint="eastAsia" w:ascii="宋体" w:hAnsi="Times New Roman" w:eastAsia="宋体" w:cs="Times New Roman"/>
          <w:b/>
          <w:bCs/>
          <w:lang w:val="en-US" w:eastAsia="zh-CN"/>
        </w:rPr>
        <w:t>第五章 合同条款及格式</w:t>
      </w:r>
      <w:bookmarkEnd w:id="46"/>
      <w:r>
        <w:rPr>
          <w:rFonts w:hint="eastAsia" w:ascii="宋体" w:hAnsi="Times New Roman" w:eastAsia="宋体" w:cs="Times New Roman"/>
          <w:b/>
          <w:bCs/>
          <w:lang w:val="en-US" w:eastAsia="zh-CN"/>
        </w:rPr>
        <w:t>（另行提供）</w:t>
      </w:r>
      <w:bookmarkEnd w:id="48"/>
    </w:p>
    <w:p>
      <w:pPr>
        <w:jc w:val="center"/>
        <w:rPr>
          <w:rFonts w:hint="eastAsia" w:ascii="黑体" w:hAnsi="黑体" w:eastAsia="黑体"/>
          <w:bCs/>
          <w:kern w:val="44"/>
          <w:sz w:val="32"/>
          <w:szCs w:val="44"/>
          <w:highlight w:val="none"/>
        </w:rPr>
      </w:pPr>
    </w:p>
    <w:p>
      <w:pPr>
        <w:pStyle w:val="22"/>
        <w:rPr>
          <w:rFonts w:hint="eastAsia" w:hAnsi="宋体"/>
          <w:b/>
          <w:color w:val="000000"/>
          <w:szCs w:val="24"/>
          <w:highlight w:val="none"/>
        </w:rPr>
      </w:pPr>
    </w:p>
    <w:p>
      <w:pPr>
        <w:pStyle w:val="22"/>
        <w:rPr>
          <w:rFonts w:hint="eastAsia" w:hAnsi="宋体"/>
          <w:b/>
          <w:color w:val="000000"/>
          <w:szCs w:val="24"/>
          <w:highlight w:val="none"/>
        </w:rPr>
      </w:pPr>
    </w:p>
    <w:p>
      <w:pPr>
        <w:pStyle w:val="22"/>
        <w:rPr>
          <w:rFonts w:hint="eastAsia" w:hAnsi="宋体"/>
          <w:b/>
          <w:color w:val="000000"/>
          <w:szCs w:val="24"/>
          <w:highlight w:val="none"/>
        </w:rPr>
      </w:pPr>
    </w:p>
    <w:p>
      <w:pPr>
        <w:pStyle w:val="22"/>
        <w:rPr>
          <w:rFonts w:hint="eastAsia" w:hAnsi="宋体"/>
          <w:b/>
          <w:color w:val="000000"/>
          <w:szCs w:val="24"/>
          <w:highlight w:val="none"/>
        </w:rPr>
      </w:pPr>
    </w:p>
    <w:p>
      <w:pPr>
        <w:pStyle w:val="22"/>
        <w:rPr>
          <w:rFonts w:hint="eastAsia" w:hAnsi="宋体"/>
          <w:b/>
          <w:color w:val="000000"/>
          <w:szCs w:val="24"/>
          <w:highlight w:val="none"/>
        </w:rPr>
      </w:pPr>
    </w:p>
    <w:p>
      <w:pPr>
        <w:pStyle w:val="22"/>
        <w:rPr>
          <w:rFonts w:hint="eastAsia" w:hAnsi="宋体"/>
          <w:b/>
          <w:color w:val="000000"/>
          <w:szCs w:val="24"/>
          <w:highlight w:val="none"/>
        </w:rPr>
      </w:pPr>
    </w:p>
    <w:p>
      <w:pPr>
        <w:pStyle w:val="22"/>
        <w:rPr>
          <w:rFonts w:hint="eastAsia" w:hAnsi="宋体"/>
          <w:b/>
          <w:color w:val="000000"/>
          <w:szCs w:val="24"/>
          <w:highlight w:val="none"/>
        </w:rPr>
      </w:pPr>
    </w:p>
    <w:p>
      <w:pPr>
        <w:pStyle w:val="2"/>
        <w:numPr>
          <w:ilvl w:val="0"/>
          <w:numId w:val="0"/>
        </w:numPr>
        <w:jc w:val="cente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br w:type="page"/>
      </w:r>
      <w:bookmarkStart w:id="49" w:name="_Toc2143"/>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hAnsi="宋体"/>
          <w:sz w:val="28"/>
          <w:szCs w:val="28"/>
          <w:highlight w:val="none"/>
        </w:rPr>
        <w:t>（招标项目名称）</w:t>
      </w:r>
      <w:r>
        <w:rPr>
          <w:rFonts w:hint="eastAsia" w:ascii="黑体" w:eastAsia="黑体"/>
          <w:sz w:val="28"/>
          <w:szCs w:val="28"/>
          <w:highlight w:val="none"/>
          <w:lang w:val="en-US" w:eastAsia="zh-CN"/>
        </w:rPr>
        <w:t>项目</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5"/>
        <w:jc w:val="center"/>
        <w:rPr>
          <w:rFonts w:hint="eastAsia" w:ascii="黑体" w:hAnsi="黑体" w:eastAsia="黑体"/>
          <w:b w:val="0"/>
          <w:sz w:val="44"/>
          <w:szCs w:val="44"/>
          <w:highlight w:val="none"/>
          <w:lang w:eastAsia="zh-CN"/>
        </w:rPr>
      </w:pPr>
      <w:bookmarkStart w:id="50" w:name="_Toc5783"/>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5"/>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26489"/>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w:t>
      </w:r>
      <w:r>
        <w:rPr>
          <w:rFonts w:hint="eastAsia" w:hAnsi="宋体"/>
          <w:szCs w:val="21"/>
          <w:highlight w:val="none"/>
          <w:lang w:eastAsia="zh-CN"/>
        </w:rPr>
        <w:t>开标一览表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七、奖项、荣誉（如有）</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八、项目管理机构</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九</w:t>
      </w:r>
      <w:r>
        <w:rPr>
          <w:rFonts w:hint="eastAsia" w:ascii="宋体" w:hAnsi="宋体" w:eastAsia="宋体" w:cs="Times New Roman"/>
          <w:szCs w:val="21"/>
          <w:highlight w:val="none"/>
          <w:lang w:eastAsia="zh-CN"/>
        </w:rPr>
        <w:t>、后期服务方案</w:t>
      </w:r>
    </w:p>
    <w:p>
      <w:pPr>
        <w:spacing w:line="600" w:lineRule="exact"/>
        <w:rPr>
          <w:rFonts w:hint="default" w:ascii="宋体" w:hAnsi="宋体" w:eastAsia="宋体" w:cs="Times New Roman"/>
          <w:szCs w:val="21"/>
          <w:highlight w:val="none"/>
          <w:lang w:val="en-US" w:eastAsia="zh-CN"/>
        </w:rPr>
      </w:pPr>
      <w:r>
        <w:rPr>
          <w:rFonts w:hint="eastAsia" w:ascii="宋体" w:hAnsi="宋体" w:cs="Times New Roman"/>
          <w:szCs w:val="21"/>
          <w:highlight w:val="none"/>
          <w:lang w:val="en-US" w:eastAsia="zh-CN"/>
        </w:rPr>
        <w:t>十、营业执照</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十</w:t>
      </w:r>
      <w:r>
        <w:rPr>
          <w:rFonts w:hint="eastAsia" w:ascii="宋体" w:hAnsi="宋体" w:cs="Times New Roman"/>
          <w:szCs w:val="21"/>
          <w:highlight w:val="none"/>
          <w:lang w:val="en-US" w:eastAsia="zh-CN"/>
        </w:rPr>
        <w:t>一</w:t>
      </w:r>
      <w:r>
        <w:rPr>
          <w:rFonts w:hint="eastAsia" w:ascii="宋体" w:hAnsi="宋体" w:eastAsia="宋体" w:cs="Times New Roman"/>
          <w:szCs w:val="21"/>
          <w:highlight w:val="none"/>
          <w:lang w:eastAsia="zh-CN"/>
        </w:rPr>
        <w:t>、其他材料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17"/>
        <w:rPr>
          <w:rFonts w:hint="eastAsia" w:ascii="宋体" w:hAnsi="Times New Roman" w:eastAsia="宋体" w:cs="Times New Roman"/>
          <w:bCs w:val="0"/>
          <w:sz w:val="24"/>
          <w:highlight w:val="none"/>
          <w:lang w:val="en-US" w:eastAsia="zh-CN" w:bidi="ar-SA"/>
        </w:rPr>
      </w:pPr>
    </w:p>
    <w:p>
      <w:pPr>
        <w:rPr>
          <w:rFonts w:hint="eastAsia"/>
          <w:lang w:val="en-US" w:eastAsia="zh-CN"/>
        </w:rPr>
      </w:pPr>
    </w:p>
    <w:p>
      <w:pPr>
        <w:jc w:val="center"/>
        <w:outlineLvl w:val="1"/>
        <w:rPr>
          <w:rFonts w:hint="eastAsia" w:ascii="宋体" w:hAnsi="Times New Roman" w:eastAsia="宋体" w:cs="Times New Roman"/>
          <w:bCs w:val="0"/>
          <w:sz w:val="24"/>
          <w:highlight w:val="none"/>
          <w:lang w:val="en-US" w:eastAsia="zh-CN" w:bidi="ar-SA"/>
        </w:rPr>
      </w:pPr>
      <w:bookmarkStart w:id="54" w:name="_Toc16163"/>
      <w:r>
        <w:rPr>
          <w:rFonts w:hint="eastAsia" w:ascii="宋体" w:hAnsi="Times New Roman" w:eastAsia="宋体" w:cs="Times New Roman"/>
          <w:bCs w:val="0"/>
          <w:sz w:val="24"/>
          <w:highlight w:val="none"/>
          <w:lang w:val="en-US" w:eastAsia="zh-CN" w:bidi="ar-SA"/>
        </w:rPr>
        <w:t>一、开标一览表</w:t>
      </w:r>
      <w:bookmarkEnd w:id="54"/>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ascii="宋体" w:hAnsi="宋体" w:eastAsia="宋体" w:cs="宋体"/>
                <w:b w:val="0"/>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eastAsia"/>
                <w:lang w:eastAsia="zh-CN"/>
              </w:rPr>
            </w:pPr>
            <w:r>
              <w:rPr>
                <w:rFonts w:hint="eastAsia"/>
                <w:u w:val="none"/>
                <w:lang w:eastAsia="zh-CN"/>
              </w:rPr>
              <w:t>大写：</w:t>
            </w:r>
            <w:r>
              <w:rPr>
                <w:rFonts w:hint="eastAsia"/>
                <w:u w:val="single"/>
              </w:rPr>
              <w:t xml:space="preserve">        </w:t>
            </w:r>
            <w:r>
              <w:rPr>
                <w:rFonts w:hint="eastAsia"/>
                <w:u w:val="single"/>
                <w:lang w:val="en-US" w:eastAsia="zh-CN"/>
              </w:rPr>
              <w:t xml:space="preserve">   </w:t>
            </w:r>
            <w:r>
              <w:rPr>
                <w:rFonts w:hint="eastAsia"/>
                <w:lang w:eastAsia="zh-CN"/>
              </w:rPr>
              <w:t>圆</w:t>
            </w:r>
          </w:p>
          <w:p>
            <w:pPr>
              <w:spacing w:line="360" w:lineRule="auto"/>
              <w:ind w:right="-670"/>
              <w:rPr>
                <w:rFonts w:hint="eastAsia"/>
              </w:rPr>
            </w:pPr>
            <w:r>
              <w:rPr>
                <w:rFonts w:hint="eastAsia"/>
                <w:lang w:eastAsia="zh-CN"/>
              </w:rPr>
              <w:t>小写：</w:t>
            </w:r>
            <w:r>
              <w:rPr>
                <w:rFonts w:hint="eastAsia"/>
                <w:u w:val="single"/>
                <w:lang w:val="en-US" w:eastAsia="zh-CN"/>
              </w:rPr>
              <w:t xml:space="preserve">           </w:t>
            </w:r>
            <w:r>
              <w:rPr>
                <w:rFonts w:hint="eastAsia"/>
                <w:u w:val="none"/>
                <w:lang w:val="en-US" w:eastAsia="zh-CN"/>
              </w:rPr>
              <w:t>元</w:t>
            </w:r>
            <w:r>
              <w:rPr>
                <w:rFonts w:hint="eastAsia"/>
                <w:lang w:val="en-US" w:eastAsia="zh-CN"/>
              </w:rPr>
              <w:t xml:space="preserve"> </w:t>
            </w:r>
          </w:p>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widowControl/>
              <w:spacing w:line="360" w:lineRule="auto"/>
              <w:jc w:val="center"/>
              <w:textAlignment w:val="center"/>
              <w:rPr>
                <w:rFonts w:hint="default" w:ascii="宋体" w:hAnsi="宋体" w:eastAsia="宋体"/>
                <w:b w:val="0"/>
                <w:bCs/>
                <w:color w:val="auto"/>
                <w:sz w:val="24"/>
                <w:szCs w:val="28"/>
                <w:highlight w:val="none"/>
                <w:lang w:val="en-US" w:eastAsia="zh-CN"/>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w:t>
      </w:r>
      <w:r>
        <w:rPr>
          <w:rFonts w:hint="eastAsia" w:ascii="宋体" w:hAnsi="宋体"/>
          <w:b w:val="0"/>
          <w:bCs/>
          <w:color w:val="auto"/>
          <w:sz w:val="24"/>
          <w:highlight w:val="none"/>
          <w:lang w:eastAsia="zh-CN"/>
        </w:rPr>
        <w:t>磋商文件</w:t>
      </w:r>
      <w:r>
        <w:rPr>
          <w:rFonts w:hint="eastAsia" w:ascii="宋体" w:hAnsi="宋体"/>
          <w:b w:val="0"/>
          <w:bCs/>
          <w:color w:val="auto"/>
          <w:sz w:val="24"/>
          <w:highlight w:val="none"/>
        </w:rPr>
        <w:t>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5" w:name="_Toc25189"/>
      <w:r>
        <w:rPr>
          <w:rFonts w:hint="eastAsia" w:ascii="宋体" w:hAnsi="Times New Roman" w:eastAsia="宋体" w:cs="Times New Roman"/>
          <w:bCs w:val="0"/>
          <w:sz w:val="24"/>
          <w:highlight w:val="none"/>
          <w:lang w:val="en-US" w:eastAsia="zh-CN" w:bidi="ar-SA"/>
        </w:rPr>
        <w:t>二、投标人基本情况表</w:t>
      </w:r>
      <w:bookmarkEnd w:id="55"/>
    </w:p>
    <w:tbl>
      <w:tblPr>
        <w:tblStyle w:val="18"/>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20" w:firstLineChars="200"/>
              <w:jc w:val="left"/>
              <w:rPr>
                <w:szCs w:val="21"/>
                <w:highlight w:val="none"/>
              </w:rPr>
            </w:pPr>
            <w:r>
              <w:rPr>
                <w:rFonts w:hint="eastAsia"/>
                <w:szCs w:val="21"/>
                <w:highlight w:val="none"/>
              </w:rPr>
              <w:t>投标人应提供关联企业情况，包括：</w:t>
            </w:r>
          </w:p>
          <w:p>
            <w:pPr>
              <w:topLinePunct/>
              <w:ind w:firstLine="42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20" w:firstLineChars="200"/>
              <w:jc w:val="left"/>
              <w:rPr>
                <w:szCs w:val="21"/>
                <w:highlight w:val="none"/>
              </w:rPr>
            </w:pPr>
            <w:r>
              <w:rPr>
                <w:rFonts w:hint="eastAsia"/>
                <w:szCs w:val="21"/>
                <w:highlight w:val="none"/>
              </w:rPr>
              <w:t>（2）投标人投资（控股）或管理的下属企业名称、持有股权（出资额）比例；</w:t>
            </w:r>
          </w:p>
          <w:p>
            <w:pPr>
              <w:topLinePunct/>
              <w:ind w:firstLine="42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w:t>
      </w:r>
      <w:r>
        <w:rPr>
          <w:rFonts w:hint="eastAsia" w:hAnsi="宋体" w:cs="宋体"/>
          <w:b/>
          <w:bCs/>
          <w:szCs w:val="21"/>
          <w:highlight w:val="none"/>
          <w:lang w:eastAsia="zh-CN"/>
        </w:rPr>
        <w:t>磋商文件相关评审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pStyle w:val="6"/>
        <w:jc w:val="center"/>
        <w:outlineLvl w:val="1"/>
        <w:rPr>
          <w:rFonts w:hint="eastAsia" w:ascii="宋体" w:hAnsi="Times New Roman" w:eastAsia="宋体" w:cs="Times New Roman"/>
          <w:bCs w:val="0"/>
          <w:sz w:val="24"/>
          <w:highlight w:val="none"/>
          <w:lang w:val="en-US" w:eastAsia="zh-CN" w:bidi="ar-SA"/>
        </w:rPr>
      </w:pPr>
      <w:bookmarkStart w:id="56" w:name="_Toc7763"/>
      <w:bookmarkStart w:id="57" w:name="_Toc421917001"/>
      <w:bookmarkStart w:id="58" w:name="_Toc460227108"/>
      <w:bookmarkStart w:id="59" w:name="_Toc390411621"/>
      <w:bookmarkStart w:id="60" w:name="_Toc460660223"/>
      <w:bookmarkStart w:id="61" w:name="_Toc224103496"/>
      <w:r>
        <w:rPr>
          <w:rFonts w:hint="eastAsia" w:ascii="宋体" w:hAnsi="Times New Roman" w:eastAsia="宋体" w:cs="Times New Roman"/>
          <w:bCs w:val="0"/>
          <w:sz w:val="24"/>
          <w:highlight w:val="none"/>
          <w:lang w:val="en-US" w:eastAsia="zh-CN" w:bidi="ar-SA"/>
        </w:rPr>
        <w:t>三、投标函</w:t>
      </w:r>
      <w:bookmarkEnd w:id="56"/>
    </w:p>
    <w:p>
      <w:pPr>
        <w:spacing w:line="360" w:lineRule="auto"/>
        <w:ind w:firstLine="480" w:firstLineChars="200"/>
        <w:rPr>
          <w:rFonts w:hint="eastAsia" w:ascii="宋体" w:hAnsi="宋体"/>
          <w:dstrike/>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根据贵方“</w:t>
      </w:r>
      <w:r>
        <w:rPr>
          <w:rFonts w:hint="eastAsia" w:ascii="宋体" w:hAnsi="宋体"/>
          <w:b/>
          <w:bCs/>
          <w:color w:val="auto"/>
          <w:sz w:val="24"/>
          <w:highlight w:val="none"/>
          <w:u w:val="single"/>
          <w:lang w:val="en-US" w:eastAsia="zh-CN"/>
        </w:rPr>
        <w:t>（项目名称）</w:t>
      </w:r>
      <w:r>
        <w:rPr>
          <w:rFonts w:hint="eastAsia" w:ascii="宋体" w:hAnsi="宋体"/>
          <w:color w:val="auto"/>
          <w:sz w:val="24"/>
          <w:highlight w:val="none"/>
        </w:rPr>
        <w:t>”的招标邀请书或磋商公告，我方提交规定形式的响应文件。</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据此函，我方兹宣布同意如下：</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1.我方按磋商文件规定提供服务的最终投标报价详见最终报价表，我方完全响应磋商文件规定的服务期限及付款和结算方式。如我方中标，我方承诺愿意按磋商文件规定交纳履约保证金、工程量清单（如有）和</w:t>
      </w:r>
      <w:bookmarkStart w:id="62" w:name="_Hlk2920264"/>
      <w:r>
        <w:rPr>
          <w:rFonts w:hint="eastAsia" w:ascii="宋体" w:hAnsi="宋体"/>
          <w:color w:val="auto"/>
          <w:sz w:val="24"/>
          <w:highlight w:val="none"/>
        </w:rPr>
        <w:t>最高投标限价（招标控制价）</w:t>
      </w:r>
      <w:bookmarkEnd w:id="62"/>
      <w:r>
        <w:rPr>
          <w:rFonts w:hint="eastAsia" w:ascii="宋体" w:hAnsi="宋体"/>
          <w:color w:val="auto"/>
          <w:sz w:val="24"/>
          <w:highlight w:val="none"/>
        </w:rPr>
        <w:t>编制费（如有）。</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2.我方根据磋商文件的规定，严格履行合同的责任和义务</w:t>
      </w:r>
      <w:r>
        <w:rPr>
          <w:rFonts w:ascii="宋体" w:hAnsi="宋体"/>
          <w:color w:val="auto"/>
          <w:sz w:val="24"/>
          <w:highlight w:val="none"/>
        </w:rPr>
        <w:t>,</w:t>
      </w:r>
      <w:r>
        <w:rPr>
          <w:rFonts w:hint="eastAsia" w:ascii="宋体" w:hAnsi="宋体"/>
          <w:color w:val="auto"/>
          <w:sz w:val="24"/>
          <w:highlight w:val="none"/>
        </w:rPr>
        <w:t>并保证于买方要求的日期内完成服务，并通过买方验收。</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3.我方承诺报价低于</w:t>
      </w:r>
      <w:r>
        <w:rPr>
          <w:rFonts w:ascii="宋体" w:hAnsi="宋体"/>
          <w:color w:val="auto"/>
          <w:sz w:val="24"/>
          <w:highlight w:val="none"/>
        </w:rPr>
        <w:t>同类服务的市场平均价格。</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5.我方同意从磋商文件规定的磋商日期起遵循本响应文件，并在磋商文件规定的投标有效期之前均具有约束力。</w:t>
      </w:r>
    </w:p>
    <w:p>
      <w:pPr>
        <w:spacing w:line="360" w:lineRule="auto"/>
        <w:ind w:firstLine="480" w:firstLineChars="200"/>
        <w:rPr>
          <w:rFonts w:hint="eastAsia" w:ascii="Calibri" w:hAnsi="Calibri"/>
          <w:color w:val="auto"/>
          <w:sz w:val="24"/>
          <w:szCs w:val="24"/>
          <w:highlight w:val="none"/>
        </w:rPr>
      </w:pPr>
      <w:r>
        <w:rPr>
          <w:rFonts w:hint="eastAsia" w:ascii="宋体" w:hAnsi="宋体"/>
          <w:color w:val="auto"/>
          <w:sz w:val="24"/>
          <w:szCs w:val="22"/>
          <w:highlight w:val="none"/>
        </w:rPr>
        <w:t>6.</w:t>
      </w:r>
      <w:r>
        <w:rPr>
          <w:rFonts w:hint="eastAsia" w:ascii="Calibri" w:hAnsi="Calibri"/>
          <w:color w:val="auto"/>
          <w:sz w:val="24"/>
          <w:szCs w:val="24"/>
          <w:highlight w:val="none"/>
        </w:rPr>
        <w:t>我方承诺如</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保证金未按</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文件规定递交，我方投标无效，由此产生的一切后果由我方承担；如果在开标后规定的投标有效期内撤回投标，我方的</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保证金贵方可不予退还。</w:t>
      </w:r>
    </w:p>
    <w:p>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7.我方声明响应文件所提供的一切资料均真实无误、及时、有效。企业运营正常（</w:t>
      </w:r>
      <w:r>
        <w:rPr>
          <w:rFonts w:ascii="宋体" w:hAnsi="宋体"/>
          <w:color w:val="auto"/>
          <w:sz w:val="24"/>
          <w:highlight w:val="none"/>
        </w:rPr>
        <w:t>注册登记信息、年报信息</w:t>
      </w:r>
      <w:r>
        <w:rPr>
          <w:rFonts w:hint="eastAsia" w:ascii="宋体" w:hAnsi="宋体"/>
          <w:color w:val="auto"/>
          <w:sz w:val="24"/>
          <w:highlight w:val="none"/>
        </w:rPr>
        <w:t>可查）。由于我方提供资料不实而造成的责任和后果由我方承担。我方同意按照贵方提出的要求，提供与投标有关的任何证据、数据或资料。</w:t>
      </w:r>
    </w:p>
    <w:p>
      <w:pPr>
        <w:spacing w:line="360" w:lineRule="auto"/>
        <w:ind w:firstLine="628" w:firstLineChars="262"/>
        <w:rPr>
          <w:rFonts w:ascii="宋体" w:hAnsi="宋体"/>
          <w:color w:val="auto"/>
          <w:sz w:val="24"/>
          <w:highlight w:val="none"/>
        </w:rPr>
      </w:pPr>
      <w:r>
        <w:rPr>
          <w:rFonts w:hint="eastAsia" w:ascii="宋体" w:hAnsi="宋体"/>
          <w:color w:val="auto"/>
          <w:sz w:val="24"/>
          <w:highlight w:val="none"/>
        </w:rPr>
        <w:t>8.我方完全理解贵方不一定接受最低报价的投标。</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.我方承诺不存在第一章磋商邀请（磋商公告）“投标人资格”中“投标人存在以下不良信用记录情形”规定的任何一种情形。</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.我方同意磋商文件规定的付款方式及结算方式。</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.与本投标有关的通讯地址：</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投标人基本账户开户名：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开户行：</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 xml:space="preserve">投标人电子签章： </w:t>
      </w:r>
      <w:r>
        <w:rPr>
          <w:rFonts w:hint="eastAsia" w:ascii="宋体" w:hAnsi="宋体"/>
          <w:color w:val="auto"/>
          <w:sz w:val="24"/>
          <w:highlight w:val="none"/>
          <w:u w:val="single"/>
        </w:rPr>
        <w:t xml:space="preserve">                     </w:t>
      </w: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bookmarkStart w:id="63" w:name="_Hlt533408944"/>
      <w:bookmarkEnd w:id="63"/>
      <w:bookmarkStart w:id="64" w:name="_Hlt514495724"/>
      <w:bookmarkEnd w:id="64"/>
    </w:p>
    <w:p>
      <w:pPr>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br w:type="page"/>
      </w:r>
    </w:p>
    <w:p>
      <w:pPr>
        <w:spacing w:line="360" w:lineRule="auto"/>
        <w:ind w:firstLine="630"/>
        <w:rPr>
          <w:rFonts w:hint="eastAsia"/>
          <w:highlight w:val="none"/>
        </w:rPr>
      </w:pPr>
      <w:r>
        <w:rPr>
          <w:rFonts w:hint="eastAsia" w:ascii="宋体" w:hAnsi="Times New Roman" w:eastAsia="宋体" w:cs="Times New Roman"/>
          <w:bCs w:val="0"/>
          <w:sz w:val="24"/>
          <w:highlight w:val="none"/>
          <w:lang w:val="en-US" w:eastAsia="zh-CN" w:bidi="ar-SA"/>
        </w:rPr>
        <w:t>四、法定代表人身份证明或授权委托书</w:t>
      </w:r>
      <w:bookmarkEnd w:id="57"/>
      <w:bookmarkEnd w:id="58"/>
      <w:bookmarkEnd w:id="59"/>
      <w:bookmarkEnd w:id="60"/>
    </w:p>
    <w:p>
      <w:pPr>
        <w:spacing w:line="360" w:lineRule="auto"/>
        <w:ind w:firstLine="1164" w:firstLineChars="414"/>
        <w:rPr>
          <w:rFonts w:hAnsi="宋体"/>
          <w:b/>
          <w:bCs/>
          <w:sz w:val="28"/>
          <w:szCs w:val="22"/>
          <w:highlight w:val="none"/>
        </w:rPr>
      </w:pPr>
    </w:p>
    <w:p>
      <w:pPr>
        <w:jc w:val="center"/>
        <w:rPr>
          <w:rFonts w:hint="eastAsia" w:ascii="黑体" w:hAnsi="黑体" w:eastAsia="黑体"/>
          <w:bCs/>
          <w:highlight w:val="none"/>
        </w:rPr>
      </w:pPr>
      <w:r>
        <w:rPr>
          <w:rFonts w:hint="eastAsia" w:ascii="黑体" w:hAnsi="黑体" w:eastAsia="黑体"/>
          <w:bCs/>
          <w:highlight w:val="none"/>
        </w:rPr>
        <w:t>法定代表人身份证明</w:t>
      </w:r>
    </w:p>
    <w:p>
      <w:pPr>
        <w:ind w:left="765"/>
        <w:rPr>
          <w:rFonts w:hAnsi="宋体"/>
          <w:szCs w:val="22"/>
          <w:highlight w:val="none"/>
        </w:rPr>
      </w:pPr>
    </w:p>
    <w:p>
      <w:pPr>
        <w:spacing w:line="5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单位性质：</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地    址：</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成立时间：</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line="500" w:lineRule="exact"/>
        <w:rPr>
          <w:rFonts w:hint="eastAsia" w:hAnsi="宋体"/>
          <w:szCs w:val="21"/>
          <w:highlight w:val="none"/>
        </w:rPr>
      </w:pPr>
      <w:r>
        <w:rPr>
          <w:rFonts w:hint="eastAsia" w:hAnsi="宋体"/>
          <w:szCs w:val="21"/>
          <w:highlight w:val="none"/>
        </w:rPr>
        <w:t>经营期限：</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姓    名：</w:t>
      </w:r>
      <w:r>
        <w:rPr>
          <w:rFonts w:hint="eastAsia" w:hAnsi="宋体"/>
          <w:szCs w:val="21"/>
          <w:highlight w:val="none"/>
          <w:u w:val="single"/>
        </w:rPr>
        <w:t xml:space="preserve">                          </w:t>
      </w:r>
      <w:r>
        <w:rPr>
          <w:rFonts w:hint="eastAsia" w:hAnsi="宋体"/>
          <w:szCs w:val="21"/>
          <w:highlight w:val="none"/>
        </w:rPr>
        <w:t>性        别：</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年    龄：</w:t>
      </w:r>
      <w:r>
        <w:rPr>
          <w:rFonts w:hint="eastAsia" w:hAnsi="宋体"/>
          <w:szCs w:val="21"/>
          <w:highlight w:val="none"/>
          <w:u w:val="single"/>
        </w:rPr>
        <w:t xml:space="preserve">                          </w:t>
      </w:r>
      <w:r>
        <w:rPr>
          <w:rFonts w:hint="eastAsia" w:hAnsi="宋体"/>
          <w:szCs w:val="21"/>
          <w:highlight w:val="none"/>
        </w:rPr>
        <w:t>职        务：</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联系电话：</w:t>
      </w:r>
      <w:r>
        <w:rPr>
          <w:rFonts w:hint="eastAsia" w:hAnsi="宋体"/>
          <w:szCs w:val="21"/>
          <w:highlight w:val="none"/>
          <w:u w:val="single"/>
        </w:rPr>
        <w:t xml:space="preserve">                          </w:t>
      </w:r>
      <w:r>
        <w:rPr>
          <w:rFonts w:hint="eastAsia" w:hAnsi="宋体"/>
          <w:szCs w:val="21"/>
          <w:highlight w:val="none"/>
        </w:rPr>
        <w:t>手 机  号 码：</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（投标人名称）的法定代表人。</w:t>
      </w:r>
    </w:p>
    <w:p>
      <w:pPr>
        <w:spacing w:line="500" w:lineRule="exact"/>
        <w:rPr>
          <w:rFonts w:hint="eastAsia" w:hAnsi="宋体"/>
          <w:szCs w:val="21"/>
          <w:highlight w:val="none"/>
        </w:rPr>
      </w:pPr>
      <w:r>
        <w:rPr>
          <w:rFonts w:hint="eastAsia" w:hAnsi="宋体"/>
          <w:szCs w:val="21"/>
          <w:highlight w:val="none"/>
        </w:rPr>
        <w:t>特此证明。</w:t>
      </w:r>
    </w:p>
    <w:p>
      <w:pPr>
        <w:spacing w:line="500" w:lineRule="exact"/>
        <w:rPr>
          <w:rFonts w:hint="eastAsia" w:hAnsi="宋体"/>
          <w:szCs w:val="21"/>
          <w:highlight w:val="none"/>
        </w:rPr>
      </w:pPr>
      <w:r>
        <w:rPr>
          <w:rFonts w:hint="eastAsia" w:hAnsi="宋体"/>
          <w:szCs w:val="21"/>
          <w:highlight w:val="none"/>
        </w:rPr>
        <w:t>附：法定代表人身份证扫描件</w:t>
      </w:r>
    </w:p>
    <w:p>
      <w:pPr>
        <w:spacing w:line="500" w:lineRule="exact"/>
        <w:rPr>
          <w:rFonts w:hint="eastAsia" w:hAnsi="宋体"/>
          <w:szCs w:val="21"/>
          <w:highlight w:val="none"/>
        </w:rPr>
      </w:pPr>
    </w:p>
    <w:p>
      <w:pPr>
        <w:wordWrap w:val="0"/>
        <w:spacing w:line="500" w:lineRule="exact"/>
        <w:jc w:val="right"/>
        <w:rPr>
          <w:rFonts w:hint="eastAsia" w:hAnsi="宋体"/>
          <w:szCs w:val="21"/>
          <w:highlight w:val="none"/>
        </w:rPr>
      </w:pPr>
    </w:p>
    <w:p>
      <w:pPr>
        <w:spacing w:line="500" w:lineRule="exact"/>
        <w:jc w:val="right"/>
        <w:rPr>
          <w:rFonts w:hint="eastAsia" w:hAnsi="宋体"/>
          <w:szCs w:val="21"/>
          <w:highlight w:val="none"/>
        </w:rPr>
      </w:pPr>
      <w:r>
        <w:rPr>
          <w:rFonts w:hint="eastAsia" w:hAnsi="宋体"/>
          <w:szCs w:val="21"/>
          <w:highlight w:val="none"/>
        </w:rPr>
        <w:t>投标人：</w:t>
      </w:r>
      <w:r>
        <w:rPr>
          <w:rFonts w:hint="eastAsia" w:hAnsi="宋体"/>
          <w:szCs w:val="21"/>
          <w:highlight w:val="none"/>
          <w:u w:val="single"/>
        </w:rPr>
        <w:t xml:space="preserve">                          </w:t>
      </w:r>
      <w:r>
        <w:rPr>
          <w:rFonts w:hint="eastAsia" w:hAnsi="宋体"/>
          <w:szCs w:val="21"/>
          <w:highlight w:val="none"/>
        </w:rPr>
        <w:t>（盖单位章）</w:t>
      </w:r>
    </w:p>
    <w:p>
      <w:pPr>
        <w:spacing w:before="48" w:beforeLines="20" w:after="48" w:afterLines="20" w:line="540" w:lineRule="exact"/>
        <w:ind w:firstLine="210" w:firstLineChars="100"/>
        <w:jc w:val="right"/>
        <w:rPr>
          <w:rFonts w:hint="eastAsia" w:hAnsi="宋体"/>
          <w:szCs w:val="22"/>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before="48" w:beforeLines="20" w:after="48" w:afterLines="20" w:line="540" w:lineRule="exact"/>
        <w:ind w:firstLine="3360" w:firstLineChars="1600"/>
        <w:rPr>
          <w:rFonts w:hint="eastAsia" w:hAnsi="宋体"/>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bookmarkEnd w:id="61"/>
    <w:p>
      <w:pPr>
        <w:jc w:val="center"/>
        <w:rPr>
          <w:rFonts w:hint="eastAsia"/>
          <w:sz w:val="32"/>
          <w:szCs w:val="32"/>
          <w:highlight w:val="none"/>
        </w:rPr>
      </w:pPr>
      <w:bookmarkStart w:id="65" w:name="_Toc535241084"/>
      <w:bookmarkStart w:id="66" w:name="_Toc535241227"/>
      <w:bookmarkStart w:id="67" w:name="_Toc535241130"/>
      <w:bookmarkStart w:id="68" w:name="_Toc224103497"/>
      <w:bookmarkStart w:id="69" w:name="_Toc224103498"/>
      <w:r>
        <w:rPr>
          <w:sz w:val="32"/>
          <w:szCs w:val="32"/>
          <w:highlight w:val="none"/>
        </w:rPr>
        <w:br w:type="page"/>
      </w:r>
      <w:r>
        <w:rPr>
          <w:rFonts w:hint="eastAsia" w:ascii="黑体" w:hAnsi="黑体" w:eastAsia="黑体"/>
          <w:bCs/>
          <w:highlight w:val="none"/>
        </w:rPr>
        <w:t>授权委托书</w:t>
      </w:r>
      <w:bookmarkEnd w:id="65"/>
      <w:bookmarkEnd w:id="66"/>
      <w:bookmarkEnd w:id="67"/>
    </w:p>
    <w:p>
      <w:pPr>
        <w:rPr>
          <w:rFonts w:hint="eastAsia"/>
          <w:highlight w:val="none"/>
        </w:rPr>
      </w:pPr>
    </w:p>
    <w:p>
      <w:pPr>
        <w:snapToGrid w:val="0"/>
        <w:spacing w:line="360" w:lineRule="auto"/>
        <w:ind w:firstLine="420" w:firstLineChars="200"/>
        <w:jc w:val="left"/>
        <w:rPr>
          <w:rFonts w:hint="eastAsia" w:hAnsi="宋体"/>
          <w:szCs w:val="21"/>
          <w:highlight w:val="none"/>
        </w:rPr>
      </w:pPr>
      <w:r>
        <w:rPr>
          <w:rFonts w:hint="eastAsia" w:hAnsi="宋体"/>
          <w:szCs w:val="21"/>
          <w:highlight w:val="none"/>
        </w:rPr>
        <w:t>本人</w:t>
      </w:r>
      <w:r>
        <w:rPr>
          <w:rFonts w:hint="eastAsia" w:hAnsi="宋体"/>
          <w:szCs w:val="21"/>
          <w:highlight w:val="none"/>
          <w:u w:val="single"/>
        </w:rPr>
        <w:t xml:space="preserve">         </w:t>
      </w:r>
      <w:r>
        <w:rPr>
          <w:rFonts w:hint="eastAsia" w:hAnsi="宋体"/>
          <w:szCs w:val="21"/>
          <w:highlight w:val="none"/>
        </w:rPr>
        <w:t>（姓名）系</w:t>
      </w:r>
      <w:r>
        <w:rPr>
          <w:rFonts w:hint="eastAsia" w:hAnsi="宋体"/>
          <w:szCs w:val="21"/>
          <w:highlight w:val="none"/>
          <w:u w:val="single"/>
        </w:rPr>
        <w:t xml:space="preserve">         </w:t>
      </w:r>
      <w:r>
        <w:rPr>
          <w:rFonts w:hint="eastAsia" w:hAnsi="宋体"/>
          <w:szCs w:val="21"/>
          <w:highlight w:val="none"/>
        </w:rPr>
        <w:t>（投标人名称）的法定代表人，现委托</w:t>
      </w:r>
      <w:r>
        <w:rPr>
          <w:rFonts w:hint="eastAsia" w:hAnsi="宋体"/>
          <w:szCs w:val="21"/>
          <w:highlight w:val="none"/>
          <w:u w:val="single"/>
        </w:rPr>
        <w:t xml:space="preserve">      </w:t>
      </w:r>
      <w:r>
        <w:rPr>
          <w:rFonts w:hint="eastAsia" w:hAnsi="宋体"/>
          <w:szCs w:val="21"/>
          <w:highlight w:val="none"/>
        </w:rPr>
        <w:t>（姓名）为我方代理人。代理人根据授权，以我方名义签署、澄清、说明、补正、递交、撤回、修改</w:t>
      </w:r>
      <w:r>
        <w:rPr>
          <w:rFonts w:hint="eastAsia" w:hAnsi="宋体"/>
          <w:szCs w:val="21"/>
          <w:highlight w:val="none"/>
          <w:u w:val="single"/>
        </w:rPr>
        <w:t xml:space="preserve">        </w:t>
      </w:r>
      <w:r>
        <w:rPr>
          <w:rFonts w:hint="eastAsia" w:hAnsi="宋体"/>
          <w:szCs w:val="21"/>
          <w:highlight w:val="none"/>
        </w:rPr>
        <w:t>（招标项目名称）施工投标文件、签订合同和处理有关事宜，其法律后果由我方承担。</w:t>
      </w:r>
    </w:p>
    <w:p>
      <w:pPr>
        <w:snapToGrid w:val="0"/>
        <w:spacing w:line="360" w:lineRule="auto"/>
        <w:ind w:firstLine="420" w:firstLineChars="200"/>
        <w:rPr>
          <w:rFonts w:hint="eastAsia" w:hAnsi="宋体"/>
          <w:szCs w:val="21"/>
          <w:highlight w:val="none"/>
        </w:rPr>
      </w:pPr>
      <w:r>
        <w:rPr>
          <w:rFonts w:hint="eastAsia" w:hAnsi="宋体"/>
          <w:szCs w:val="21"/>
          <w:highlight w:val="none"/>
        </w:rPr>
        <w:t>委托期限：</w:t>
      </w:r>
      <w:r>
        <w:rPr>
          <w:rFonts w:hint="eastAsia" w:hAnsi="宋体"/>
          <w:szCs w:val="21"/>
          <w:highlight w:val="none"/>
          <w:u w:val="single"/>
        </w:rPr>
        <w:t xml:space="preserve">          </w:t>
      </w:r>
      <w:r>
        <w:rPr>
          <w:rFonts w:hint="eastAsia" w:hAnsi="宋体"/>
          <w:szCs w:val="21"/>
          <w:highlight w:val="none"/>
        </w:rPr>
        <w:t>。</w:t>
      </w:r>
    </w:p>
    <w:p>
      <w:pPr>
        <w:snapToGrid w:val="0"/>
        <w:spacing w:line="360" w:lineRule="auto"/>
        <w:ind w:firstLine="420" w:firstLineChars="200"/>
        <w:rPr>
          <w:rFonts w:hint="eastAsia" w:hAnsi="宋体"/>
          <w:szCs w:val="21"/>
          <w:highlight w:val="none"/>
        </w:rPr>
      </w:pPr>
      <w:r>
        <w:rPr>
          <w:rFonts w:hint="eastAsia" w:hAnsi="宋体"/>
          <w:szCs w:val="21"/>
          <w:highlight w:val="none"/>
        </w:rPr>
        <w:t>代理人无转委托权。</w:t>
      </w:r>
    </w:p>
    <w:p>
      <w:pPr>
        <w:snapToGrid w:val="0"/>
        <w:spacing w:line="360" w:lineRule="auto"/>
        <w:ind w:firstLine="420" w:firstLineChars="200"/>
        <w:rPr>
          <w:rFonts w:hint="eastAsia" w:hAnsi="宋体"/>
          <w:szCs w:val="21"/>
          <w:highlight w:val="none"/>
        </w:rPr>
      </w:pPr>
      <w:r>
        <w:rPr>
          <w:rFonts w:hint="eastAsia" w:hAnsi="宋体"/>
          <w:szCs w:val="21"/>
          <w:highlight w:val="none"/>
        </w:rPr>
        <w:t>附：</w:t>
      </w:r>
      <w:r>
        <w:rPr>
          <w:rStyle w:val="28"/>
          <w:rFonts w:hint="default"/>
          <w:color w:val="auto"/>
          <w:highlight w:val="none"/>
        </w:rPr>
        <w:t>法定代表人身份证明</w:t>
      </w:r>
    </w:p>
    <w:p>
      <w:pPr>
        <w:snapToGrid w:val="0"/>
        <w:spacing w:line="360" w:lineRule="auto"/>
        <w:ind w:firstLine="420" w:firstLineChars="200"/>
        <w:rPr>
          <w:rFonts w:hint="eastAsia" w:hAnsi="宋体"/>
          <w:szCs w:val="21"/>
          <w:highlight w:val="none"/>
        </w:rPr>
      </w:pPr>
      <w:r>
        <w:rPr>
          <w:rFonts w:hint="eastAsia" w:hAnsi="宋体"/>
          <w:szCs w:val="21"/>
          <w:highlight w:val="none"/>
        </w:rPr>
        <w:t xml:space="preserve">    代理人身份证扫描件</w:t>
      </w:r>
    </w:p>
    <w:p>
      <w:pPr>
        <w:spacing w:line="500" w:lineRule="exact"/>
        <w:rPr>
          <w:rFonts w:hint="eastAsia" w:hAnsi="宋体"/>
          <w:szCs w:val="21"/>
          <w:highlight w:val="none"/>
        </w:rPr>
      </w:pPr>
    </w:p>
    <w:p>
      <w:pPr>
        <w:spacing w:line="400" w:lineRule="exact"/>
        <w:ind w:firstLine="3570" w:firstLineChars="1700"/>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r>
        <w:rPr>
          <w:rFonts w:hint="eastAsia" w:hAnsi="宋体"/>
          <w:szCs w:val="21"/>
          <w:highlight w:val="none"/>
        </w:rPr>
        <w:t>（盖单位章）</w:t>
      </w:r>
    </w:p>
    <w:p>
      <w:pPr>
        <w:spacing w:line="400" w:lineRule="exact"/>
        <w:ind w:firstLine="3570" w:firstLineChars="1700"/>
        <w:rPr>
          <w:rFonts w:hint="eastAsia" w:hAnsi="宋体"/>
          <w:szCs w:val="21"/>
          <w:highlight w:val="non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spacing w:line="400" w:lineRule="exact"/>
        <w:ind w:firstLine="3570" w:firstLineChars="1700"/>
        <w:rPr>
          <w:rFonts w:hint="eastAsia" w:hAnsi="宋体"/>
          <w:szCs w:val="21"/>
          <w:highlight w:val="none"/>
          <w:u w:val="single"/>
        </w:rPr>
      </w:pPr>
      <w:r>
        <w:rPr>
          <w:rFonts w:hint="eastAsia" w:hAnsi="宋体"/>
          <w:szCs w:val="21"/>
          <w:highlight w:val="none"/>
        </w:rPr>
        <w:t>代理人身份证号码：</w:t>
      </w:r>
      <w:r>
        <w:rPr>
          <w:rFonts w:hint="eastAsia" w:hAnsi="宋体"/>
          <w:szCs w:val="21"/>
          <w:highlight w:val="none"/>
          <w:u w:val="single"/>
        </w:rPr>
        <w:t xml:space="preserve">                                   </w:t>
      </w:r>
    </w:p>
    <w:p>
      <w:pPr>
        <w:spacing w:line="400" w:lineRule="exact"/>
        <w:ind w:firstLine="3570" w:firstLineChars="1700"/>
        <w:rPr>
          <w:rFonts w:hint="eastAsia" w:hAnsi="宋体"/>
          <w:szCs w:val="21"/>
          <w:highlight w:val="none"/>
          <w:u w:val="single"/>
        </w:rPr>
      </w:pPr>
      <w:r>
        <w:rPr>
          <w:rFonts w:hint="eastAsia" w:hAnsi="宋体"/>
          <w:szCs w:val="21"/>
          <w:highlight w:val="none"/>
        </w:rPr>
        <w:t>代理人手机号码：</w:t>
      </w:r>
      <w:r>
        <w:rPr>
          <w:rFonts w:hint="eastAsia" w:hAnsi="宋体"/>
          <w:szCs w:val="21"/>
          <w:highlight w:val="none"/>
          <w:u w:val="single"/>
        </w:rPr>
        <w:t xml:space="preserve">                                    </w:t>
      </w:r>
    </w:p>
    <w:p>
      <w:pPr>
        <w:spacing w:line="400" w:lineRule="exact"/>
        <w:ind w:firstLine="3570" w:firstLineChars="1700"/>
        <w:rPr>
          <w:rFonts w:hint="eastAsia" w:hAnsi="宋体"/>
          <w:szCs w:val="21"/>
          <w:highlight w:val="none"/>
          <w:u w:val="single"/>
        </w:rPr>
      </w:pPr>
    </w:p>
    <w:p>
      <w:pPr>
        <w:spacing w:line="400" w:lineRule="exact"/>
        <w:ind w:firstLine="4830" w:firstLineChars="2300"/>
        <w:rPr>
          <w:rFonts w:hint="eastAsia" w:hAnsi="宋体"/>
          <w:szCs w:val="21"/>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autoSpaceDE w:val="0"/>
        <w:autoSpaceDN w:val="0"/>
        <w:adjustRightInd w:val="0"/>
        <w:snapToGrid w:val="0"/>
        <w:spacing w:line="360" w:lineRule="auto"/>
        <w:jc w:val="left"/>
        <w:rPr>
          <w:rFonts w:hint="eastAsia" w:hAnsi="宋体"/>
          <w:szCs w:val="22"/>
          <w:highlight w:val="none"/>
        </w:rPr>
      </w:pPr>
    </w:p>
    <w:p>
      <w:pPr>
        <w:tabs>
          <w:tab w:val="left" w:pos="5760"/>
        </w:tabs>
        <w:autoSpaceDE w:val="0"/>
        <w:autoSpaceDN w:val="0"/>
        <w:adjustRightInd w:val="0"/>
        <w:spacing w:line="300" w:lineRule="exact"/>
        <w:ind w:right="11"/>
        <w:rPr>
          <w:rFonts w:hint="eastAsia" w:hAnsi="宋体"/>
          <w:szCs w:val="22"/>
          <w:highlight w:val="none"/>
        </w:rPr>
      </w:pPr>
      <w:r>
        <w:rPr>
          <w:rFonts w:hint="eastAsia" w:hAnsi="宋体"/>
          <w:szCs w:val="22"/>
          <w:highlight w:val="none"/>
        </w:rPr>
        <w:t>注：</w:t>
      </w:r>
    </w:p>
    <w:p>
      <w:pPr>
        <w:tabs>
          <w:tab w:val="left" w:pos="5760"/>
        </w:tabs>
        <w:autoSpaceDE w:val="0"/>
        <w:autoSpaceDN w:val="0"/>
        <w:adjustRightInd w:val="0"/>
        <w:spacing w:line="300" w:lineRule="exact"/>
        <w:ind w:right="11"/>
        <w:rPr>
          <w:rFonts w:hAnsi="宋体"/>
          <w:szCs w:val="22"/>
          <w:highlight w:val="none"/>
        </w:rPr>
      </w:pPr>
      <w:r>
        <w:rPr>
          <w:rFonts w:hint="eastAsia" w:hAnsi="宋体"/>
          <w:szCs w:val="22"/>
          <w:highlight w:val="none"/>
        </w:rPr>
        <w:t>法定代表人参加投标活动并签署文件的不需要授权委托书，只需提供法定代表人身份证明；非法定代表人参加投标活动及签署文件的还须提供授权委托书。</w:t>
      </w:r>
      <w:bookmarkEnd w:id="68"/>
      <w:bookmarkEnd w:id="69"/>
      <w:bookmarkStart w:id="70" w:name="_Toc224103499"/>
      <w:bookmarkStart w:id="71" w:name="_Toc390411622"/>
      <w:bookmarkStart w:id="72" w:name="_Toc421917002"/>
      <w:bookmarkStart w:id="73" w:name="_Toc460227109"/>
      <w:bookmarkStart w:id="74" w:name="_Toc460660224"/>
    </w:p>
    <w:bookmarkEnd w:id="70"/>
    <w:bookmarkEnd w:id="71"/>
    <w:bookmarkEnd w:id="72"/>
    <w:bookmarkEnd w:id="73"/>
    <w:bookmarkEnd w:id="74"/>
    <w:p>
      <w:pPr>
        <w:wordWrap w:val="0"/>
        <w:spacing w:line="394" w:lineRule="exact"/>
        <w:jc w:val="both"/>
        <w:rPr>
          <w:rFonts w:hint="default" w:ascii="宋体" w:hAnsi="Times New Roman" w:eastAsia="黑体" w:cs="Times New Roman"/>
          <w:highlight w:val="none"/>
          <w:lang w:val="en-US" w:eastAsia="zh-CN"/>
        </w:rPr>
      </w:pPr>
      <w:bookmarkStart w:id="75" w:name="_Toc460660225"/>
      <w:bookmarkStart w:id="76" w:name="_Toc460227110"/>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lang w:val="en-US" w:eastAsia="zh-CN"/>
        </w:rPr>
      </w:pPr>
    </w:p>
    <w:p>
      <w:pPr>
        <w:spacing w:before="240" w:beforeLines="100" w:line="510" w:lineRule="exact"/>
        <w:jc w:val="center"/>
        <w:rPr>
          <w:rFonts w:hint="eastAsia" w:ascii="宋体" w:hAnsi="Times New Roman" w:eastAsia="黑体" w:cs="Times New Roman"/>
          <w:highlight w:val="none"/>
          <w:lang w:eastAsia="zh-CN"/>
        </w:rPr>
      </w:pPr>
      <w:bookmarkStart w:id="77" w:name="_Toc535241135"/>
      <w:bookmarkStart w:id="78" w:name="_Toc535241089"/>
      <w:bookmarkStart w:id="79" w:name="_Toc535241232"/>
      <w:bookmarkStart w:id="80" w:name="_Toc535241229"/>
      <w:bookmarkStart w:id="81" w:name="_Toc535241132"/>
      <w:bookmarkStart w:id="82" w:name="_Toc535241086"/>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3" w:name="_Toc19481"/>
      <w:r>
        <w:rPr>
          <w:rFonts w:hint="eastAsia" w:ascii="宋体" w:hAnsi="Times New Roman" w:eastAsia="宋体" w:cs="Times New Roman"/>
          <w:bCs w:val="0"/>
          <w:sz w:val="24"/>
          <w:highlight w:val="none"/>
          <w:lang w:val="en-US" w:eastAsia="zh-CN" w:bidi="ar-SA"/>
        </w:rPr>
        <w:t>五、投标人信用承诺</w:t>
      </w:r>
      <w:bookmarkEnd w:id="83"/>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4" w:name="_Toc26115"/>
      <w:r>
        <w:rPr>
          <w:rFonts w:hint="eastAsia" w:ascii="宋体" w:hAnsi="Times New Roman" w:eastAsia="宋体" w:cs="Times New Roman"/>
          <w:bCs w:val="0"/>
          <w:sz w:val="24"/>
          <w:highlight w:val="none"/>
          <w:lang w:val="en-US" w:eastAsia="zh-CN" w:bidi="ar-SA"/>
        </w:rPr>
        <w:t>六、投标人业绩</w:t>
      </w:r>
      <w:bookmarkEnd w:id="84"/>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8"/>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175"/>
        <w:gridCol w:w="1200"/>
        <w:gridCol w:w="1346"/>
        <w:gridCol w:w="1279"/>
        <w:gridCol w:w="1106"/>
        <w:gridCol w:w="1946"/>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308"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626"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639" w:type="pct"/>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717" w:type="pct"/>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682" w:type="pct"/>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589" w:type="pct"/>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037" w:type="pct"/>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397"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626" w:type="pct"/>
            <w:noWrap w:val="0"/>
            <w:vAlign w:val="center"/>
          </w:tcPr>
          <w:p>
            <w:pPr>
              <w:spacing w:line="360" w:lineRule="auto"/>
              <w:rPr>
                <w:rFonts w:ascii="宋体" w:hAnsi="宋体"/>
                <w:color w:val="auto"/>
                <w:sz w:val="22"/>
                <w:szCs w:val="22"/>
                <w:highlight w:val="none"/>
              </w:rPr>
            </w:pPr>
          </w:p>
        </w:tc>
        <w:tc>
          <w:tcPr>
            <w:tcW w:w="639" w:type="pct"/>
            <w:noWrap w:val="0"/>
            <w:vAlign w:val="center"/>
          </w:tcPr>
          <w:p>
            <w:pPr>
              <w:spacing w:line="360" w:lineRule="auto"/>
              <w:rPr>
                <w:rFonts w:hint="eastAsia" w:ascii="宋体" w:hAnsi="宋体" w:eastAsia="宋体"/>
                <w:color w:val="auto"/>
                <w:sz w:val="22"/>
                <w:szCs w:val="22"/>
                <w:highlight w:val="none"/>
                <w:lang w:eastAsia="zh-CN"/>
              </w:rPr>
            </w:pPr>
          </w:p>
        </w:tc>
        <w:tc>
          <w:tcPr>
            <w:tcW w:w="717" w:type="pct"/>
            <w:noWrap w:val="0"/>
            <w:vAlign w:val="center"/>
          </w:tcPr>
          <w:p>
            <w:pPr>
              <w:spacing w:line="360" w:lineRule="auto"/>
              <w:rPr>
                <w:rFonts w:ascii="宋体" w:hAnsi="宋体"/>
                <w:color w:val="auto"/>
                <w:sz w:val="22"/>
                <w:szCs w:val="22"/>
                <w:highlight w:val="none"/>
              </w:rPr>
            </w:pPr>
          </w:p>
        </w:tc>
        <w:tc>
          <w:tcPr>
            <w:tcW w:w="682" w:type="pct"/>
            <w:noWrap w:val="0"/>
            <w:vAlign w:val="center"/>
          </w:tcPr>
          <w:p>
            <w:pPr>
              <w:spacing w:line="360" w:lineRule="auto"/>
              <w:rPr>
                <w:rFonts w:ascii="宋体" w:hAnsi="宋体"/>
                <w:color w:val="auto"/>
                <w:sz w:val="22"/>
                <w:szCs w:val="22"/>
                <w:highlight w:val="none"/>
              </w:rPr>
            </w:pPr>
          </w:p>
        </w:tc>
        <w:tc>
          <w:tcPr>
            <w:tcW w:w="589" w:type="pct"/>
            <w:noWrap w:val="0"/>
            <w:vAlign w:val="center"/>
          </w:tcPr>
          <w:p>
            <w:pPr>
              <w:spacing w:line="360" w:lineRule="auto"/>
              <w:rPr>
                <w:rFonts w:ascii="宋体" w:hAnsi="宋体"/>
                <w:color w:val="auto"/>
                <w:sz w:val="22"/>
                <w:szCs w:val="22"/>
                <w:highlight w:val="none"/>
              </w:rPr>
            </w:pPr>
          </w:p>
        </w:tc>
        <w:tc>
          <w:tcPr>
            <w:tcW w:w="1037" w:type="pct"/>
            <w:noWrap w:val="0"/>
            <w:vAlign w:val="center"/>
          </w:tcPr>
          <w:p>
            <w:pPr>
              <w:spacing w:line="360" w:lineRule="auto"/>
              <w:rPr>
                <w:rFonts w:ascii="宋体" w:hAnsi="宋体"/>
                <w:color w:val="auto"/>
                <w:sz w:val="22"/>
                <w:szCs w:val="22"/>
                <w:highlight w:val="none"/>
              </w:rPr>
            </w:pPr>
          </w:p>
        </w:tc>
        <w:tc>
          <w:tcPr>
            <w:tcW w:w="397" w:type="pct"/>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626" w:type="pct"/>
            <w:noWrap w:val="0"/>
            <w:vAlign w:val="center"/>
          </w:tcPr>
          <w:p>
            <w:pPr>
              <w:spacing w:line="360" w:lineRule="auto"/>
              <w:rPr>
                <w:rFonts w:ascii="宋体" w:hAnsi="宋体"/>
                <w:color w:val="auto"/>
                <w:sz w:val="22"/>
                <w:szCs w:val="22"/>
                <w:highlight w:val="none"/>
              </w:rPr>
            </w:pPr>
          </w:p>
        </w:tc>
        <w:tc>
          <w:tcPr>
            <w:tcW w:w="639" w:type="pct"/>
            <w:noWrap w:val="0"/>
            <w:vAlign w:val="center"/>
          </w:tcPr>
          <w:p>
            <w:pPr>
              <w:spacing w:line="360" w:lineRule="auto"/>
              <w:rPr>
                <w:rFonts w:ascii="宋体" w:hAnsi="宋体"/>
                <w:color w:val="auto"/>
                <w:sz w:val="22"/>
                <w:szCs w:val="22"/>
                <w:highlight w:val="none"/>
              </w:rPr>
            </w:pPr>
          </w:p>
        </w:tc>
        <w:tc>
          <w:tcPr>
            <w:tcW w:w="717" w:type="pct"/>
            <w:noWrap w:val="0"/>
            <w:vAlign w:val="center"/>
          </w:tcPr>
          <w:p>
            <w:pPr>
              <w:spacing w:line="360" w:lineRule="auto"/>
              <w:rPr>
                <w:rFonts w:ascii="宋体" w:hAnsi="宋体"/>
                <w:color w:val="auto"/>
                <w:sz w:val="22"/>
                <w:szCs w:val="22"/>
                <w:highlight w:val="none"/>
              </w:rPr>
            </w:pPr>
          </w:p>
        </w:tc>
        <w:tc>
          <w:tcPr>
            <w:tcW w:w="682" w:type="pct"/>
            <w:noWrap w:val="0"/>
            <w:vAlign w:val="center"/>
          </w:tcPr>
          <w:p>
            <w:pPr>
              <w:spacing w:line="360" w:lineRule="auto"/>
              <w:rPr>
                <w:rFonts w:ascii="宋体" w:hAnsi="宋体"/>
                <w:color w:val="auto"/>
                <w:sz w:val="22"/>
                <w:szCs w:val="22"/>
                <w:highlight w:val="none"/>
              </w:rPr>
            </w:pPr>
          </w:p>
        </w:tc>
        <w:tc>
          <w:tcPr>
            <w:tcW w:w="589" w:type="pct"/>
            <w:noWrap w:val="0"/>
            <w:vAlign w:val="center"/>
          </w:tcPr>
          <w:p>
            <w:pPr>
              <w:spacing w:line="360" w:lineRule="auto"/>
              <w:rPr>
                <w:rFonts w:ascii="宋体" w:hAnsi="宋体"/>
                <w:color w:val="auto"/>
                <w:sz w:val="22"/>
                <w:szCs w:val="22"/>
                <w:highlight w:val="none"/>
              </w:rPr>
            </w:pPr>
          </w:p>
        </w:tc>
        <w:tc>
          <w:tcPr>
            <w:tcW w:w="1037" w:type="pct"/>
            <w:noWrap w:val="0"/>
            <w:vAlign w:val="center"/>
          </w:tcPr>
          <w:p>
            <w:pPr>
              <w:spacing w:line="360" w:lineRule="auto"/>
              <w:rPr>
                <w:rFonts w:ascii="宋体" w:hAnsi="宋体"/>
                <w:color w:val="auto"/>
                <w:sz w:val="22"/>
                <w:szCs w:val="22"/>
                <w:highlight w:val="none"/>
              </w:rPr>
            </w:pPr>
          </w:p>
        </w:tc>
        <w:tc>
          <w:tcPr>
            <w:tcW w:w="397" w:type="pct"/>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5" w:name="_Toc5825"/>
      <w:r>
        <w:rPr>
          <w:rFonts w:hint="eastAsia" w:ascii="宋体" w:hAnsi="Times New Roman" w:eastAsia="宋体" w:cs="Times New Roman"/>
          <w:bCs w:val="0"/>
          <w:sz w:val="24"/>
          <w:highlight w:val="none"/>
          <w:lang w:val="en-US" w:eastAsia="zh-CN" w:bidi="ar-SA"/>
        </w:rPr>
        <w:t>七、奖项、荣誉（如有）</w:t>
      </w:r>
      <w:bookmarkEnd w:id="85"/>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6" w:name="_Toc4230"/>
      <w:r>
        <w:rPr>
          <w:rFonts w:hint="eastAsia" w:ascii="宋体" w:hAnsi="Times New Roman" w:eastAsia="宋体" w:cs="Times New Roman"/>
          <w:bCs w:val="0"/>
          <w:sz w:val="24"/>
          <w:highlight w:val="none"/>
          <w:lang w:val="en-US" w:eastAsia="zh-CN" w:bidi="ar-SA"/>
        </w:rPr>
        <w:t>八、项目管理机构</w:t>
      </w:r>
      <w:bookmarkEnd w:id="86"/>
    </w:p>
    <w:bookmarkEnd w:id="77"/>
    <w:bookmarkEnd w:id="78"/>
    <w:bookmarkEnd w:id="79"/>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w:t>
      </w:r>
      <w:r>
        <w:rPr>
          <w:rFonts w:hint="eastAsia" w:ascii="宋体" w:hAnsi="宋体"/>
          <w:color w:val="auto"/>
          <w:sz w:val="24"/>
          <w:highlight w:val="none"/>
          <w:lang w:eastAsia="zh-CN"/>
        </w:rPr>
        <w:t>磋商文件</w:t>
      </w:r>
      <w:r>
        <w:rPr>
          <w:rFonts w:hint="eastAsia" w:ascii="宋体" w:hAnsi="宋体"/>
          <w:color w:val="auto"/>
          <w:sz w:val="24"/>
          <w:highlight w:val="none"/>
        </w:rPr>
        <w:t>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8"/>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noWrap w:val="0"/>
            <w:vAlign w:val="center"/>
          </w:tcPr>
          <w:p>
            <w:pPr>
              <w:spacing w:line="440" w:lineRule="exact"/>
              <w:jc w:val="center"/>
              <w:rPr>
                <w:color w:val="auto"/>
                <w:highlight w:val="none"/>
              </w:rPr>
            </w:pPr>
            <w:r>
              <w:rPr>
                <w:rFonts w:hint="eastAsia"/>
                <w:color w:val="auto"/>
                <w:highlight w:val="none"/>
              </w:rPr>
              <w:t>序号</w:t>
            </w:r>
          </w:p>
        </w:tc>
        <w:tc>
          <w:tcPr>
            <w:tcW w:w="1384" w:type="dxa"/>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4"/>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2"/>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noWrap w:val="0"/>
            <w:vAlign w:val="center"/>
          </w:tcPr>
          <w:p>
            <w:pPr>
              <w:rPr>
                <w:color w:val="auto"/>
                <w:highlight w:val="none"/>
              </w:rPr>
            </w:pPr>
          </w:p>
        </w:tc>
        <w:tc>
          <w:tcPr>
            <w:tcW w:w="1384" w:type="dxa"/>
            <w:vMerge w:val="continue"/>
            <w:noWrap w:val="0"/>
            <w:vAlign w:val="top"/>
          </w:tcPr>
          <w:p>
            <w:pPr>
              <w:rPr>
                <w:color w:val="auto"/>
                <w:highlight w:val="none"/>
              </w:rPr>
            </w:pPr>
          </w:p>
        </w:tc>
        <w:tc>
          <w:tcPr>
            <w:tcW w:w="969" w:type="dxa"/>
            <w:vMerge w:val="continue"/>
            <w:noWrap w:val="0"/>
            <w:vAlign w:val="center"/>
          </w:tcPr>
          <w:p>
            <w:pPr>
              <w:rPr>
                <w:color w:val="auto"/>
                <w:highlight w:val="none"/>
              </w:rPr>
            </w:pPr>
          </w:p>
        </w:tc>
        <w:tc>
          <w:tcPr>
            <w:tcW w:w="692" w:type="dxa"/>
            <w:vMerge w:val="continue"/>
            <w:noWrap w:val="0"/>
            <w:vAlign w:val="center"/>
          </w:tcPr>
          <w:p>
            <w:pPr>
              <w:rPr>
                <w:color w:val="auto"/>
                <w:highlight w:val="none"/>
              </w:rPr>
            </w:pPr>
          </w:p>
        </w:tc>
        <w:tc>
          <w:tcPr>
            <w:tcW w:w="740" w:type="dxa"/>
            <w:vMerge w:val="continue"/>
            <w:noWrap w:val="0"/>
            <w:vAlign w:val="center"/>
          </w:tcPr>
          <w:p>
            <w:pPr>
              <w:spacing w:line="440" w:lineRule="exact"/>
              <w:jc w:val="center"/>
              <w:rPr>
                <w:color w:val="auto"/>
                <w:highlight w:val="none"/>
              </w:rPr>
            </w:pPr>
          </w:p>
        </w:tc>
        <w:tc>
          <w:tcPr>
            <w:tcW w:w="1107"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2"/>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center"/>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center"/>
          </w:tcPr>
          <w:p>
            <w:pPr>
              <w:spacing w:line="440" w:lineRule="exact"/>
              <w:jc w:val="center"/>
              <w:rPr>
                <w:color w:val="auto"/>
                <w:highlight w:val="none"/>
              </w:rPr>
            </w:pPr>
          </w:p>
        </w:tc>
        <w:tc>
          <w:tcPr>
            <w:tcW w:w="692" w:type="dxa"/>
            <w:noWrap w:val="0"/>
            <w:vAlign w:val="center"/>
          </w:tcPr>
          <w:p>
            <w:pPr>
              <w:spacing w:line="440" w:lineRule="exact"/>
              <w:jc w:val="center"/>
              <w:rPr>
                <w:color w:val="auto"/>
                <w:highlight w:val="none"/>
              </w:rPr>
            </w:pPr>
          </w:p>
        </w:tc>
        <w:tc>
          <w:tcPr>
            <w:tcW w:w="740" w:type="dxa"/>
            <w:noWrap w:val="0"/>
            <w:vAlign w:val="center"/>
          </w:tcPr>
          <w:p>
            <w:pPr>
              <w:spacing w:line="440" w:lineRule="exact"/>
              <w:jc w:val="center"/>
              <w:rPr>
                <w:color w:val="auto"/>
                <w:highlight w:val="none"/>
              </w:rPr>
            </w:pPr>
          </w:p>
        </w:tc>
        <w:tc>
          <w:tcPr>
            <w:tcW w:w="1107" w:type="dxa"/>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2"/>
            <w:noWrap w:val="0"/>
            <w:vAlign w:val="center"/>
          </w:tcPr>
          <w:p>
            <w:pPr>
              <w:spacing w:line="440" w:lineRule="exact"/>
              <w:jc w:val="center"/>
              <w:rPr>
                <w:color w:val="auto"/>
                <w:highlight w:val="none"/>
              </w:rPr>
            </w:pPr>
          </w:p>
        </w:tc>
        <w:tc>
          <w:tcPr>
            <w:tcW w:w="775"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87" w:name="_Toc152045805"/>
      <w:bookmarkStart w:id="88" w:name="_Toc391394125"/>
      <w:bookmarkStart w:id="89" w:name="_Toc152042594"/>
      <w:bookmarkStart w:id="90" w:name="_Toc492300541"/>
      <w:bookmarkStart w:id="91" w:name="_Toc370676440"/>
      <w:bookmarkStart w:id="92" w:name="_Toc300835232"/>
      <w:bookmarkStart w:id="93" w:name="_Toc384308390"/>
      <w:bookmarkStart w:id="94" w:name="_Toc179632825"/>
      <w:bookmarkStart w:id="95" w:name="_Toc482188668"/>
      <w:bookmarkStart w:id="96" w:name="_Toc359594249"/>
      <w:bookmarkStart w:id="97" w:name="_Toc385943079"/>
      <w:bookmarkStart w:id="98" w:name="_Toc144974873"/>
      <w:r>
        <w:rPr>
          <w:rFonts w:hint="eastAsia" w:ascii="宋体" w:hAnsi="宋体"/>
          <w:b/>
          <w:bCs/>
          <w:color w:val="auto"/>
          <w:sz w:val="24"/>
          <w:szCs w:val="24"/>
          <w:highlight w:val="none"/>
        </w:rPr>
        <w:t>（二）主要人员简历表</w:t>
      </w:r>
      <w:bookmarkEnd w:id="87"/>
      <w:bookmarkEnd w:id="88"/>
      <w:bookmarkEnd w:id="89"/>
      <w:bookmarkEnd w:id="90"/>
      <w:bookmarkEnd w:id="91"/>
      <w:bookmarkEnd w:id="92"/>
      <w:bookmarkEnd w:id="93"/>
      <w:bookmarkEnd w:id="94"/>
      <w:bookmarkEnd w:id="95"/>
      <w:bookmarkEnd w:id="96"/>
      <w:bookmarkEnd w:id="97"/>
      <w:bookmarkEnd w:id="98"/>
    </w:p>
    <w:p>
      <w:pPr>
        <w:topLinePunct/>
        <w:spacing w:line="440" w:lineRule="exact"/>
        <w:jc w:val="center"/>
        <w:rPr>
          <w:color w:val="auto"/>
          <w:sz w:val="23"/>
          <w:highlight w:val="none"/>
        </w:rPr>
      </w:pPr>
      <w:r>
        <w:rPr>
          <w:rFonts w:hint="eastAsia"/>
          <w:color w:val="auto"/>
          <w:highlight w:val="non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155"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ascii="宋体" w:hAnsi="宋体"/>
          <w:color w:val="auto"/>
          <w:sz w:val="28"/>
          <w:highlight w:val="none"/>
        </w:rPr>
      </w:pPr>
      <w:r>
        <w:rPr>
          <w:b/>
          <w:color w:val="auto"/>
          <w:highlight w:val="none"/>
        </w:rPr>
        <w:t>注：投标人应根据</w:t>
      </w:r>
      <w:r>
        <w:rPr>
          <w:rFonts w:hint="eastAsia"/>
          <w:b/>
          <w:color w:val="auto"/>
          <w:highlight w:val="none"/>
          <w:lang w:eastAsia="zh-CN"/>
        </w:rPr>
        <w:t>磋商文件</w:t>
      </w:r>
      <w:r>
        <w:rPr>
          <w:b/>
          <w:color w:val="auto"/>
          <w:highlight w:val="none"/>
        </w:rPr>
        <w:t>的要求在本表后附相关证明材料。</w:t>
      </w:r>
    </w:p>
    <w:bookmarkEnd w:id="75"/>
    <w:bookmarkEnd w:id="76"/>
    <w:bookmarkEnd w:id="80"/>
    <w:bookmarkEnd w:id="81"/>
    <w:bookmarkEnd w:id="82"/>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1"/>
        <w:rPr>
          <w:rFonts w:hint="eastAsia" w:ascii="宋体" w:hAnsi="宋体" w:eastAsia="宋体" w:cs="宋体"/>
          <w:b/>
          <w:bCs/>
          <w:spacing w:val="-2"/>
          <w:sz w:val="24"/>
          <w:szCs w:val="24"/>
          <w:lang w:val="en-US" w:eastAsia="zh-CN"/>
        </w:rPr>
      </w:pPr>
      <w:bookmarkStart w:id="99" w:name="_Toc10474"/>
      <w:r>
        <w:rPr>
          <w:rFonts w:hint="eastAsia" w:ascii="宋体" w:hAnsi="宋体" w:eastAsia="宋体" w:cs="宋体"/>
          <w:b/>
          <w:bCs/>
          <w:spacing w:val="-2"/>
          <w:sz w:val="24"/>
          <w:szCs w:val="24"/>
          <w:lang w:val="en-US" w:eastAsia="zh-CN"/>
        </w:rPr>
        <w:t>九、后期服务方案</w:t>
      </w:r>
      <w:bookmarkEnd w:id="99"/>
    </w:p>
    <w:p>
      <w:pPr>
        <w:spacing w:before="48" w:beforeLines="20" w:after="48" w:afterLines="20" w:line="360" w:lineRule="auto"/>
        <w:jc w:val="center"/>
        <w:rPr>
          <w:rFonts w:hint="eastAsia" w:ascii="宋体" w:hAnsi="宋体"/>
          <w:color w:val="auto"/>
          <w:sz w:val="28"/>
          <w:highlight w:val="none"/>
        </w:rPr>
      </w:pPr>
      <w:r>
        <w:rPr>
          <w:rFonts w:hint="eastAsia" w:ascii="宋体" w:hAnsi="宋体"/>
          <w:bCs/>
          <w:color w:val="auto"/>
          <w:sz w:val="24"/>
          <w:szCs w:val="24"/>
          <w:highlight w:val="none"/>
        </w:rPr>
        <w:t>（投标人可自行制作格式）</w:t>
      </w:r>
    </w:p>
    <w:p>
      <w:pPr>
        <w:rPr>
          <w:rFonts w:hint="eastAsia"/>
          <w:lang w:val="en-US" w:eastAsia="zh-CN"/>
        </w:rPr>
      </w:pPr>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100" w:name="_Toc4500"/>
      <w:r>
        <w:rPr>
          <w:rFonts w:hint="eastAsia" w:ascii="宋体" w:hAnsi="宋体" w:eastAsia="宋体" w:cs="宋体"/>
          <w:b/>
          <w:bCs/>
          <w:spacing w:val="-2"/>
          <w:sz w:val="24"/>
          <w:szCs w:val="24"/>
          <w:lang w:val="en-US" w:eastAsia="zh-CN"/>
        </w:rPr>
        <w:t>十、</w:t>
      </w:r>
      <w:r>
        <w:rPr>
          <w:rFonts w:hint="eastAsia" w:ascii="宋体" w:hAnsi="宋体" w:cs="宋体"/>
          <w:b/>
          <w:bCs/>
          <w:spacing w:val="-2"/>
          <w:sz w:val="24"/>
          <w:szCs w:val="24"/>
          <w:lang w:val="en-US" w:eastAsia="zh-CN"/>
        </w:rPr>
        <w:t>营业执照</w:t>
      </w:r>
      <w:bookmarkEnd w:id="100"/>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101" w:name="_Toc14666"/>
      <w:r>
        <w:rPr>
          <w:rFonts w:hint="eastAsia" w:ascii="宋体" w:hAnsi="宋体" w:eastAsia="宋体" w:cs="宋体"/>
          <w:b/>
          <w:bCs/>
          <w:spacing w:val="-2"/>
          <w:sz w:val="24"/>
          <w:szCs w:val="24"/>
          <w:lang w:val="en-US" w:eastAsia="zh-CN"/>
        </w:rPr>
        <w:t>十</w:t>
      </w:r>
      <w:r>
        <w:rPr>
          <w:rFonts w:hint="eastAsia" w:ascii="宋体" w:hAnsi="宋体" w:cs="宋体"/>
          <w:b/>
          <w:bCs/>
          <w:spacing w:val="-2"/>
          <w:sz w:val="24"/>
          <w:szCs w:val="24"/>
          <w:lang w:val="en-US" w:eastAsia="zh-CN"/>
        </w:rPr>
        <w:t>一</w:t>
      </w:r>
      <w:r>
        <w:rPr>
          <w:rFonts w:hint="eastAsia" w:ascii="宋体" w:hAnsi="宋体" w:eastAsia="宋体" w:cs="宋体"/>
          <w:b/>
          <w:bCs/>
          <w:spacing w:val="-2"/>
          <w:sz w:val="24"/>
          <w:szCs w:val="24"/>
          <w:lang w:val="en-US" w:eastAsia="zh-CN"/>
        </w:rPr>
        <w:t>、其他资料</w:t>
      </w:r>
      <w:bookmarkEnd w:id="101"/>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2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Noto Sans Mono CJK JP Regular">
    <w:altName w:val="Segoe Print"/>
    <w:panose1 w:val="00000000000000000000"/>
    <w:charset w:val="00"/>
    <w:family w:val="swiss"/>
    <w:pitch w:val="default"/>
    <w:sig w:usb0="00000000" w:usb1="00000000" w:usb2="00000000" w:usb3="00000000" w:csb0="00040001"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Fonts w:hint="eastAsia" w:ascii="仿宋_GB2312" w:eastAsia="仿宋_GB2312"/>
        <w:sz w:val="21"/>
        <w:szCs w:val="21"/>
      </w:rPr>
    </w:pPr>
    <w:r>
      <w:rPr>
        <w:rFonts w:hint="eastAsia" w:ascii="仿宋_GB2312" w:eastAsia="仿宋_GB2312"/>
        <w:sz w:val="21"/>
        <w:szCs w:val="21"/>
      </w:rPr>
      <w:fldChar w:fldCharType="begin"/>
    </w:r>
    <w:r>
      <w:rPr>
        <w:rStyle w:val="20"/>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0"/>
        <w:rFonts w:ascii="仿宋_GB2312" w:eastAsia="仿宋_GB2312"/>
        <w:sz w:val="21"/>
        <w:szCs w:val="21"/>
      </w:rPr>
      <w:t>14</w:t>
    </w:r>
    <w:r>
      <w:rPr>
        <w:rFonts w:hint="eastAsia" w:ascii="仿宋_GB2312" w:eastAsia="仿宋_GB2312"/>
        <w:sz w:val="21"/>
        <w:szCs w:val="21"/>
      </w:rPr>
      <w:fldChar w:fldCharType="end"/>
    </w:r>
  </w:p>
  <w:p>
    <w:pPr>
      <w:pStyle w:val="13"/>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3"/>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0D7D1CC5"/>
    <w:multiLevelType w:val="multilevel"/>
    <w:tmpl w:val="0D7D1CC5"/>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2C503B76"/>
    <w:multiLevelType w:val="multilevel"/>
    <w:tmpl w:val="2C503B76"/>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2E11E16"/>
    <w:multiLevelType w:val="singleLevel"/>
    <w:tmpl w:val="32E11E16"/>
    <w:lvl w:ilvl="0" w:tentative="0">
      <w:start w:val="6"/>
      <w:numFmt w:val="chineseCounting"/>
      <w:suff w:val="nothing"/>
      <w:lvlText w:val="%1、"/>
      <w:lvlJc w:val="left"/>
      <w:rPr>
        <w:rFonts w:hint="eastAsia"/>
      </w:rPr>
    </w:lvl>
  </w:abstractNum>
  <w:abstractNum w:abstractNumId="5">
    <w:nsid w:val="45A17871"/>
    <w:multiLevelType w:val="multilevel"/>
    <w:tmpl w:val="45A17871"/>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4797ACF"/>
    <w:multiLevelType w:val="multilevel"/>
    <w:tmpl w:val="54797ACF"/>
    <w:lvl w:ilvl="0" w:tentative="0">
      <w:start w:val="1"/>
      <w:numFmt w:val="decimal"/>
      <w:lvlText w:val="（%1）"/>
      <w:lvlJc w:val="left"/>
      <w:pPr>
        <w:tabs>
          <w:tab w:val="left" w:pos="720"/>
        </w:tabs>
        <w:ind w:left="720" w:hanging="720"/>
      </w:pPr>
      <w:rPr>
        <w:rFonts w:hint="eastAsia"/>
      </w:rPr>
    </w:lvl>
    <w:lvl w:ilvl="1" w:tentative="0">
      <w:start w:val="1"/>
      <w:numFmt w:val="decimalFullWidth"/>
      <w:lvlText w:val="%2、"/>
      <w:lvlJc w:val="left"/>
      <w:pPr>
        <w:tabs>
          <w:tab w:val="left" w:pos="900"/>
        </w:tabs>
        <w:ind w:left="900" w:hanging="48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85F0626"/>
    <w:multiLevelType w:val="multilevel"/>
    <w:tmpl w:val="585F0626"/>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78062B9"/>
    <w:multiLevelType w:val="multilevel"/>
    <w:tmpl w:val="678062B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A55F52D"/>
    <w:multiLevelType w:val="singleLevel"/>
    <w:tmpl w:val="7A55F52D"/>
    <w:lvl w:ilvl="0" w:tentative="0">
      <w:start w:val="1"/>
      <w:numFmt w:val="decimal"/>
      <w:suff w:val="nothing"/>
      <w:lvlText w:val="（%1）"/>
      <w:lvlJc w:val="left"/>
    </w:lvl>
  </w:abstractNum>
  <w:abstractNum w:abstractNumId="10">
    <w:nsid w:val="7B9C59E2"/>
    <w:multiLevelType w:val="multilevel"/>
    <w:tmpl w:val="7B9C59E2"/>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7"/>
  </w:num>
  <w:num w:numId="4">
    <w:abstractNumId w:val="1"/>
  </w:num>
  <w:num w:numId="5">
    <w:abstractNumId w:val="10"/>
  </w:num>
  <w:num w:numId="6">
    <w:abstractNumId w:val="3"/>
  </w:num>
  <w:num w:numId="7">
    <w:abstractNumId w:val="5"/>
  </w:num>
  <w:num w:numId="8">
    <w:abstractNumId w:val="6"/>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5DE70062"/>
    <w:rsid w:val="26A66D2F"/>
    <w:rsid w:val="296B4121"/>
    <w:rsid w:val="5DE7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4"/>
    <w:qFormat/>
    <w:uiPriority w:val="0"/>
    <w:pPr>
      <w:spacing w:line="560" w:lineRule="atLeast"/>
    </w:pPr>
    <w:rPr>
      <w:rFonts w:eastAsia="微软雅黑"/>
      <w:b w:val="0"/>
      <w:sz w:val="44"/>
      <w:szCs w:val="22"/>
    </w:rPr>
  </w:style>
  <w:style w:type="paragraph" w:styleId="5">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7">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9">
    <w:name w:val="Default Paragraph Font"/>
    <w:semiHidden/>
    <w:uiPriority w:val="0"/>
  </w:style>
  <w:style w:type="table" w:default="1" w:styleId="18">
    <w:name w:val="Normal Table"/>
    <w:semiHidden/>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Arial" w:hAnsi="Arial"/>
      <w:b/>
    </w:rPr>
  </w:style>
  <w:style w:type="paragraph" w:styleId="4">
    <w:name w:val="Plain Text"/>
    <w:basedOn w:val="1"/>
    <w:qFormat/>
    <w:uiPriority w:val="0"/>
    <w:rPr>
      <w:rFonts w:ascii="宋体" w:hAnsi="Courier New"/>
    </w:rPr>
  </w:style>
  <w:style w:type="paragraph" w:styleId="8">
    <w:name w:val="Normal Indent"/>
    <w:basedOn w:val="1"/>
    <w:qFormat/>
    <w:uiPriority w:val="0"/>
    <w:pPr>
      <w:ind w:firstLine="420" w:firstLineChars="200"/>
    </w:pPr>
  </w:style>
  <w:style w:type="paragraph" w:styleId="9">
    <w:name w:val="Body Text"/>
    <w:basedOn w:val="1"/>
    <w:next w:val="10"/>
    <w:qFormat/>
    <w:uiPriority w:val="0"/>
    <w:pPr>
      <w:spacing w:after="120"/>
    </w:pPr>
  </w:style>
  <w:style w:type="paragraph" w:styleId="10">
    <w:name w:val="Body Text First Indent"/>
    <w:basedOn w:val="9"/>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1">
    <w:name w:val="Body Text Indent"/>
    <w:basedOn w:val="1"/>
    <w:next w:val="12"/>
    <w:qFormat/>
    <w:uiPriority w:val="0"/>
    <w:pPr>
      <w:spacing w:line="480" w:lineRule="exact"/>
      <w:ind w:firstLine="480" w:firstLineChars="200"/>
    </w:pPr>
    <w:rPr>
      <w:rFonts w:ascii="宋体" w:hAnsi="宋体"/>
      <w:sz w:val="24"/>
    </w:rPr>
  </w:style>
  <w:style w:type="paragraph" w:styleId="12">
    <w:name w:val="envelope return"/>
    <w:basedOn w:val="1"/>
    <w:qFormat/>
    <w:uiPriority w:val="0"/>
    <w:pPr>
      <w:snapToGrid w:val="0"/>
    </w:pPr>
    <w:rPr>
      <w:rFonts w:ascii="Arial" w:hAnsi="Arial"/>
    </w:rPr>
  </w:style>
  <w:style w:type="paragraph" w:styleId="13">
    <w:name w:val="footer"/>
    <w:basedOn w:val="1"/>
    <w:qFormat/>
    <w:uiPriority w:val="99"/>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39"/>
    <w:pPr>
      <w:ind w:left="210"/>
      <w:jc w:val="left"/>
    </w:pPr>
    <w:rPr>
      <w:rFonts w:ascii="Calibri" w:hAnsi="Calibri" w:cs="Calibri"/>
      <w:smallCaps/>
      <w:sz w:val="20"/>
      <w:szCs w:val="20"/>
    </w:rPr>
  </w:style>
  <w:style w:type="paragraph" w:styleId="17">
    <w:name w:val="Body Text First Indent 2"/>
    <w:basedOn w:val="11"/>
    <w:next w:val="1"/>
    <w:qFormat/>
    <w:uiPriority w:val="0"/>
    <w:pPr>
      <w:ind w:left="420" w:firstLine="420"/>
    </w:pPr>
  </w:style>
  <w:style w:type="character" w:styleId="20">
    <w:name w:val="page number"/>
    <w:qFormat/>
    <w:uiPriority w:val="0"/>
  </w:style>
  <w:style w:type="paragraph" w:customStyle="1" w:styleId="21">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2">
    <w:name w:val="首行缩进"/>
    <w:basedOn w:val="1"/>
    <w:autoRedefine/>
    <w:qFormat/>
    <w:uiPriority w:val="0"/>
    <w:pPr>
      <w:spacing w:line="360" w:lineRule="auto"/>
      <w:ind w:left="210" w:leftChars="100" w:firstLine="420" w:firstLineChars="200"/>
    </w:pPr>
    <w:rPr>
      <w:rFonts w:ascii="宋体" w:hAnsi="宋体"/>
    </w:rPr>
  </w:style>
  <w:style w:type="paragraph" w:customStyle="1" w:styleId="23">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样式1"/>
    <w:basedOn w:val="1"/>
    <w:next w:val="7"/>
    <w:autoRedefine/>
    <w:qFormat/>
    <w:uiPriority w:val="0"/>
    <w:pPr>
      <w:spacing w:line="360" w:lineRule="auto"/>
      <w:ind w:firstLine="420" w:firstLineChars="200"/>
    </w:pPr>
    <w:rPr>
      <w:rFonts w:ascii="宋体" w:hAnsi="宋体"/>
      <w:szCs w:val="21"/>
    </w:rPr>
  </w:style>
  <w:style w:type="paragraph" w:customStyle="1" w:styleId="26">
    <w:name w:val="D&amp;L"/>
    <w:basedOn w:val="14"/>
    <w:autoRedefine/>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7">
    <w:name w:val="Table Paragraph"/>
    <w:basedOn w:val="1"/>
    <w:autoRedefine/>
    <w:qFormat/>
    <w:uiPriority w:val="1"/>
    <w:rPr>
      <w:rFonts w:ascii="Noto Sans Mono CJK JP Regular" w:hAnsi="Noto Sans Mono CJK JP Regular" w:eastAsia="Noto Sans Mono CJK JP Regular" w:cs="Noto Sans Mono CJK JP Regular"/>
      <w:lang w:val="zh-CN" w:eastAsia="zh-CN" w:bidi="zh-CN"/>
    </w:rPr>
  </w:style>
  <w:style w:type="character" w:customStyle="1" w:styleId="28">
    <w:name w:val="fontstyle01"/>
    <w:autoRedefine/>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2024-03-08T00:33:00Z</dcterms:created>
  <dc:creator>Administrator</dc:creator>
  <cp:lastModifiedBy>Administrator</cp:lastModifiedBy>
  <dcterms:modified xsi:type="dcterms:W3CDTF">2024-03-08T00:52:12Z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8F64D16209E84E07AE0D3402339023E1_11</vt:lpwstr>
  </property>
</Properties>
</file>