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拱辰邻里中心公共区域物业管理责任保险采购项目（二次）</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w:t>
      </w:r>
      <w:r>
        <w:rPr>
          <w:rFonts w:hint="eastAsia" w:hAnsi="DotumChe" w:cs="宋体"/>
          <w:b/>
          <w:spacing w:val="20"/>
          <w:kern w:val="0"/>
          <w:sz w:val="32"/>
          <w:szCs w:val="32"/>
          <w:highlight w:val="none"/>
          <w:u w:val="none"/>
          <w:lang w:val="en-US" w:eastAsia="zh-CN"/>
        </w:rPr>
        <w:t>4</w:t>
      </w:r>
      <w:r>
        <w:rPr>
          <w:rFonts w:hint="eastAsia" w:hAnsi="DotumChe" w:cs="宋体"/>
          <w:b/>
          <w:spacing w:val="20"/>
          <w:kern w:val="0"/>
          <w:sz w:val="32"/>
          <w:szCs w:val="32"/>
          <w:highlight w:val="none"/>
          <w:u w:val="none"/>
          <w:lang w:eastAsia="zh-CN"/>
        </w:rPr>
        <w:t>GW00</w:t>
      </w:r>
      <w:r>
        <w:rPr>
          <w:rFonts w:hint="eastAsia" w:hAnsi="DotumChe" w:cs="宋体"/>
          <w:b/>
          <w:spacing w:val="20"/>
          <w:kern w:val="0"/>
          <w:sz w:val="32"/>
          <w:szCs w:val="32"/>
          <w:highlight w:val="none"/>
          <w:u w:val="none"/>
          <w:lang w:val="en-US" w:eastAsia="zh-CN"/>
        </w:rPr>
        <w:t xml:space="preserve">08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5"/>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3"/>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27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27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28</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29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37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38</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2"/>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拱辰邻里中心公共区域物业管理责任保险采购项目（二次）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1.项目编号：2024GW0008</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拱辰邻里中心公共区域物业管理责任保险采购项目（二次）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拱辰邻里中心项目含农贸市场、民宿、公寓，总建筑面积约7500平方米，其中，一楼菜市（含西楼、北楼一层，不含东楼朝拱辰街的私人门店）面积约1491.06平方米，二楼菜市（含钢结构平台、北楼、西楼二层）面积约794.47㎡，三楼民宿（含西三楼、北三楼、北三楼楼顶露台、东三楼）面积约1161.5㎡，西楼办公用房（含西四楼、五楼、西楼楼顶）面积约436.14㎡，东楼公寓（含东楼4-7层）面积约2314.39㎡，非机动车停车位约118个。消防泵房、高配房、柴油机房、监控室、农残检测室。因该项目保险合同到期，现拟对该项目公共区域的物业管理责任保险进行重新招标。报价方式为总价报价；付款方式为中标人出具保单后全额缴纳保费。</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7.项目概算：1.55</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sz w:val="24"/>
          <w:szCs w:val="18"/>
          <w:highlight w:val="none"/>
          <w:u w:val="none"/>
          <w:lang w:val="en-US" w:eastAsia="zh-CN"/>
        </w:rPr>
        <w:t>2024</w:t>
      </w:r>
      <w:r>
        <w:rPr>
          <w:rFonts w:hint="eastAsia" w:ascii="宋体" w:hAnsi="宋体"/>
          <w:sz w:val="24"/>
          <w:szCs w:val="18"/>
          <w:highlight w:val="none"/>
          <w:u w:val="none"/>
        </w:rPr>
        <w:t>年</w:t>
      </w:r>
      <w:r>
        <w:rPr>
          <w:rFonts w:hint="eastAsia" w:ascii="宋体" w:hAnsi="宋体"/>
          <w:sz w:val="24"/>
          <w:szCs w:val="18"/>
          <w:highlight w:val="none"/>
          <w:u w:val="none"/>
          <w:lang w:val="en-US" w:eastAsia="zh-CN"/>
        </w:rPr>
        <w:t>4</w:t>
      </w:r>
      <w:r>
        <w:rPr>
          <w:rFonts w:hint="eastAsia" w:ascii="宋体" w:hAnsi="宋体"/>
          <w:sz w:val="24"/>
          <w:szCs w:val="18"/>
          <w:highlight w:val="none"/>
          <w:u w:val="none"/>
        </w:rPr>
        <w:t>月</w:t>
      </w:r>
      <w:r>
        <w:rPr>
          <w:rFonts w:hint="eastAsia" w:ascii="宋体" w:hAnsi="宋体"/>
          <w:sz w:val="24"/>
          <w:szCs w:val="18"/>
          <w:highlight w:val="none"/>
          <w:u w:val="none"/>
          <w:lang w:val="en-US" w:eastAsia="zh-CN"/>
        </w:rPr>
        <w:t>11</w:t>
      </w:r>
      <w:r>
        <w:rPr>
          <w:rFonts w:hint="eastAsia" w:ascii="宋体" w:hAnsi="宋体"/>
          <w:sz w:val="24"/>
          <w:szCs w:val="18"/>
          <w:highlight w:val="none"/>
          <w:u w:val="none"/>
        </w:rPr>
        <w:t>日</w:t>
      </w:r>
      <w:r>
        <w:rPr>
          <w:rFonts w:hint="eastAsia" w:ascii="宋体" w:hAnsi="宋体"/>
          <w:sz w:val="24"/>
          <w:szCs w:val="18"/>
          <w:highlight w:val="none"/>
          <w:u w:val="none"/>
          <w:lang w:val="en-US" w:eastAsia="zh-CN"/>
        </w:rPr>
        <w:t>17:00</w:t>
      </w:r>
      <w:r>
        <w:rPr>
          <w:rFonts w:hint="eastAsia" w:ascii="宋体" w:hAnsi="宋体"/>
          <w:sz w:val="24"/>
          <w:szCs w:val="18"/>
          <w:highlight w:val="none"/>
          <w:u w:val="none"/>
        </w:rPr>
        <w:t>至</w:t>
      </w:r>
      <w:r>
        <w:rPr>
          <w:rFonts w:hint="eastAsia" w:ascii="宋体" w:hAnsi="宋体"/>
          <w:sz w:val="24"/>
          <w:szCs w:val="18"/>
          <w:highlight w:val="none"/>
          <w:u w:val="none"/>
          <w:lang w:val="en-US" w:eastAsia="zh-CN"/>
        </w:rPr>
        <w:t>2024</w:t>
      </w:r>
      <w:r>
        <w:rPr>
          <w:rFonts w:hint="eastAsia" w:ascii="宋体" w:hAnsi="宋体"/>
          <w:sz w:val="24"/>
          <w:szCs w:val="18"/>
          <w:highlight w:val="none"/>
          <w:u w:val="none"/>
        </w:rPr>
        <w:t>年</w:t>
      </w:r>
      <w:r>
        <w:rPr>
          <w:rFonts w:hint="eastAsia" w:ascii="宋体" w:hAnsi="宋体"/>
          <w:sz w:val="24"/>
          <w:szCs w:val="18"/>
          <w:highlight w:val="none"/>
          <w:u w:val="none"/>
          <w:lang w:val="en-US" w:eastAsia="zh-CN"/>
        </w:rPr>
        <w:t>4</w:t>
      </w:r>
      <w:r>
        <w:rPr>
          <w:rFonts w:hint="eastAsia" w:ascii="宋体" w:hAnsi="宋体"/>
          <w:sz w:val="24"/>
          <w:szCs w:val="18"/>
          <w:highlight w:val="none"/>
          <w:u w:val="none"/>
        </w:rPr>
        <w:t>月</w:t>
      </w:r>
      <w:r>
        <w:rPr>
          <w:rFonts w:hint="eastAsia" w:ascii="宋体" w:hAnsi="宋体"/>
          <w:sz w:val="24"/>
          <w:szCs w:val="18"/>
          <w:highlight w:val="none"/>
          <w:u w:val="none"/>
          <w:lang w:val="en-US" w:eastAsia="zh-CN"/>
        </w:rPr>
        <w:t>16</w:t>
      </w:r>
      <w:r>
        <w:rPr>
          <w:rFonts w:hint="eastAsia" w:ascii="宋体" w:hAnsi="宋体"/>
          <w:sz w:val="24"/>
          <w:szCs w:val="18"/>
          <w:highlight w:val="none"/>
          <w:u w:val="none"/>
        </w:rPr>
        <w:t>日</w:t>
      </w:r>
      <w:r>
        <w:rPr>
          <w:rFonts w:hint="eastAsia" w:ascii="宋体" w:hAnsi="宋体"/>
          <w:sz w:val="24"/>
          <w:szCs w:val="18"/>
          <w:highlight w:val="none"/>
          <w:u w:val="none"/>
          <w:lang w:val="en-US" w:eastAsia="zh-CN"/>
        </w:rPr>
        <w:t xml:space="preserve">17:00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24"/>
          <w:szCs w:val="24"/>
          <w:highlight w:val="none"/>
          <w:u w:val="none"/>
        </w:rPr>
      </w:pPr>
      <w:r>
        <w:rPr>
          <w:rFonts w:hint="eastAsia" w:cs="楷体"/>
          <w:bCs/>
          <w:snapToGrid w:val="0"/>
          <w:color w:val="000000"/>
          <w:sz w:val="24"/>
          <w:szCs w:val="24"/>
          <w:highlight w:val="none"/>
        </w:rPr>
        <w:t>潜在投标人须登录合肥庐阳文化旅游发展集团有限公司</w:t>
      </w:r>
      <w:r>
        <w:rPr>
          <w:rFonts w:hint="eastAsia" w:cs="楷体"/>
          <w:bCs/>
          <w:snapToGrid w:val="0"/>
          <w:color w:val="000000"/>
          <w:sz w:val="24"/>
          <w:szCs w:val="24"/>
          <w:highlight w:val="none"/>
          <w:lang w:eastAsia="zh-CN"/>
        </w:rPr>
        <w:t>官方网站</w:t>
      </w:r>
      <w:r>
        <w:rPr>
          <w:rFonts w:hint="eastAsia" w:cs="楷体"/>
          <w:bCs/>
          <w:snapToGrid w:val="0"/>
          <w:color w:val="000000"/>
          <w:sz w:val="24"/>
          <w:szCs w:val="24"/>
          <w:highlight w:val="none"/>
        </w:rPr>
        <w:t>查阅</w:t>
      </w:r>
      <w:r>
        <w:rPr>
          <w:rFonts w:hint="eastAsia" w:cs="楷体"/>
          <w:bCs/>
          <w:snapToGrid w:val="0"/>
          <w:color w:val="000000"/>
          <w:sz w:val="24"/>
          <w:szCs w:val="24"/>
          <w:highlight w:val="none"/>
          <w:lang w:eastAsia="zh-CN"/>
        </w:rPr>
        <w:t>并下载</w:t>
      </w:r>
      <w:r>
        <w:rPr>
          <w:rFonts w:hint="eastAsia" w:cs="楷体"/>
          <w:bCs/>
          <w:snapToGrid w:val="0"/>
          <w:color w:val="000000"/>
          <w:sz w:val="24"/>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四、</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时间及地点</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sz w:val="24"/>
          <w:szCs w:val="24"/>
          <w:highlight w:val="none"/>
          <w:u w:val="none"/>
        </w:rPr>
        <w:t>1.</w:t>
      </w:r>
      <w:r>
        <w:rPr>
          <w:rFonts w:hint="eastAsia" w:ascii="宋体" w:hAnsi="宋体"/>
          <w:sz w:val="24"/>
          <w:szCs w:val="24"/>
          <w:highlight w:val="none"/>
          <w:u w:val="none"/>
          <w:lang w:eastAsia="zh-CN"/>
        </w:rPr>
        <w:t>谈判</w:t>
      </w:r>
      <w:r>
        <w:rPr>
          <w:rFonts w:hint="eastAsia" w:ascii="宋体" w:hAnsi="宋体"/>
          <w:sz w:val="24"/>
          <w:szCs w:val="24"/>
          <w:highlight w:val="none"/>
          <w:u w:val="none"/>
        </w:rPr>
        <w:t>时间：</w:t>
      </w:r>
      <w:r>
        <w:rPr>
          <w:rFonts w:hint="eastAsia" w:ascii="宋体" w:hAnsi="宋体"/>
          <w:sz w:val="24"/>
          <w:szCs w:val="24"/>
          <w:highlight w:val="none"/>
          <w:u w:val="none"/>
          <w:lang w:eastAsia="zh-CN"/>
        </w:rPr>
        <w:t>响应文件提交</w:t>
      </w:r>
      <w:r>
        <w:rPr>
          <w:rFonts w:hint="eastAsia"/>
          <w:sz w:val="24"/>
          <w:szCs w:val="24"/>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sz w:val="24"/>
          <w:szCs w:val="24"/>
          <w:highlight w:val="none"/>
          <w:u w:val="none"/>
        </w:rPr>
        <w:t>地点：</w:t>
      </w:r>
      <w:r>
        <w:rPr>
          <w:rFonts w:hint="eastAsia"/>
          <w:sz w:val="24"/>
          <w:szCs w:val="24"/>
          <w:highlight w:val="none"/>
          <w:lang w:eastAsia="zh-CN"/>
        </w:rPr>
        <w:t>由招标人自行确定（</w:t>
      </w:r>
      <w:r>
        <w:rPr>
          <w:rFonts w:hint="eastAsia"/>
          <w:b/>
          <w:bCs/>
          <w:sz w:val="24"/>
          <w:szCs w:val="24"/>
          <w:highlight w:val="none"/>
          <w:lang w:eastAsia="zh-CN"/>
        </w:rPr>
        <w:t>备注：投标人在规定时间内递交投标文件即可，无须现场参加开标</w:t>
      </w:r>
      <w:r>
        <w:rPr>
          <w:rFonts w:hint="eastAsia"/>
          <w:sz w:val="24"/>
          <w:szCs w:val="24"/>
          <w:highlight w:val="none"/>
          <w:lang w:eastAsia="zh-CN"/>
        </w:rPr>
        <w:t>）</w:t>
      </w:r>
      <w:r>
        <w:rPr>
          <w:rFonts w:hint="eastAsia" w:cs="楷体"/>
          <w:bCs/>
          <w:snapToGrid w:val="0"/>
          <w:color w:val="000000"/>
          <w:sz w:val="24"/>
          <w:szCs w:val="24"/>
          <w:highlight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17:00 </w:t>
      </w:r>
    </w:p>
    <w:p>
      <w:pPr>
        <w:autoSpaceDE w:val="0"/>
        <w:autoSpaceDN w:val="0"/>
        <w:adjustRightInd w:val="0"/>
        <w:spacing w:line="360" w:lineRule="auto"/>
        <w:ind w:firstLine="200"/>
        <w:jc w:val="left"/>
        <w:rPr>
          <w:rFonts w:hint="eastAsia" w:ascii="宋体" w:hAnsi="宋体" w:eastAsia="宋体" w:cs="Times New Roman"/>
          <w:b/>
          <w:bCs/>
          <w:sz w:val="24"/>
          <w:szCs w:val="24"/>
          <w:highlight w:val="none"/>
          <w:u w:val="none"/>
        </w:rPr>
      </w:pPr>
      <w:r>
        <w:rPr>
          <w:rFonts w:hint="eastAsia" w:ascii="宋体" w:hAnsi="宋体" w:eastAsia="宋体" w:cs="Times New Roman"/>
          <w:b/>
          <w:bCs/>
          <w:sz w:val="24"/>
          <w:szCs w:val="24"/>
          <w:highlight w:val="none"/>
          <w:u w:val="none"/>
        </w:rPr>
        <w:t>六、响应文件递交注意事项：</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24"/>
          <w:highlight w:val="none"/>
          <w:u w:val="none"/>
          <w:lang w:val="en-US" w:eastAsia="zh-CN" w:bidi="ar-SA"/>
        </w:rPr>
      </w:pPr>
      <w:r>
        <w:rPr>
          <w:rFonts w:hint="eastAsia" w:ascii="宋体" w:hAnsi="宋体" w:eastAsia="宋体" w:cs="Times New Roman"/>
          <w:sz w:val="24"/>
          <w:szCs w:val="24"/>
          <w:highlight w:val="none"/>
          <w:u w:val="none"/>
          <w:lang w:val="en-US" w:eastAsia="zh-CN" w:bidi="ar-SA"/>
        </w:rPr>
        <w:t>投标文件由投标人在响应文件递交截止时间前密封递交；</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七</w:t>
      </w:r>
      <w:r>
        <w:rPr>
          <w:rFonts w:hint="eastAsia" w:ascii="宋体" w:hAnsi="宋体"/>
          <w:b/>
          <w:bCs/>
          <w:sz w:val="24"/>
          <w:szCs w:val="24"/>
          <w:highlight w:val="none"/>
          <w:u w:val="none"/>
        </w:rPr>
        <w:t>、联系方法</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24"/>
          <w:highlight w:val="none"/>
          <w:u w:val="none"/>
          <w:lang w:eastAsia="zh-CN"/>
        </w:rPr>
        <w:t>招标人</w:t>
      </w:r>
      <w:r>
        <w:rPr>
          <w:rFonts w:hint="eastAsia" w:ascii="宋体" w:hAnsi="宋体"/>
          <w:bCs/>
          <w:sz w:val="24"/>
          <w:szCs w:val="24"/>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24"/>
          <w:highlight w:val="none"/>
          <w:u w:val="none"/>
          <w:lang w:val="en-US" w:eastAsia="zh-CN"/>
        </w:rPr>
        <w:t xml:space="preserve"> </w:t>
      </w:r>
      <w:r>
        <w:rPr>
          <w:rFonts w:hint="eastAsia" w:ascii="宋体" w:hAnsi="宋体"/>
          <w:bCs/>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24"/>
          <w:highlight w:val="none"/>
          <w:u w:val="none"/>
          <w:lang w:val="en-US"/>
        </w:rPr>
      </w:pPr>
      <w:r>
        <w:rPr>
          <w:rFonts w:hint="eastAsia" w:ascii="宋体" w:hAnsi="宋体"/>
          <w:bCs/>
          <w:sz w:val="24"/>
          <w:szCs w:val="24"/>
          <w:highlight w:val="none"/>
          <w:u w:val="none"/>
        </w:rPr>
        <w:t>地址：合肥市原省政府办公区北楼一楼134办公室招标部</w:t>
      </w:r>
      <w:r>
        <w:rPr>
          <w:rFonts w:hint="eastAsia" w:ascii="宋体" w:hAnsi="宋体"/>
          <w:bCs/>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电  话</w:t>
      </w:r>
      <w:r>
        <w:rPr>
          <w:rFonts w:hint="eastAsia" w:ascii="宋体" w:hAnsi="宋体"/>
          <w:bCs/>
          <w:sz w:val="24"/>
          <w:szCs w:val="24"/>
          <w:highlight w:val="none"/>
          <w:u w:val="none"/>
        </w:rPr>
        <w:t>：0551-69115416</w:t>
      </w:r>
      <w:r>
        <w:rPr>
          <w:rFonts w:hint="eastAsia" w:ascii="宋体" w:hAnsi="宋体"/>
          <w:bCs/>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八</w:t>
      </w:r>
      <w:r>
        <w:rPr>
          <w:rFonts w:hint="eastAsia" w:ascii="宋体" w:hAnsi="宋体"/>
          <w:b/>
          <w:bCs/>
          <w:sz w:val="24"/>
          <w:szCs w:val="24"/>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2"/>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7"/>
              <w:ind w:left="0" w:leftChars="0" w:firstLine="0" w:firstLineChars="0"/>
              <w:rPr>
                <w:rFonts w:hint="eastAsia"/>
                <w:highlight w:val="none"/>
              </w:rPr>
            </w:pPr>
            <w:r>
              <w:rPr>
                <w:rFonts w:hint="eastAsia" w:ascii="Calibri" w:hAnsi="宋体" w:eastAsia="宋体" w:cs="宋体"/>
                <w:color w:val="auto"/>
                <w:kern w:val="2"/>
                <w:sz w:val="21"/>
                <w:szCs w:val="24"/>
                <w:highlight w:val="none"/>
                <w:lang w:val="en-US" w:eastAsia="zh-CN" w:bidi="ar-SA"/>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6"/>
              <w:ind w:left="0" w:leftChars="0" w:firstLine="0" w:firstLineChars="0"/>
              <w:rPr>
                <w:rFonts w:hint="default" w:eastAsia="宋体"/>
                <w:highlight w:val="none"/>
                <w:lang w:val="en-US" w:eastAsia="zh-CN"/>
              </w:rPr>
            </w:pP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1"/>
                <w:szCs w:val="21"/>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05" w:rightChars="50"/>
              <w:jc w:val="left"/>
              <w:rPr>
                <w:snapToGrid w:val="0"/>
                <w:sz w:val="21"/>
                <w:szCs w:val="21"/>
                <w:highlight w:val="none"/>
              </w:rPr>
            </w:pPr>
            <w:r>
              <w:rPr>
                <w:rFonts w:hint="eastAsia"/>
                <w:bCs/>
                <w:snapToGrid w:val="0"/>
                <w:sz w:val="21"/>
                <w:szCs w:val="21"/>
                <w:highlight w:val="none"/>
                <w:lang w:eastAsia="zh-CN"/>
              </w:rPr>
              <w:t>通过招标人官网</w:t>
            </w:r>
            <w:r>
              <w:rPr>
                <w:rFonts w:hint="eastAsia"/>
                <w:snapToGrid w:val="0"/>
                <w:sz w:val="21"/>
                <w:szCs w:val="21"/>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13</w:t>
            </w:r>
          </w:p>
        </w:tc>
        <w:tc>
          <w:tcPr>
            <w:tcW w:w="2471" w:type="dxa"/>
            <w:vMerge w:val="restart"/>
            <w:noWrap w:val="0"/>
            <w:vAlign w:val="center"/>
          </w:tcPr>
          <w:p>
            <w:pPr>
              <w:kinsoku w:val="0"/>
              <w:overflowPunct w:val="0"/>
              <w:autoSpaceDE w:val="0"/>
              <w:autoSpaceDN w:val="0"/>
              <w:adjustRightInd w:val="0"/>
              <w:snapToGrid w:val="0"/>
              <w:ind w:left="105" w:leftChars="50" w:right="105" w:rightChars="50"/>
              <w:jc w:val="center"/>
              <w:rPr>
                <w:rFonts w:hint="eastAsia" w:eastAsia="宋体" w:cs="Times New Roman"/>
                <w:snapToGrid w:val="0"/>
                <w:szCs w:val="24"/>
                <w:highlight w:val="none"/>
                <w:lang w:eastAsia="zh-CN"/>
              </w:rPr>
            </w:pPr>
            <w:r>
              <w:rPr>
                <w:rFonts w:hint="eastAsia" w:eastAsia="宋体" w:cs="Times New Roman"/>
                <w:snapToGrid w:val="0"/>
                <w:szCs w:val="24"/>
                <w:highlight w:val="none"/>
                <w:lang w:eastAsia="zh-CN"/>
              </w:rPr>
              <w:t>招标文件的</w:t>
            </w:r>
          </w:p>
          <w:p>
            <w:pPr>
              <w:kinsoku w:val="0"/>
              <w:overflowPunct w:val="0"/>
              <w:autoSpaceDE w:val="0"/>
              <w:autoSpaceDN w:val="0"/>
              <w:adjustRightInd w:val="0"/>
              <w:snapToGrid w:val="0"/>
              <w:ind w:left="105" w:leftChars="50" w:right="105" w:rightChars="50"/>
              <w:jc w:val="center"/>
              <w:rPr>
                <w:rFonts w:hint="eastAsia"/>
                <w:color w:val="auto"/>
                <w:szCs w:val="24"/>
                <w:highlight w:val="none"/>
              </w:rPr>
            </w:pPr>
            <w:r>
              <w:rPr>
                <w:rFonts w:hint="eastAsia" w:eastAsia="宋体" w:cs="Times New Roman"/>
                <w:snapToGrid w:val="0"/>
                <w:szCs w:val="24"/>
                <w:highlight w:val="none"/>
                <w:lang w:eastAsia="zh-CN"/>
              </w:rPr>
              <w:t>异议</w:t>
            </w:r>
          </w:p>
        </w:tc>
        <w:tc>
          <w:tcPr>
            <w:tcW w:w="6051" w:type="dxa"/>
            <w:noWrap w:val="0"/>
            <w:vAlign w:val="center"/>
          </w:tcPr>
          <w:p>
            <w:pPr>
              <w:snapToGrid w:val="0"/>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时间：</w:t>
            </w:r>
            <w:r>
              <w:rPr>
                <w:rFonts w:hint="eastAsia"/>
                <w:color w:val="auto"/>
                <w:sz w:val="21"/>
                <w:szCs w:val="21"/>
                <w:highlight w:val="none"/>
                <w:lang w:val="en-US" w:eastAsia="zh-CN"/>
              </w:rPr>
              <w:t>2024</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15</w:t>
            </w:r>
            <w:r>
              <w:rPr>
                <w:rFonts w:hint="eastAsia"/>
                <w:color w:val="auto"/>
                <w:sz w:val="21"/>
                <w:szCs w:val="21"/>
                <w:highlight w:val="none"/>
              </w:rPr>
              <w:t>日</w:t>
            </w:r>
            <w:r>
              <w:rPr>
                <w:rFonts w:hint="eastAsia"/>
                <w:color w:val="auto"/>
                <w:sz w:val="21"/>
                <w:szCs w:val="21"/>
                <w:highlight w:val="none"/>
                <w:lang w:val="en-US" w:eastAsia="zh-CN"/>
              </w:rPr>
              <w:t>17</w:t>
            </w:r>
            <w:r>
              <w:rPr>
                <w:rFonts w:hint="eastAsia"/>
                <w:color w:val="auto"/>
                <w:sz w:val="21"/>
                <w:szCs w:val="21"/>
                <w:highlight w:val="none"/>
              </w:rPr>
              <w:t>时</w:t>
            </w:r>
            <w:r>
              <w:rPr>
                <w:rFonts w:hint="eastAsia"/>
                <w:color w:val="auto"/>
                <w:sz w:val="21"/>
                <w:szCs w:val="21"/>
                <w:highlight w:val="none"/>
                <w:lang w:val="en-US" w:eastAsia="zh-CN"/>
              </w:rPr>
              <w:t>30</w:t>
            </w:r>
            <w:r>
              <w:rPr>
                <w:rFonts w:hint="eastAsia"/>
                <w:color w:val="auto"/>
                <w:sz w:val="21"/>
                <w:szCs w:val="21"/>
                <w:highlight w:val="none"/>
              </w:rPr>
              <w:t>分前</w:t>
            </w:r>
            <w:r>
              <w:rPr>
                <w:rFonts w:hint="eastAsia"/>
                <w:bCs/>
                <w:snapToGrid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1"/>
                <w:szCs w:val="21"/>
                <w:highlight w:val="none"/>
                <w:lang w:val="en-US" w:eastAsia="zh-CN" w:bidi="ar-SA"/>
              </w:rPr>
            </w:pPr>
            <w:r>
              <w:rPr>
                <w:rFonts w:hint="eastAsia"/>
                <w:bCs/>
                <w:snapToGrid w:val="0"/>
                <w:kern w:val="0"/>
                <w:sz w:val="21"/>
                <w:szCs w:val="21"/>
                <w:highlight w:val="none"/>
              </w:rPr>
              <w:t>形式：</w:t>
            </w:r>
            <w:r>
              <w:rPr>
                <w:rFonts w:hint="eastAsia"/>
                <w:bCs/>
                <w:snapToGrid w:val="0"/>
                <w:kern w:val="0"/>
                <w:sz w:val="21"/>
                <w:szCs w:val="21"/>
                <w:highlight w:val="none"/>
                <w:lang w:eastAsia="zh-CN"/>
              </w:rPr>
              <w:t>纸质</w:t>
            </w:r>
            <w:r>
              <w:rPr>
                <w:rFonts w:hint="eastAsia"/>
                <w:bCs/>
                <w:snapToGrid w:val="0"/>
                <w:kern w:val="0"/>
                <w:sz w:val="21"/>
                <w:szCs w:val="21"/>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 w:val="21"/>
                <w:szCs w:val="21"/>
                <w:highlight w:val="none"/>
              </w:rPr>
            </w:pPr>
            <w:r>
              <w:rPr>
                <w:rFonts w:hint="eastAsia"/>
                <w:bCs/>
                <w:snapToGrid w:val="0"/>
                <w:sz w:val="21"/>
                <w:szCs w:val="21"/>
                <w:highlight w:val="none"/>
              </w:rPr>
              <w:t>（1）计税方法：</w:t>
            </w:r>
          </w:p>
          <w:p>
            <w:pPr>
              <w:snapToGrid w:val="0"/>
              <w:rPr>
                <w:rFonts w:hint="eastAsia"/>
                <w:bCs/>
                <w:snapToGrid w:val="0"/>
                <w:sz w:val="21"/>
                <w:szCs w:val="21"/>
                <w:highlight w:val="none"/>
              </w:rPr>
            </w:pPr>
            <w:r>
              <w:rPr>
                <w:rFonts w:hint="eastAsia" w:ascii="MS Mincho" w:hAnsi="MS Mincho" w:eastAsia="MS Mincho" w:cs="MS Mincho"/>
                <w:bCs/>
                <w:snapToGrid w:val="0"/>
                <w:sz w:val="21"/>
                <w:szCs w:val="21"/>
                <w:highlight w:val="none"/>
              </w:rPr>
              <w:sym w:font="Wingdings 2" w:char="0052"/>
            </w:r>
            <w:r>
              <w:rPr>
                <w:rFonts w:hint="eastAsia"/>
                <w:bCs/>
                <w:snapToGrid w:val="0"/>
                <w:sz w:val="21"/>
                <w:szCs w:val="21"/>
                <w:highlight w:val="none"/>
              </w:rPr>
              <w:t>一般计税方法</w:t>
            </w:r>
          </w:p>
          <w:p>
            <w:pPr>
              <w:snapToGrid w:val="0"/>
              <w:rPr>
                <w:rFonts w:hint="eastAsia"/>
                <w:bCs/>
                <w:snapToGrid w:val="0"/>
                <w:sz w:val="21"/>
                <w:szCs w:val="21"/>
                <w:highlight w:val="none"/>
              </w:rPr>
            </w:pPr>
            <w:r>
              <w:rPr>
                <w:rFonts w:hint="eastAsia"/>
                <w:bCs/>
                <w:snapToGrid w:val="0"/>
                <w:sz w:val="21"/>
                <w:szCs w:val="21"/>
                <w:highlight w:val="none"/>
              </w:rPr>
              <w:t xml:space="preserve">□简易计算方法 </w:t>
            </w:r>
          </w:p>
          <w:p>
            <w:pPr>
              <w:snapToGrid w:val="0"/>
              <w:rPr>
                <w:rFonts w:hint="eastAsia"/>
                <w:bCs/>
                <w:snapToGrid w:val="0"/>
                <w:sz w:val="21"/>
                <w:szCs w:val="21"/>
                <w:highlight w:val="none"/>
              </w:rPr>
            </w:pPr>
            <w:r>
              <w:rPr>
                <w:rFonts w:hint="eastAsia"/>
                <w:bCs/>
                <w:snapToGrid w:val="0"/>
                <w:sz w:val="21"/>
                <w:szCs w:val="21"/>
                <w:highlight w:val="none"/>
              </w:rPr>
              <w:t>（2）发票类型：</w:t>
            </w:r>
          </w:p>
          <w:p>
            <w:pPr>
              <w:snapToGrid w:val="0"/>
              <w:rPr>
                <w:rFonts w:hint="eastAsia"/>
                <w:bCs/>
                <w:snapToGrid w:val="0"/>
                <w:sz w:val="21"/>
                <w:szCs w:val="21"/>
                <w:highlight w:val="none"/>
              </w:rPr>
            </w:pPr>
            <w:r>
              <w:rPr>
                <w:rFonts w:hint="eastAsia" w:ascii="MS Mincho" w:hAnsi="MS Mincho" w:eastAsia="MS Mincho" w:cs="MS Mincho"/>
                <w:bCs/>
                <w:snapToGrid w:val="0"/>
                <w:sz w:val="21"/>
                <w:szCs w:val="21"/>
                <w:highlight w:val="none"/>
              </w:rPr>
              <w:sym w:font="Wingdings 2" w:char="0052"/>
            </w:r>
            <w:r>
              <w:rPr>
                <w:rFonts w:hint="eastAsia"/>
                <w:bCs/>
                <w:snapToGrid w:val="0"/>
                <w:sz w:val="21"/>
                <w:szCs w:val="21"/>
                <w:highlight w:val="none"/>
              </w:rPr>
              <w:t>增值税专用发票</w:t>
            </w:r>
          </w:p>
          <w:p>
            <w:pPr>
              <w:snapToGrid w:val="0"/>
              <w:rPr>
                <w:rFonts w:hint="eastAsia"/>
                <w:bCs/>
                <w:snapToGrid w:val="0"/>
                <w:sz w:val="21"/>
                <w:szCs w:val="21"/>
                <w:highlight w:val="none"/>
              </w:rPr>
            </w:pPr>
            <w:r>
              <w:rPr>
                <w:rFonts w:hint="eastAsia"/>
                <w:bCs/>
                <w:snapToGrid w:val="0"/>
                <w:sz w:val="21"/>
                <w:szCs w:val="21"/>
                <w:highlight w:val="none"/>
              </w:rPr>
              <w:sym w:font="Wingdings 2" w:char="00A3"/>
            </w:r>
            <w:r>
              <w:rPr>
                <w:rFonts w:hint="eastAsia"/>
                <w:bCs/>
                <w:snapToGrid w:val="0"/>
                <w:sz w:val="21"/>
                <w:szCs w:val="21"/>
                <w:highlight w:val="none"/>
              </w:rPr>
              <w:t>增值税普通发票</w:t>
            </w:r>
          </w:p>
          <w:p>
            <w:pPr>
              <w:snapToGrid w:val="0"/>
              <w:rPr>
                <w:rFonts w:hint="eastAsia"/>
                <w:bCs/>
                <w:snapToGrid w:val="0"/>
                <w:sz w:val="21"/>
                <w:szCs w:val="21"/>
                <w:highlight w:val="none"/>
              </w:rPr>
            </w:pPr>
            <w:r>
              <w:rPr>
                <w:rFonts w:hint="eastAsia"/>
                <w:bCs/>
                <w:snapToGrid w:val="0"/>
                <w:sz w:val="21"/>
                <w:szCs w:val="21"/>
                <w:highlight w:val="none"/>
              </w:rPr>
              <w:t>（3）增值税税率按照国家有关规定执行。</w:t>
            </w:r>
          </w:p>
          <w:p>
            <w:pPr>
              <w:snapToGrid w:val="0"/>
              <w:rPr>
                <w:rFonts w:hint="eastAsia"/>
                <w:bCs/>
                <w:snapToGrid w:val="0"/>
                <w:sz w:val="21"/>
                <w:szCs w:val="21"/>
                <w:highlight w:val="none"/>
              </w:rPr>
            </w:pPr>
            <w:r>
              <w:rPr>
                <w:rFonts w:hint="eastAsia"/>
                <w:bCs/>
                <w:snapToGrid w:val="0"/>
                <w:sz w:val="21"/>
                <w:szCs w:val="21"/>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cs="Times New Roman"/>
                <w:sz w:val="24"/>
                <w:szCs w:val="24"/>
                <w:highlight w:val="none"/>
                <w:lang w:val="en-US" w:eastAsia="zh-CN" w:bidi="ar-SA"/>
              </w:rPr>
              <w:t>15</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1.55万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4"/>
              <w:rPr>
                <w:rFonts w:hint="eastAsia" w:ascii="黑体" w:hAnsi="黑体" w:eastAsia="黑体" w:cs="楷体"/>
                <w:bCs/>
                <w:snapToGrid w:val="0"/>
                <w:sz w:val="24"/>
                <w:szCs w:val="24"/>
                <w:highlight w:val="none"/>
                <w:lang w:val="en-US" w:eastAsia="zh-CN" w:bidi="ar-SA"/>
              </w:rPr>
            </w:pPr>
            <w:r>
              <w:rPr>
                <w:rFonts w:hint="eastAsia" w:ascii="宋体" w:hAnsi="宋体"/>
                <w:sz w:val="24"/>
                <w:highlight w:val="yellow"/>
              </w:rPr>
              <w:t>正本1份；副本</w:t>
            </w:r>
            <w:r>
              <w:rPr>
                <w:rFonts w:hint="eastAsia" w:ascii="宋体" w:hAnsi="宋体"/>
                <w:sz w:val="24"/>
                <w:highlight w:val="yellow"/>
                <w:lang w:val="en-US" w:eastAsia="zh-CN"/>
              </w:rPr>
              <w:t>2</w:t>
            </w:r>
            <w:r>
              <w:rPr>
                <w:rFonts w:hint="eastAsia" w:ascii="宋体" w:hAnsi="宋体"/>
                <w:sz w:val="24"/>
                <w:highlight w:val="yellow"/>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4"/>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eastAsia="宋体" w:cs="Times New Roman"/>
                <w:snapToGrid w:val="0"/>
                <w:szCs w:val="24"/>
                <w:highlight w:val="none"/>
                <w:shd w:val="clear" w:color="auto" w:fill="FFFFFF"/>
                <w:lang w:val="en-US" w:eastAsia="zh-CN"/>
              </w:rPr>
            </w:pPr>
            <w:r>
              <w:rPr>
                <w:rFonts w:hint="eastAsia" w:eastAsia="宋体" w:cs="Times New Roman"/>
                <w:snapToGrid w:val="0"/>
                <w:szCs w:val="24"/>
                <w:highlight w:val="none"/>
                <w:shd w:val="clear" w:color="auto" w:fill="FFFFFF"/>
                <w:lang w:val="en-US" w:eastAsia="zh-CN"/>
              </w:rPr>
              <w:t xml:space="preserve">递交地址：安徽省合肥市庐阳区红星路省人民政府机关幼儿园北门对面原省政府北楼134办公室 </w:t>
            </w:r>
          </w:p>
          <w:p>
            <w:pPr>
              <w:snapToGrid w:val="0"/>
              <w:rPr>
                <w:rFonts w:hint="eastAsia" w:eastAsia="宋体" w:cs="Times New Roman"/>
                <w:snapToGrid w:val="0"/>
                <w:szCs w:val="24"/>
                <w:highlight w:val="none"/>
                <w:shd w:val="clear" w:color="auto" w:fill="FFFFFF"/>
                <w:lang w:val="en-US" w:eastAsia="zh-CN"/>
              </w:rPr>
            </w:pPr>
            <w:r>
              <w:rPr>
                <w:rFonts w:hint="eastAsia" w:eastAsia="宋体" w:cs="Times New Roman"/>
                <w:snapToGrid w:val="0"/>
                <w:szCs w:val="24"/>
                <w:highlight w:val="none"/>
                <w:shd w:val="clear" w:color="auto" w:fill="FFFFFF"/>
                <w:lang w:val="en-US" w:eastAsia="zh-CN"/>
              </w:rPr>
              <w:t>联系方式：0551-69115416</w:t>
            </w:r>
          </w:p>
          <w:p>
            <w:pPr>
              <w:snapToGrid w:val="0"/>
              <w:rPr>
                <w:rFonts w:hint="default"/>
                <w:lang w:val="en-US" w:eastAsia="zh-CN"/>
              </w:rPr>
            </w:pPr>
            <w:r>
              <w:rPr>
                <w:rFonts w:hint="eastAsia" w:eastAsia="宋体" w:cs="Times New Roman"/>
                <w:snapToGrid w:val="0"/>
                <w:szCs w:val="24"/>
                <w:highlight w:val="none"/>
                <w:shd w:val="clear" w:color="auto" w:fill="FFFFFF"/>
                <w:lang w:val="en-US" w:eastAsia="zh-CN"/>
              </w:rPr>
              <w:t>联系人：刘工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5"/>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660067"/>
      <w:bookmarkStart w:id="6" w:name="_Toc184635071"/>
      <w:bookmarkStart w:id="7" w:name="_Toc460226725"/>
      <w:bookmarkStart w:id="8" w:name="_Toc460226994"/>
    </w:p>
    <w:bookmarkEnd w:id="5"/>
    <w:bookmarkEnd w:id="6"/>
    <w:bookmarkEnd w:id="7"/>
    <w:bookmarkEnd w:id="8"/>
    <w:p>
      <w:pPr>
        <w:pStyle w:val="3"/>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5"/>
        <w:spacing w:line="500" w:lineRule="exact"/>
        <w:jc w:val="both"/>
        <w:rPr>
          <w:rFonts w:hint="eastAsia" w:hAnsi="宋体"/>
          <w:sz w:val="28"/>
          <w:highlight w:val="none"/>
        </w:rPr>
      </w:pPr>
      <w:bookmarkStart w:id="10" w:name="_Hlt509650955"/>
      <w:bookmarkEnd w:id="10"/>
      <w:bookmarkStart w:id="11" w:name="_Hlt526418143"/>
      <w:bookmarkEnd w:id="11"/>
      <w:bookmarkStart w:id="12" w:name="_Hlt509650686"/>
      <w:bookmarkEnd w:id="12"/>
      <w:bookmarkStart w:id="13" w:name="_Hlt509650126"/>
      <w:bookmarkEnd w:id="13"/>
      <w:bookmarkStart w:id="14" w:name="_Hlt509649722"/>
      <w:bookmarkEnd w:id="14"/>
      <w:bookmarkStart w:id="15" w:name="_Hlt509649998"/>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5"/>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49930"/>
      <w:bookmarkEnd w:id="18"/>
      <w:bookmarkStart w:id="19" w:name="_Hlt509649791"/>
      <w:bookmarkEnd w:id="19"/>
      <w:bookmarkStart w:id="20" w:name="_Hlt509650361"/>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457"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5"/>
        <w:spacing w:line="500" w:lineRule="exact"/>
        <w:jc w:val="both"/>
        <w:rPr>
          <w:rFonts w:hint="eastAsia" w:hAnsi="宋体"/>
          <w:sz w:val="28"/>
          <w:highlight w:val="none"/>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6"/>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5"/>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0128752"/>
      <w:bookmarkStart w:id="31" w:name="_Toc522466826"/>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5"/>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5"/>
        <w:spacing w:line="360" w:lineRule="auto"/>
        <w:ind w:firstLine="628"/>
        <w:jc w:val="both"/>
        <w:rPr>
          <w:rFonts w:hint="eastAsia" w:hAnsi="宋体"/>
          <w:sz w:val="28"/>
          <w:highlight w:val="none"/>
        </w:rPr>
      </w:pPr>
      <w:bookmarkStart w:id="36" w:name="_Toc50128754"/>
      <w:bookmarkStart w:id="37" w:name="_Toc522466828"/>
      <w:bookmarkStart w:id="38" w:name="_Toc477793061"/>
      <w:bookmarkStart w:id="39" w:name="_Toc460487454"/>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7"/>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7"/>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2"/>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spacing w:line="360" w:lineRule="auto"/>
        <w:ind w:firstLine="562" w:firstLineChars="200"/>
        <w:rPr>
          <w:rFonts w:hint="eastAsia" w:ascii="仿宋_GB2312" w:hAnsi="仿宋_GB2312" w:eastAsia="仿宋_GB2312" w:cs="仿宋_GB2312"/>
          <w:b/>
          <w:sz w:val="28"/>
          <w:szCs w:val="28"/>
        </w:rPr>
      </w:pPr>
      <w:bookmarkStart w:id="41" w:name="_Toc38879335"/>
      <w:bookmarkStart w:id="42" w:name="_Toc63412030"/>
      <w:r>
        <w:rPr>
          <w:rFonts w:hint="eastAsia" w:ascii="仿宋_GB2312" w:hAnsi="仿宋_GB2312" w:eastAsia="仿宋_GB2312" w:cs="仿宋_GB2312"/>
          <w:b/>
          <w:sz w:val="28"/>
          <w:szCs w:val="28"/>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拱辰邻里中心公共区域物业管理责任保险采购项目（二次）</w:t>
      </w:r>
    </w:p>
    <w:p>
      <w:pPr>
        <w:widowControl/>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二、项目预算：</w:t>
      </w:r>
      <w:r>
        <w:rPr>
          <w:rFonts w:hint="eastAsia" w:ascii="仿宋_GB2312" w:hAnsi="仿宋_GB2312" w:eastAsia="仿宋_GB2312" w:cs="仿宋_GB2312"/>
          <w:b/>
          <w:sz w:val="28"/>
          <w:szCs w:val="28"/>
          <w:lang w:val="en-US" w:eastAsia="zh-CN"/>
        </w:rPr>
        <w:t>15500元</w:t>
      </w:r>
    </w:p>
    <w:p>
      <w:pPr>
        <w:widowControl/>
        <w:spacing w:line="360" w:lineRule="auto"/>
        <w:ind w:firstLine="562" w:firstLineChars="200"/>
        <w:rPr>
          <w:rFonts w:hint="default" w:ascii="仿宋_GB2312" w:hAnsi="仿宋_GB2312" w:eastAsia="仿宋_GB2312" w:cs="仿宋_GB2312"/>
          <w:b/>
          <w:sz w:val="28"/>
          <w:szCs w:val="28"/>
          <w:lang w:val="en-US"/>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eastAsia="宋体" w:cs="宋体"/>
          <w:b/>
          <w:sz w:val="28"/>
          <w:szCs w:val="28"/>
          <w:lang w:val="en-US" w:eastAsia="zh-CN"/>
        </w:rPr>
      </w:pPr>
      <w:r>
        <w:rPr>
          <w:rFonts w:hint="eastAsia" w:ascii="仿宋_GB2312" w:hAnsi="新宋体" w:eastAsia="仿宋_GB2312" w:cs="新宋体"/>
          <w:b w:val="0"/>
          <w:bCs w:val="0"/>
          <w:color w:val="000000"/>
          <w:kern w:val="0"/>
          <w:sz w:val="28"/>
          <w:szCs w:val="24"/>
          <w:lang w:val="en-US" w:eastAsia="zh-CN" w:bidi="ar"/>
        </w:rPr>
        <w:t>拱辰邻里中心项目</w:t>
      </w:r>
      <w:r>
        <w:rPr>
          <w:rFonts w:hint="default" w:ascii="仿宋_GB2312" w:hAnsi="新宋体" w:eastAsia="仿宋_GB2312" w:cs="新宋体"/>
          <w:b w:val="0"/>
          <w:bCs w:val="0"/>
          <w:color w:val="000000"/>
          <w:kern w:val="0"/>
          <w:sz w:val="28"/>
          <w:szCs w:val="24"/>
          <w:lang w:val="en-US" w:eastAsia="zh-CN" w:bidi="ar"/>
        </w:rPr>
        <w:t>含农贸市场、民宿、公寓，总建</w:t>
      </w:r>
      <w:bookmarkStart w:id="92" w:name="_GoBack"/>
      <w:bookmarkEnd w:id="92"/>
      <w:r>
        <w:rPr>
          <w:rFonts w:hint="default" w:ascii="仿宋_GB2312" w:hAnsi="新宋体" w:eastAsia="仿宋_GB2312" w:cs="新宋体"/>
          <w:b w:val="0"/>
          <w:bCs w:val="0"/>
          <w:color w:val="000000"/>
          <w:kern w:val="0"/>
          <w:sz w:val="28"/>
          <w:szCs w:val="24"/>
          <w:lang w:val="en-US" w:eastAsia="zh-CN" w:bidi="ar"/>
        </w:rPr>
        <w:t>筑面积约7500平方米，其中，一楼菜市（含西楼、北楼一层，不含东楼朝拱辰街的私人门店）面积约1491.06平方米，二楼菜市（含钢结构平台、北楼、西楼二层）面积约794.47㎡，三楼民宿（含西三楼、北三楼、</w:t>
      </w:r>
      <w:r>
        <w:rPr>
          <w:rFonts w:hint="eastAsia" w:ascii="仿宋_GB2312" w:hAnsi="新宋体" w:eastAsia="仿宋_GB2312" w:cs="新宋体"/>
          <w:b w:val="0"/>
          <w:bCs w:val="0"/>
          <w:color w:val="000000"/>
          <w:kern w:val="0"/>
          <w:sz w:val="28"/>
          <w:szCs w:val="24"/>
          <w:lang w:val="en-US" w:eastAsia="zh-CN" w:bidi="ar"/>
        </w:rPr>
        <w:t>北三楼楼顶露台、</w:t>
      </w:r>
      <w:r>
        <w:rPr>
          <w:rFonts w:hint="default" w:ascii="仿宋_GB2312" w:hAnsi="新宋体" w:eastAsia="仿宋_GB2312" w:cs="新宋体"/>
          <w:b w:val="0"/>
          <w:bCs w:val="0"/>
          <w:color w:val="000000"/>
          <w:kern w:val="0"/>
          <w:sz w:val="28"/>
          <w:szCs w:val="24"/>
          <w:lang w:val="en-US" w:eastAsia="zh-CN" w:bidi="ar"/>
        </w:rPr>
        <w:t>东三楼）面积约1161.5㎡，西楼办公用房（含西四楼、五楼</w:t>
      </w:r>
      <w:r>
        <w:rPr>
          <w:rFonts w:hint="eastAsia" w:ascii="仿宋_GB2312" w:hAnsi="新宋体" w:eastAsia="仿宋_GB2312" w:cs="新宋体"/>
          <w:b w:val="0"/>
          <w:bCs w:val="0"/>
          <w:color w:val="000000"/>
          <w:kern w:val="0"/>
          <w:sz w:val="28"/>
          <w:szCs w:val="24"/>
          <w:lang w:val="en-US" w:eastAsia="zh-CN" w:bidi="ar"/>
        </w:rPr>
        <w:t>、西楼楼顶</w:t>
      </w:r>
      <w:r>
        <w:rPr>
          <w:rFonts w:hint="default" w:ascii="仿宋_GB2312" w:hAnsi="新宋体" w:eastAsia="仿宋_GB2312" w:cs="新宋体"/>
          <w:b w:val="0"/>
          <w:bCs w:val="0"/>
          <w:color w:val="000000"/>
          <w:kern w:val="0"/>
          <w:sz w:val="28"/>
          <w:szCs w:val="24"/>
          <w:lang w:val="en-US" w:eastAsia="zh-CN" w:bidi="ar"/>
        </w:rPr>
        <w:t>）面积约436.14㎡，东楼公寓（含东楼4-7层）面积约2314.39㎡，非机动车停车位约118个。</w:t>
      </w:r>
      <w:r>
        <w:rPr>
          <w:rFonts w:hint="eastAsia" w:ascii="仿宋_GB2312" w:hAnsi="新宋体" w:eastAsia="仿宋_GB2312" w:cs="新宋体"/>
          <w:b w:val="0"/>
          <w:bCs w:val="0"/>
          <w:color w:val="000000"/>
          <w:kern w:val="0"/>
          <w:sz w:val="28"/>
          <w:szCs w:val="24"/>
          <w:lang w:val="en-US" w:eastAsia="zh-CN" w:bidi="ar"/>
        </w:rPr>
        <w:t>消防泵房、高配房、柴油机房、监控室、农残检测室。现拟对该项目公共区域的</w:t>
      </w:r>
      <w:r>
        <w:rPr>
          <w:rFonts w:hint="default" w:ascii="仿宋_GB2312" w:hAnsi="新宋体" w:eastAsia="仿宋_GB2312" w:cs="新宋体"/>
          <w:b w:val="0"/>
          <w:bCs w:val="0"/>
          <w:color w:val="000000"/>
          <w:kern w:val="0"/>
          <w:sz w:val="28"/>
          <w:szCs w:val="24"/>
          <w:lang w:val="en-US" w:eastAsia="zh-CN" w:bidi="ar"/>
        </w:rPr>
        <w:t>物业管理责任保险</w:t>
      </w:r>
      <w:r>
        <w:rPr>
          <w:rFonts w:hint="eastAsia" w:ascii="仿宋_GB2312" w:hAnsi="新宋体" w:eastAsia="仿宋_GB2312" w:cs="新宋体"/>
          <w:b w:val="0"/>
          <w:bCs w:val="0"/>
          <w:color w:val="000000"/>
          <w:kern w:val="0"/>
          <w:sz w:val="28"/>
          <w:szCs w:val="24"/>
          <w:lang w:val="en-US" w:eastAsia="zh-CN" w:bidi="ar"/>
        </w:rPr>
        <w:t>进行招标。</w:t>
      </w:r>
    </w:p>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四、服务需求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物业管理责任保险</w:t>
      </w:r>
    </w:p>
    <w:tbl>
      <w:tblPr>
        <w:tblStyle w:val="18"/>
        <w:tblW w:w="9366"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险种</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default" w:ascii="仿宋_GB2312" w:hAnsi="新宋体" w:eastAsia="仿宋_GB2312" w:cs="新宋体"/>
                <w:b w:val="0"/>
                <w:bCs w:val="0"/>
                <w:color w:val="000000"/>
                <w:kern w:val="0"/>
                <w:sz w:val="28"/>
                <w:szCs w:val="24"/>
                <w:lang w:val="en-US" w:eastAsia="zh-CN" w:bidi="ar"/>
              </w:rPr>
              <w:t>物业管理责任保险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投保人/被保险人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合肥城新物业服务有限公司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投保人地址</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安徽省合肥市庐阳区城隍庙市场二期蒙城路商场A区407号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投保标的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拱辰邻里中心项目公共区域</w:t>
            </w:r>
            <w:r>
              <w:rPr>
                <w:rFonts w:hint="default" w:ascii="仿宋_GB2312" w:hAnsi="新宋体" w:eastAsia="仿宋_GB2312" w:cs="新宋体"/>
                <w:b w:val="0"/>
                <w:bCs w:val="0"/>
                <w:color w:val="000000"/>
                <w:kern w:val="0"/>
                <w:sz w:val="28"/>
                <w:szCs w:val="24"/>
                <w:lang w:val="en-US" w:eastAsia="zh-CN" w:bidi="ar"/>
              </w:rPr>
              <w:t>物业管理责任保险</w:t>
            </w:r>
            <w:r>
              <w:rPr>
                <w:rFonts w:hint="eastAsia" w:ascii="仿宋_GB2312" w:hAnsi="仿宋_GB2312" w:eastAsia="仿宋_GB2312" w:cs="仿宋_GB2312"/>
                <w:b w:val="0"/>
                <w:bCs/>
                <w:sz w:val="28"/>
                <w:szCs w:val="28"/>
                <w:vertAlign w:val="baseline"/>
                <w:lang w:val="en-US" w:eastAsia="zh-CN"/>
              </w:rPr>
              <w:t>（含四湾菜市、民宿、公寓）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保险期限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保险责任</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在保险期间内，被保险人在本保险单中列明的物业管理区域内从事物业管理工作过程中，因被保险人管理、维护或因过失意外事故，造成下列损失，依照中华人民共和国法律（不包括港澳台地区法律）应由被保险人承担的经济赔偿责任，保险人按照本保险合同约定负责赔偿：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（1）第三者人身伤亡；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（2）物业管理区域外的第三者财产损失；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（3）业主共有的物业财产的损失；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仿宋_GB2312" w:hAnsi="仿宋_GB2312" w:eastAsia="仿宋_GB2312" w:cs="仿宋_GB2312"/>
                <w:b w:val="0"/>
                <w:bCs/>
                <w:sz w:val="28"/>
                <w:szCs w:val="28"/>
                <w:vertAlign w:val="baseline"/>
                <w:lang w:val="en-US" w:eastAsia="zh-CN"/>
              </w:rPr>
              <w:t>（4）其他未在本条款“责任免除”中列明除外的财产损失。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司法管辖</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中华人民共和国司法（港、澳、台除外）。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保险金额</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累计赔偿限额为 300万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每次事故赔偿限额为 100万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每次事故财产损失赔偿限额为 50万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每次事故每人赔偿限额为 30万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default" w:ascii="仿宋_GB2312" w:hAnsi="仿宋_GB2312" w:eastAsia="仿宋_GB2312" w:cs="仿宋_GB2312"/>
                <w:b w:val="0"/>
                <w:bCs/>
                <w:sz w:val="28"/>
                <w:szCs w:val="28"/>
                <w:vertAlign w:val="baseline"/>
                <w:lang w:val="en-US" w:eastAsia="zh-CN"/>
              </w:rPr>
              <w:t>免赔说明</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每次事故绝对免赔人民币500或损失金额的5%，以高者为准。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备注</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附加火灾、爆炸责任（限额同主险）。</w:t>
            </w:r>
          </w:p>
        </w:tc>
      </w:tr>
    </w:tbl>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五、报价要求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本次招标采用总价报价，投标人报价不得超过项目概算，否则投标无效。投标人的报价费用应包含为完成本项目所有费用。</w:t>
      </w:r>
    </w:p>
    <w:p>
      <w:pPr>
        <w:widowControl/>
        <w:spacing w:line="360" w:lineRule="auto"/>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六</w:t>
      </w:r>
      <w:r>
        <w:rPr>
          <w:rFonts w:hint="default" w:ascii="仿宋_GB2312" w:hAnsi="仿宋_GB2312" w:eastAsia="仿宋_GB2312" w:cs="仿宋_GB2312"/>
          <w:b/>
          <w:sz w:val="28"/>
          <w:szCs w:val="28"/>
          <w:lang w:val="en-US" w:eastAsia="zh-CN"/>
        </w:rPr>
        <w:t>、评审方式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有效最低价中标。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有效最低价是指能够满足招标文件的实质性要求，并且经评审的投标价格最低。</w:t>
      </w:r>
    </w:p>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七、付款方式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出具保单后缴纳保险费。</w:t>
      </w:r>
    </w:p>
    <w:p>
      <w:pPr>
        <w:pStyle w:val="7"/>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2"/>
        <w:jc w:val="center"/>
        <w:rPr>
          <w:rFonts w:hint="eastAsia" w:hAnsi="宋体"/>
          <w:szCs w:val="22"/>
          <w:highlight w:val="none"/>
        </w:rPr>
      </w:pPr>
      <w:bookmarkStart w:id="43"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拱辰邻里中心公共区域物业管理责任保险采购项目（二次）</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w:t>
      </w:r>
      <w:r>
        <w:rPr>
          <w:rFonts w:hint="eastAsia" w:hAnsi="宋体"/>
          <w:sz w:val="24"/>
          <w:szCs w:val="24"/>
          <w:highlight w:val="none"/>
          <w:u w:val="none"/>
          <w:lang w:val="en-US" w:eastAsia="zh-CN"/>
        </w:rPr>
        <w:t>4</w:t>
      </w:r>
      <w:r>
        <w:rPr>
          <w:rFonts w:hint="eastAsia" w:hAnsi="宋体"/>
          <w:sz w:val="24"/>
          <w:szCs w:val="24"/>
          <w:highlight w:val="none"/>
          <w:u w:val="none"/>
          <w:lang w:eastAsia="zh-CN"/>
        </w:rPr>
        <w:t>GW00</w:t>
      </w:r>
      <w:r>
        <w:rPr>
          <w:rFonts w:hint="eastAsia" w:hAnsi="宋体"/>
          <w:sz w:val="24"/>
          <w:szCs w:val="24"/>
          <w:highlight w:val="none"/>
          <w:u w:val="none"/>
          <w:lang w:val="en-US" w:eastAsia="zh-CN"/>
        </w:rPr>
        <w:t>08</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3"/>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2"/>
        <w:numPr>
          <w:ilvl w:val="0"/>
          <w:numId w:val="0"/>
        </w:numPr>
        <w:jc w:val="center"/>
        <w:rPr>
          <w:rFonts w:hint="eastAsia" w:ascii="宋体" w:hAnsi="Times New Roman" w:eastAsia="宋体" w:cs="Times New Roman"/>
          <w:b/>
          <w:bCs/>
          <w:lang w:val="en-US" w:eastAsia="zh-CN"/>
        </w:rPr>
      </w:pPr>
      <w:bookmarkStart w:id="48" w:name="_Toc17620"/>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rPr>
          <w:rFonts w:hint="eastAsia" w:ascii="宋体" w:hAnsi="Times New Roman" w:eastAsia="宋体" w:cs="Times New Roman"/>
          <w:b/>
          <w:bCs/>
          <w:lang w:val="en-US" w:eastAsia="zh-CN"/>
        </w:rPr>
      </w:pPr>
    </w:p>
    <w:p>
      <w:pPr>
        <w:rPr>
          <w:rFonts w:hint="eastAsia" w:ascii="宋体" w:hAnsi="Times New Roman" w:eastAsia="宋体" w:cs="Times New Roman"/>
          <w:b/>
          <w:bCs/>
          <w:lang w:val="en-US" w:eastAsia="zh-CN"/>
        </w:rPr>
      </w:pPr>
      <w:bookmarkStart w:id="49" w:name="_Toc31102"/>
      <w:r>
        <w:rPr>
          <w:rFonts w:hint="eastAsia" w:ascii="宋体" w:hAnsi="Times New Roman" w:eastAsia="宋体" w:cs="Times New Roman"/>
          <w:b/>
          <w:bCs/>
          <w:lang w:val="en-US" w:eastAsia="zh-CN"/>
        </w:rPr>
        <w:br w:type="page"/>
      </w:r>
    </w:p>
    <w:p>
      <w:pPr>
        <w:pStyle w:val="2"/>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拱辰邻里中心公共区域物业管理责任保险采购项目（二次）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3"/>
        <w:jc w:val="center"/>
        <w:rPr>
          <w:rFonts w:hint="eastAsia" w:ascii="黑体" w:hAnsi="黑体" w:eastAsia="黑体"/>
          <w:b w:val="0"/>
          <w:sz w:val="44"/>
          <w:szCs w:val="44"/>
          <w:highlight w:val="none"/>
          <w:lang w:eastAsia="zh-CN"/>
        </w:rPr>
      </w:pPr>
      <w:bookmarkStart w:id="50" w:name="_Toc8272"/>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3"/>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8895"/>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6"/>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6"/>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13777"/>
      <w:r>
        <w:rPr>
          <w:rFonts w:hint="eastAsia" w:ascii="宋体" w:hAnsi="Times New Roman" w:eastAsia="宋体" w:cs="Times New Roman"/>
          <w:b/>
          <w:bCs/>
          <w:sz w:val="24"/>
          <w:highlight w:val="none"/>
          <w:lang w:val="en-US" w:eastAsia="zh-CN" w:bidi="ar-SA"/>
        </w:rPr>
        <w:t>一、报价表</w:t>
      </w:r>
      <w:bookmarkEnd w:id="54"/>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拱辰邻里中心公共区域物业管理责任保险采购项目（二次）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1"/>
        <w:rPr>
          <w:rFonts w:hint="eastAsia" w:ascii="宋体" w:hAnsi="Times New Roman" w:eastAsia="宋体" w:cs="Times New Roman"/>
          <w:bCs w:val="0"/>
          <w:sz w:val="24"/>
          <w:highlight w:val="none"/>
          <w:lang w:val="en-US" w:eastAsia="zh-CN" w:bidi="ar-SA"/>
        </w:rPr>
      </w:pPr>
      <w:bookmarkStart w:id="55" w:name="_Toc29196"/>
      <w:r>
        <w:rPr>
          <w:rFonts w:hint="eastAsia" w:ascii="宋体" w:hAnsi="Times New Roman" w:eastAsia="宋体" w:cs="Times New Roman"/>
          <w:bCs w:val="0"/>
          <w:sz w:val="24"/>
          <w:highlight w:val="none"/>
          <w:lang w:val="en-US" w:eastAsia="zh-CN" w:bidi="ar-SA"/>
        </w:rPr>
        <w:t>二、投标人基本情况表</w:t>
      </w:r>
      <w:bookmarkEnd w:id="55"/>
    </w:p>
    <w:tbl>
      <w:tblPr>
        <w:tblStyle w:val="17"/>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4"/>
        <w:jc w:val="center"/>
        <w:outlineLvl w:val="1"/>
        <w:rPr>
          <w:rFonts w:hint="eastAsia" w:ascii="宋体" w:hAnsi="Times New Roman" w:eastAsia="宋体" w:cs="Times New Roman"/>
          <w:bCs w:val="0"/>
          <w:sz w:val="24"/>
          <w:highlight w:val="none"/>
          <w:lang w:val="en-US" w:eastAsia="zh-CN" w:bidi="ar-SA"/>
        </w:rPr>
      </w:pPr>
      <w:bookmarkStart w:id="56" w:name="_Toc20306"/>
      <w:bookmarkStart w:id="57" w:name="_Toc460660223"/>
      <w:bookmarkStart w:id="58" w:name="_Toc390411621"/>
      <w:bookmarkStart w:id="59" w:name="_Toc460227108"/>
      <w:bookmarkStart w:id="60" w:name="_Toc42191700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20" w:firstLineChars="200"/>
        <w:rPr>
          <w:rFonts w:hAnsi="宋体"/>
        </w:rPr>
      </w:pPr>
      <w:r>
        <w:rPr>
          <w:rFonts w:hint="eastAsia" w:hAnsi="宋体"/>
        </w:rPr>
        <w:t xml:space="preserve"> 根据贵方“</w:t>
      </w:r>
      <w:r>
        <w:rPr>
          <w:rFonts w:hint="eastAsia" w:hAnsi="宋体"/>
          <w:b/>
          <w:bCs/>
          <w:u w:val="single"/>
          <w:lang w:eastAsia="zh-CN"/>
        </w:rPr>
        <w:t>拱辰邻里中心公共区域物业管理责任保险采购项目（二次）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拱辰邻里中心公共区域物业管理责任保险采购项目（二次）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525"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2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525"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550"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550"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550"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25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660225"/>
      <w:bookmarkStart w:id="64" w:name="_Toc460227110"/>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1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227"/>
      <w:bookmarkStart w:id="66" w:name="_Toc535241130"/>
      <w:bookmarkStart w:id="67" w:name="_Toc535241084"/>
      <w:bookmarkStart w:id="68" w:name="_Toc224103497"/>
      <w:bookmarkStart w:id="69" w:name="_Toc224103498"/>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2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2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代理人无转委托权。</w:t>
      </w:r>
    </w:p>
    <w:p>
      <w:pPr>
        <w:snapToGrid w:val="0"/>
        <w:spacing w:line="360" w:lineRule="auto"/>
        <w:ind w:firstLine="420" w:firstLineChars="200"/>
        <w:rPr>
          <w:rStyle w:val="23"/>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3"/>
          <w:rFonts w:hint="default"/>
          <w:b/>
          <w:bCs/>
          <w:color w:val="auto"/>
        </w:rPr>
        <w:t>法定代表人身份证明</w:t>
      </w:r>
    </w:p>
    <w:p>
      <w:pPr>
        <w:pStyle w:val="16"/>
        <w:ind w:firstLine="442"/>
        <w:rPr>
          <w:rStyle w:val="23"/>
          <w:rFonts w:hint="default"/>
          <w:b/>
          <w:color w:val="auto"/>
        </w:rPr>
      </w:pPr>
    </w:p>
    <w:p>
      <w:pPr>
        <w:pStyle w:val="16"/>
        <w:ind w:firstLine="442"/>
        <w:rPr>
          <w:rStyle w:val="23"/>
          <w:rFonts w:hint="default"/>
          <w:b/>
          <w:color w:val="auto"/>
        </w:rPr>
      </w:pPr>
    </w:p>
    <w:p>
      <w:pPr>
        <w:pStyle w:val="16"/>
        <w:ind w:firstLine="442"/>
        <w:rPr>
          <w:rStyle w:val="23"/>
          <w:rFonts w:hint="default"/>
          <w:b/>
          <w:color w:val="auto"/>
        </w:rPr>
      </w:pPr>
    </w:p>
    <w:p>
      <w:pPr>
        <w:pStyle w:val="16"/>
        <w:ind w:firstLine="442"/>
        <w:rPr>
          <w:rStyle w:val="23"/>
          <w:rFonts w:hint="default"/>
          <w:b/>
          <w:color w:val="auto"/>
        </w:rPr>
      </w:pPr>
    </w:p>
    <w:p/>
    <w:p>
      <w:pPr>
        <w:snapToGrid w:val="0"/>
        <w:spacing w:line="360" w:lineRule="auto"/>
        <w:ind w:firstLine="422" w:firstLineChars="200"/>
        <w:rPr>
          <w:rFonts w:hAnsi="宋体"/>
          <w:b/>
          <w:bCs/>
          <w:szCs w:val="21"/>
        </w:rPr>
      </w:pPr>
      <w:r>
        <w:rPr>
          <w:rFonts w:hint="eastAsia" w:hAnsi="宋体"/>
          <w:b/>
          <w:bCs/>
          <w:szCs w:val="21"/>
        </w:rPr>
        <w:t xml:space="preserve">    代理人身份证扫描件</w:t>
      </w:r>
    </w:p>
    <w:p>
      <w:pPr>
        <w:pStyle w:val="16"/>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6"/>
        <w:ind w:firstLine="562"/>
        <w:rPr>
          <w:b/>
          <w:szCs w:val="21"/>
        </w:rPr>
      </w:pPr>
    </w:p>
    <w:p>
      <w:pPr>
        <w:rPr>
          <w:rFonts w:hAnsi="宋体"/>
          <w:b/>
          <w:bCs/>
          <w:szCs w:val="21"/>
        </w:rPr>
      </w:pPr>
    </w:p>
    <w:p>
      <w:pPr>
        <w:pStyle w:val="16"/>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6381"/>
      <w:bookmarkStart w:id="71" w:name="_Toc535241089"/>
      <w:bookmarkStart w:id="72" w:name="_Toc535241135"/>
      <w:bookmarkStart w:id="73" w:name="_Toc535241232"/>
      <w:bookmarkStart w:id="74" w:name="_Toc535241229"/>
      <w:bookmarkStart w:id="75" w:name="_Toc535241132"/>
      <w:bookmarkStart w:id="76"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12048"/>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179632825"/>
      <w:bookmarkStart w:id="80" w:name="_Toc385943079"/>
      <w:bookmarkStart w:id="81" w:name="_Toc492300541"/>
      <w:bookmarkStart w:id="82" w:name="_Toc370676440"/>
      <w:bookmarkStart w:id="83" w:name="_Toc300835232"/>
      <w:bookmarkStart w:id="84" w:name="_Toc384308390"/>
      <w:bookmarkStart w:id="85" w:name="_Toc152045805"/>
      <w:bookmarkStart w:id="86" w:name="_Toc359594249"/>
      <w:bookmarkStart w:id="87" w:name="_Toc482188668"/>
      <w:bookmarkStart w:id="88" w:name="_Toc144974873"/>
      <w:bookmarkStart w:id="89" w:name="_Toc391394125"/>
      <w:bookmarkStart w:id="90" w:name="_Toc152042594"/>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7"/>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p/>
    <w:sectPr>
      <w:headerReference r:id="rId6" w:type="default"/>
      <w:footerReference r:id="rId7" w:type="default"/>
      <w:pgSz w:w="11906" w:h="16838"/>
      <w:pgMar w:top="1417" w:right="1800"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- 19 -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0000000"/>
    <w:rsid w:val="1A471E2A"/>
    <w:rsid w:val="41E10FF0"/>
    <w:rsid w:val="7D27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style>
  <w:style w:type="paragraph" w:styleId="7">
    <w:name w:val="Body Text"/>
    <w:basedOn w:val="1"/>
    <w:next w:val="8"/>
    <w:autoRedefine/>
    <w:qFormat/>
    <w:uiPriority w:val="1"/>
    <w:pPr>
      <w:ind w:left="760"/>
    </w:pPr>
    <w:rPr>
      <w:rFonts w:ascii="宋体" w:hAnsi="宋体" w:cs="宋体"/>
      <w:sz w:val="32"/>
      <w:szCs w:val="32"/>
      <w:lang w:val="zh-CN" w:bidi="zh-CN"/>
    </w:rPr>
  </w:style>
  <w:style w:type="paragraph" w:customStyle="1" w:styleId="8">
    <w:name w:val="目录 71"/>
    <w:basedOn w:val="1"/>
    <w:next w:val="1"/>
    <w:autoRedefine/>
    <w:qFormat/>
    <w:uiPriority w:val="0"/>
    <w:pPr>
      <w:ind w:left="2520"/>
    </w:p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styleId="10">
    <w:name w:val="envelope return"/>
    <w:basedOn w:val="1"/>
    <w:autoRedefine/>
    <w:qFormat/>
    <w:uiPriority w:val="0"/>
    <w:pPr>
      <w:snapToGrid w:val="0"/>
    </w:pPr>
    <w:rPr>
      <w:rFonts w:ascii="Arial" w:hAnsi="Arial"/>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rFonts w:ascii="Calibri" w:hAnsi="Calibri" w:cs="Calibri"/>
      <w:b/>
      <w:bCs/>
      <w:caps/>
      <w:sz w:val="20"/>
      <w:szCs w:val="20"/>
    </w:rPr>
  </w:style>
  <w:style w:type="paragraph" w:styleId="14">
    <w:name w:val="toc 2"/>
    <w:basedOn w:val="1"/>
    <w:next w:val="1"/>
    <w:autoRedefine/>
    <w:qFormat/>
    <w:uiPriority w:val="39"/>
    <w:pPr>
      <w:ind w:left="210"/>
      <w:jc w:val="left"/>
    </w:pPr>
    <w:rPr>
      <w:rFonts w:ascii="Calibri" w:hAnsi="Calibri" w:cs="Calibri"/>
      <w:smallCaps/>
      <w:sz w:val="20"/>
      <w:szCs w:val="20"/>
    </w:rPr>
  </w:style>
  <w:style w:type="paragraph" w:styleId="15">
    <w:name w:val="Body Text First Indent"/>
    <w:basedOn w:val="7"/>
    <w:autoRedefine/>
    <w:qFormat/>
    <w:uiPriority w:val="0"/>
    <w:pPr>
      <w:widowControl w:val="0"/>
      <w:autoSpaceDE w:val="0"/>
      <w:autoSpaceDN w:val="0"/>
      <w:adjustRightInd w:val="0"/>
      <w:spacing w:after="120" w:afterLines="0" w:line="360" w:lineRule="auto"/>
      <w:ind w:right="-24" w:rightChars="-10" w:firstLine="425" w:firstLineChars="225"/>
    </w:pPr>
    <w:rPr>
      <w:rFonts w:ascii="Arial" w:hAnsi="Arial" w:eastAsia="仿宋_GB2312" w:cs="Arial"/>
      <w:kern w:val="0"/>
      <w:sz w:val="24"/>
      <w:szCs w:val="32"/>
      <w:lang w:val="en-US" w:eastAsia="zh-CN" w:bidi="ar-SA"/>
    </w:rPr>
  </w:style>
  <w:style w:type="paragraph" w:styleId="16">
    <w:name w:val="Body Text First Indent 2"/>
    <w:basedOn w:val="9"/>
    <w:next w:val="1"/>
    <w:autoRedefine/>
    <w:qFormat/>
    <w:uiPriority w:val="0"/>
    <w:pPr>
      <w:ind w:left="420"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style>
  <w:style w:type="paragraph" w:customStyle="1" w:styleId="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D&amp;L"/>
    <w:basedOn w:val="12"/>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3">
    <w:name w:val="fontstyle01"/>
    <w:autoRedefine/>
    <w:qFormat/>
    <w:uiPriority w:val="0"/>
    <w:rPr>
      <w:rFonts w:hint="eastAsia" w:ascii="宋体" w:hAnsi="宋体" w:eastAsia="宋体"/>
      <w:color w:val="000000"/>
      <w:sz w:val="22"/>
      <w:szCs w:val="22"/>
    </w:rPr>
  </w:style>
  <w:style w:type="paragraph" w:customStyle="1" w:styleId="24">
    <w:name w:val="首行缩进"/>
    <w:basedOn w:val="1"/>
    <w:autoRedefine/>
    <w:qFormat/>
    <w:uiPriority w:val="0"/>
    <w:pPr>
      <w:spacing w:line="360" w:lineRule="auto"/>
      <w:ind w:left="210" w:leftChars="100" w:firstLine="420" w:firstLineChars="200"/>
    </w:pPr>
    <w:rPr>
      <w:rFonts w:ascii="宋体" w:hAnsi="宋体"/>
      <w:szCs w:val="24"/>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5"/>
    <w:autoRedefine/>
    <w:qFormat/>
    <w:uiPriority w:val="0"/>
    <w:pPr>
      <w:spacing w:line="360" w:lineRule="auto"/>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2024-04-03T08:25:00Z</dcterms:created>
  <dc:creator>Administrator</dc:creator>
  <cp:lastModifiedBy>Administrator</cp:lastModifiedBy>
  <dcterms:modified xsi:type="dcterms:W3CDTF">2024-04-11T07:42:20Z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86DBB177C61E4D6A8BBDBE8E4ADF61A9_13</vt:lpwstr>
  </property>
</Properties>
</file>