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附件一、项目维保需求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1、中标单位维保后的电梯应符合安全技术规范、强制性标准和电梯制造单位的技术要求。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2、日常维护保养应遵守的标准：</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①电梯使用管理与维护保养规则TSG T5002-2017</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②电梯维修规范GB/T 18775-2002</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③电梯监督检验和定期检验规则—曳引与强制驱动电梯TSG T7001-2009</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④电梯监督检验和定期检验规则—自动扶梯与自动人行道 TSG T7005－2012</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⑤电梯安装维修作业安全规范DB11/419-2007</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⑥电梯安装改造重大维修和维护保养自检规则DB11/420-2007</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⑦电梯安装使用维护说明书</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⑧电梯维保合同</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中标单位提供24小时的紧急救援服务，并设立不少于2位维保负责人，保持24小时电话畅通。当电梯发生困人故障，中标单位应在接到甲方通知后30分钟内赶赴现场实施紧急救援；电梯发生其他故障，中标单位应在接到甲方通知后60分钟内赶到现场实施抢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根据电梯的使用情况和设备状况，经双方协商确认后，中标单位应提供全年保养计划和各项定期保养计划，且每台每次保养时间不得少于30分钟。如需调整原保养计划，应提前3日通知甲方并经甲方同意后方可调整，但应保证保养时间间隔不得超过15日。详细要求参考附件《电梯保养作业服务内容及细则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6、作业过程中应服从甲方现场安全管理，落实现场安全防护措施，保证作业安全。需要安全监护作业的内容应书面告知甲方，作业时，作业人员不得少于二人。详细要求请参考附件一《电梯保养作业服务内容及细则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7、现场需采取停梯措施时，应立即通知甲方并及时组织抢修。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根据甲方的故障统计记录，中标单位应至少每季度一次提出故障分析报告。报告中应包含电梯故障的统计分析、整改措施和预防措施，以及有关电梯使用管理的合理化建议。（如无故障发生或不影响电梯安全运行的日常损耗则不需要做该报告）</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9、协助甲方建立健全安全管理制度、安全技术档案、应急救援预案，配合甲方开展应急救援演练。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10、不得以任何形式将维保工作非法分包、转包。</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11、中标单位负责电梯年检事宜，负责办理电梯年检、电梯修理时所需的政府审批手续，承担因此产生的费用。免费提供维保过程中所需的且符合电梯设计要求的消耗材料、零件的清单及价目表等</w:t>
      </w:r>
      <w:r>
        <w:rPr>
          <w:rFonts w:hint="eastAsia" w:ascii="仿宋_GB2312" w:hAnsi="仿宋_GB2312" w:eastAsia="仿宋_GB2312" w:cs="仿宋_GB2312"/>
          <w:b w:val="0"/>
          <w:bCs/>
          <w:sz w:val="28"/>
          <w:szCs w:val="28"/>
          <w:highlight w:val="none"/>
          <w:lang w:val="en-US" w:eastAsia="zh-CN"/>
        </w:rPr>
        <w:t>；</w:t>
      </w:r>
      <w:r>
        <w:rPr>
          <w:rFonts w:hint="eastAsia" w:ascii="仿宋_GB2312" w:hAnsi="仿宋_GB2312" w:eastAsia="仿宋_GB2312" w:cs="仿宋_GB2312"/>
          <w:b w:val="0"/>
          <w:bCs/>
          <w:sz w:val="28"/>
          <w:szCs w:val="28"/>
          <w:lang w:val="en-US" w:eastAsia="zh-CN"/>
        </w:rPr>
        <w:t>更换零部件时，必须经甲方确认后，方可拆除或更换，更换的零部件应与原电梯配件品牌相同。</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12、每年度至少进行一次自行检查。自查工作要在电梯年检前开展，自查项目根据使用状态决定，但是不少于附件一《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13、整理甲方现场电梯相关资料，每次电梯维修维保应有加盖乙方公章的纸质版工作记录单，交由甲方存档。所有甲方现场电梯资料需分类明确，便于任何形式的检查和调阅。</w:t>
      </w:r>
    </w:p>
    <w:p>
      <w:pPr>
        <w:pStyle w:val="5"/>
        <w:keepNext w:val="0"/>
        <w:keepLines w:val="0"/>
        <w:pageBreakBefore w:val="0"/>
        <w:kinsoku/>
        <w:wordWrap/>
        <w:overflowPunct/>
        <w:topLinePunct w:val="0"/>
        <w:autoSpaceDE/>
        <w:autoSpaceDN/>
        <w:bidi w:val="0"/>
        <w:adjustRightInd/>
        <w:snapToGrid/>
        <w:spacing w:line="520" w:lineRule="exact"/>
        <w:ind w:left="0" w:leftChars="0" w:firstLine="48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val="en-US" w:eastAsia="zh-CN"/>
        </w:rPr>
        <w:t>14、维保单位入驻后应免费更换电梯内的报修信息牌（内容包含，电梯维保公司信息，电梯故障报修电话）。信息牌需采用亚克力板，泡沫板打印，塑料材料，文字图示清晰，尺寸不低于20CM*10CM。</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15、维保单位每年需主动组织甲方进行两次电梯安全预演，宣传电梯乘坐遇险时的安全知识，规范现场工作人员的应对方案。</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其他要求：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1、中标单位入驻前需对甲方现场电梯进行了详细的检修，检修结果经甲方签字确认，并作为电梯现状记录由甲、乙双方保存。</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2、每台电梯均应当建立独立的维保记录。维保维修相关记录应当一式两份，甲乙双方各保存一份，维修与抢修记录均应当长期保存。</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3、根据电梯的现状，甲乙双方约定非使用原因导致的电梯困人故障次数每月每台电梯不超过5次。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4、中标单位未按约定履行义务给甲方造成任何损失的，应当承担全部责任。</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5、因乙方未在期限更换应该更换的电梯零部件而导致电梯故障或存在安全隐患的，由乙方自行承担责任。</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6、乙方违反约定，作业过程中未服从甲方现场安全管理落实现场安全防护措施，或需要安全监护的作业时作业人员只有一人，或保养时间不足，甲方可拒付当次作业或保养的当台当月保养费。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7、乙方维保工作不符合合同约定的维保标准或要求的，乙方应当返工，并按照100元/次标准支付违约金。</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8、在电梯维保作业过程中因维保原因导致人身伤亡或设备损坏、零部件丢失的，由乙方承担全部责任。</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9、因维保原因导致电梯检验不合格的，由乙方承担电梯复检费用。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2" w:firstLineChars="200"/>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附件二、电梯保养计划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电梯</w:t>
      </w:r>
      <w:r>
        <w:rPr>
          <w:rFonts w:hint="eastAsia" w:ascii="仿宋_GB2312" w:hAnsi="仿宋_GB2312" w:eastAsia="仿宋_GB2312" w:cs="仿宋_GB2312"/>
          <w:color w:val="000000"/>
          <w:kern w:val="0"/>
          <w:sz w:val="28"/>
          <w:szCs w:val="28"/>
          <w:highlight w:val="none"/>
          <w:lang w:val="en-US" w:eastAsia="zh-CN" w:bidi="ar"/>
        </w:rPr>
        <w:t>月</w:t>
      </w:r>
      <w:r>
        <w:rPr>
          <w:rFonts w:hint="eastAsia" w:ascii="仿宋_GB2312" w:hAnsi="仿宋_GB2312" w:eastAsia="仿宋_GB2312" w:cs="仿宋_GB2312"/>
          <w:color w:val="000000"/>
          <w:kern w:val="0"/>
          <w:sz w:val="28"/>
          <w:szCs w:val="28"/>
          <w:highlight w:val="none"/>
          <w:lang w:bidi="ar"/>
        </w:rPr>
        <w:t>、季、年的保养具体内容：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1、每</w:t>
      </w:r>
      <w:r>
        <w:rPr>
          <w:rFonts w:hint="eastAsia" w:ascii="仿宋_GB2312" w:hAnsi="仿宋_GB2312" w:eastAsia="仿宋_GB2312" w:cs="仿宋_GB2312"/>
          <w:color w:val="000000"/>
          <w:kern w:val="0"/>
          <w:sz w:val="28"/>
          <w:szCs w:val="28"/>
          <w:lang w:val="en-US" w:eastAsia="zh-CN" w:bidi="ar"/>
        </w:rPr>
        <w:t>月</w:t>
      </w:r>
      <w:r>
        <w:rPr>
          <w:rFonts w:hint="eastAsia" w:ascii="仿宋_GB2312" w:hAnsi="仿宋_GB2312" w:eastAsia="仿宋_GB2312" w:cs="仿宋_GB2312"/>
          <w:color w:val="000000"/>
          <w:kern w:val="0"/>
          <w:sz w:val="28"/>
          <w:szCs w:val="28"/>
          <w:lang w:bidi="ar"/>
        </w:rPr>
        <w:t>保养的内容：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⑴控制屏检查除尘清洁。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⑵曳引机组、发电机组除尘清洁，油位检查，抱闸动作可靠检查。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⑶限速器开关动作灵活可靠检查。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⑷机房环境整洁。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⑸门机构调整清洁润滑。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⑹检查操纵箱各类按钮开关及显示功能正常。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⑺轿门上坎清洁润滑，门保护系统功能正常。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⑻轿顶开关检查及清扫检查厅门。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⑼检查厅间机电联锁功能重锺及尼龙绳完好。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⑽厅门上下坎滑轮清洁润滑。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⑾检查各厅门外召呼和显示功能正确。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⑿检查线路盒线槽线管。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⒀地坑清扫。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⒁检查随行电缆。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⒂缓冲器油位检查。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⒃检查各限位开关功能完好。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2、每季度保养内容：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⑴检查接触器、继电器、触点的工作状况。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⑵上下极限开关位置检查调整。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⑶主付导轨导靴检查更换、清洁，检查导向轮对重轮和轿顶轮。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⑷平层精度保养。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⑸层层厅门、轿厢采用不锈钢油清洁。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⑹蜗轮减速箱及电机是否有油。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⑺制动器动作是否正常，制动瓦与制动盘间隙是否正常。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⑻曳引钢丝绳、限速器钢丝绳、选层器钢带运行是否正常。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⑼继电器、接触器、选层器等工作情况是否正常。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⑽触点的清洁工作和主要部件螺钉紧固等。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⑾电动机皮带轮、皮带电动机制动器速度控制开关、安全开关等。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⑿检查曳引绳、补偿绳装置选层器钢带和限速器绳的伸长情况。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3、年度保养内容：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⑴曳引绳槽及曳引钢丝绳磨损程度检查。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⑵限速器的动作是否正确，限速器效验及安全钳间隙调整。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⑶安全装置及回路检查。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⑷年度检查，对运行一年以上的电梯进行一次全面检查。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⑸对电梯的机械、电气、安全设备主要另部件磨损程度修复和更换。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⑹对控制屏的接触器、继电器的触点及插件如发现有拉毛烧蚀等要予修复或更换。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⑺按标准尺寸调整钢丝绳长短，观察曳引轮的磨损程度。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⑻调换厅门、轿门的滚轮，调换开门机的易损件。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color w:val="000000"/>
          <w:kern w:val="0"/>
          <w:sz w:val="28"/>
          <w:szCs w:val="28"/>
          <w:lang w:bidi="ar"/>
        </w:rPr>
        <w:t>⑼做好每台电梯更换另配件的纪录存档。</w:t>
      </w: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widowControl/>
        <w:spacing w:line="360" w:lineRule="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附件三：《电梯保养作业服务内容及细则要求》</w:t>
      </w:r>
    </w:p>
    <w:p>
      <w:pPr>
        <w:widowControl/>
        <w:numPr>
          <w:ilvl w:val="0"/>
          <w:numId w:val="1"/>
        </w:numPr>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保养行程表</w:t>
      </w:r>
    </w:p>
    <w:p>
      <w:pPr>
        <w:widowControl/>
        <w:numPr>
          <w:ilvl w:val="0"/>
          <w:numId w:val="0"/>
        </w:numPr>
        <w:spacing w:line="360" w:lineRule="auto"/>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297180</wp:posOffset>
                </wp:positionV>
                <wp:extent cx="228600" cy="198120"/>
                <wp:effectExtent l="4445" t="4445" r="14605" b="6985"/>
                <wp:wrapNone/>
                <wp:docPr id="1" name="椭圆 1"/>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612pt;margin-top:23.4pt;height:15.6pt;width:18pt;z-index:251659264;mso-width-relative:page;mso-height-relative:page;" fillcolor="#FFFFFF" filled="t" stroked="t" coordsize="21600,21600" o:gfxdata="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uPQZ2AAAAAsBAAAPAAAAAAAAAAEAIAAAACIAAABkcnMvZG93bnJl&#10;di54bWxQSwECFAAUAAAACACHTuJA6ghqAf0BAAAkBAAADgAAAAAAAAABACAAAAAnAQAAZHJzL2Uy&#10;b0RvYy54bWxQSwUGAAAAAAYABgBZAQAAlgUAAAAA&#10;">
                <v:fill on="t" focussize="0,0"/>
                <v:stroke color="#000000" joinstyle="round"/>
                <v:imagedata o:title=""/>
                <o:lock v:ext="edit" aspectratio="f"/>
              </v:shape>
            </w:pict>
          </mc:Fallback>
        </mc:AlternateContent>
      </w:r>
      <w:r>
        <w:rPr>
          <w:rFonts w:hint="eastAsia" w:ascii="仿宋_GB2312" w:hAnsi="仿宋_GB2312" w:eastAsia="仿宋_GB2312" w:cs="仿宋_GB2312"/>
          <w:b w:val="0"/>
          <w:bCs/>
          <w:sz w:val="28"/>
          <w:szCs w:val="28"/>
          <w:lang w:val="en-US" w:eastAsia="zh-CN"/>
        </w:rPr>
        <w:t>该表为一年内各月份的主要保养范围，内容可依项目实际情况而作增加。</w:t>
      </w:r>
    </w:p>
    <w:tbl>
      <w:tblPr>
        <w:tblStyle w:val="6"/>
        <w:tblW w:w="8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520"/>
        <w:gridCol w:w="435"/>
        <w:gridCol w:w="435"/>
        <w:gridCol w:w="435"/>
        <w:gridCol w:w="435"/>
        <w:gridCol w:w="435"/>
        <w:gridCol w:w="435"/>
        <w:gridCol w:w="435"/>
        <w:gridCol w:w="435"/>
        <w:gridCol w:w="43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工作明细</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2</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3</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4</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5</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6</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7</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8</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9</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10</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11</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机械室</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主机马达</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偏向槽轮</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控制柜</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限速器</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齿轮油</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轿顶</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配电箱</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门机</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门机构、触板</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导靴、导轮</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安全钳</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钢索、钢索头</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升降路</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运行电缆、固定电缆</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对重</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导轨、支架</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限位开关、减速开关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jc w:val="center"/>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外门、地坎清洁</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轿厢</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操纵箱</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警铃、对讲机</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日光灯、风扇</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底坑</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安全开关、超载开关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张力轮、缓冲器</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乘场</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外呼面板</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门缝调整</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bl>
    <w:p>
      <w:pPr>
        <w:ind w:right="-109" w:rightChars="-52"/>
        <w:rPr>
          <w:rFonts w:ascii="楷体_GB2312" w:eastAsia="楷体_GB2312"/>
          <w:sz w:val="24"/>
        </w:rPr>
      </w:pPr>
    </w:p>
    <w:p>
      <w:pPr>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br w:type="page"/>
      </w:r>
    </w:p>
    <w:p>
      <w:pPr>
        <w:widowControl/>
        <w:spacing w:line="360" w:lineRule="auto"/>
        <w:jc w:val="lef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二、电梯的保养项目</w:t>
      </w:r>
    </w:p>
    <w:p>
      <w:pPr>
        <w:widowControl/>
        <w:spacing w:line="360" w:lineRule="auto"/>
        <w:jc w:val="lef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1、轿顶的保养</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c>
          <w:tcPr>
            <w:tcW w:w="1316"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方式</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 查 内 容</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判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紧急救出口</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检查就出口的索住设施及安全开关情形。</w:t>
            </w:r>
          </w:p>
        </w:tc>
        <w:tc>
          <w:tcPr>
            <w:tcW w:w="3780" w:type="dxa"/>
            <w:tcBorders>
              <w:bottom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救出口盖一经打开，车厢应停止升降。</w:t>
            </w:r>
          </w:p>
          <w:p>
            <w:pPr>
              <w:keepNext w:val="0"/>
              <w:keepLines w:val="0"/>
              <w:pageBreakBefore w:val="0"/>
              <w:numPr>
                <w:ilvl w:val="0"/>
                <w:numId w:val="2"/>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应能锁住救出口。</w:t>
            </w:r>
          </w:p>
          <w:p>
            <w:pPr>
              <w:keepNext w:val="0"/>
              <w:keepLines w:val="0"/>
              <w:pageBreakBefore w:val="0"/>
              <w:numPr>
                <w:ilvl w:val="0"/>
                <w:numId w:val="2"/>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救出口不亦变形。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门开关装置</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3"/>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检查门机构及开关、噪音、振动、润滑情形。</w:t>
            </w:r>
          </w:p>
          <w:p>
            <w:pPr>
              <w:keepNext w:val="0"/>
              <w:keepLines w:val="0"/>
              <w:pageBreakBefore w:val="0"/>
              <w:numPr>
                <w:ilvl w:val="0"/>
                <w:numId w:val="3"/>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检查门控制器、门马达。</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门开关良好，不应有噪音、振动，润滑情形良好。</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机能良好且无异常发热。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（3）</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安全开关</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急停、检修、安全钳</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各开关</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应动作可靠、灵敏。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（4）</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导靴、油杯</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检查导靴、油杯</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无显著磨损、裂纹和损伤，</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固定良好油量适当.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（5）</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钢丝绳</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手</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钢丝绳扎头</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钢丝绳磨损程度</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（3）张力检查</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钢丝绳扎头应螺帽、开口销齐全，并帽应锁紧</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发生以下情形应更换：</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出现断股</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直径减少超过7％</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有显著之变形、腐蚀</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发生扭结</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张力应均匀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（6）</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支架</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固定情况</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所有螺栓应索紧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（7）</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对重</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numPr>
                <w:ilvl w:val="0"/>
                <w:numId w:val="4"/>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压铁检查</w:t>
            </w:r>
          </w:p>
          <w:p>
            <w:pPr>
              <w:keepNext w:val="0"/>
              <w:keepLines w:val="0"/>
              <w:pageBreakBefore w:val="0"/>
              <w:numPr>
                <w:ilvl w:val="0"/>
                <w:numId w:val="4"/>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导靴检查</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有无松动，晃动、异响。</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无显著磨损，龟裂、变形、磨损。</w:t>
            </w:r>
          </w:p>
        </w:tc>
      </w:tr>
    </w:tbl>
    <w:p>
      <w:pPr>
        <w:keepNext w:val="0"/>
        <w:keepLines w:val="0"/>
        <w:pageBreakBefore w:val="0"/>
        <w:kinsoku/>
        <w:wordWrap/>
        <w:overflowPunct/>
        <w:topLinePunct w:val="0"/>
        <w:autoSpaceDE/>
        <w:autoSpaceDN/>
        <w:bidi w:val="0"/>
        <w:adjustRightInd/>
        <w:snapToGrid/>
        <w:ind w:left="0" w:right="0" w:rightChars="0" w:firstLine="0" w:firstLineChars="0"/>
        <w:textAlignment w:val="auto"/>
        <w:rPr>
          <w:rFonts w:hint="eastAsia" w:ascii="宋体" w:hAnsi="宋体" w:eastAsia="宋体" w:cs="宋体"/>
          <w:sz w:val="24"/>
          <w:lang w:val="en-US" w:eastAsia="zh-CN"/>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keepNext w:val="0"/>
        <w:keepLines w:val="0"/>
        <w:pageBreakBefore w:val="0"/>
        <w:kinsoku/>
        <w:wordWrap/>
        <w:overflowPunct/>
        <w:topLinePunct w:val="0"/>
        <w:autoSpaceDE/>
        <w:autoSpaceDN/>
        <w:bidi w:val="0"/>
        <w:adjustRightInd/>
        <w:snapToGrid/>
        <w:ind w:left="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轿顶的保养</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c>
          <w:tcPr>
            <w:tcW w:w="48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方式</w:t>
            </w:r>
          </w:p>
        </w:tc>
        <w:tc>
          <w:tcPr>
            <w:tcW w:w="836"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 查 内 容</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判 定 标 准</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外门</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手</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5"/>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门连锁检查</w:t>
            </w:r>
          </w:p>
          <w:p>
            <w:pPr>
              <w:keepNext w:val="0"/>
              <w:keepLines w:val="0"/>
              <w:pageBreakBefore w:val="0"/>
              <w:numPr>
                <w:ilvl w:val="0"/>
                <w:numId w:val="5"/>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门滑板检查</w:t>
            </w:r>
          </w:p>
          <w:p>
            <w:pPr>
              <w:keepNext w:val="0"/>
              <w:keepLines w:val="0"/>
              <w:pageBreakBefore w:val="0"/>
              <w:numPr>
                <w:ilvl w:val="0"/>
                <w:numId w:val="5"/>
              </w:numPr>
              <w:kinsoku/>
              <w:wordWrap/>
              <w:overflowPunct/>
              <w:topLinePunct w:val="0"/>
              <w:autoSpaceDE/>
              <w:autoSpaceDN/>
              <w:bidi w:val="0"/>
              <w:adjustRightInd/>
              <w:snapToGrid/>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门悬挂系统连接检查、地坎槽检查。</w:t>
            </w:r>
          </w:p>
        </w:tc>
        <w:tc>
          <w:tcPr>
            <w:tcW w:w="3780" w:type="dxa"/>
            <w:noWrap w:val="0"/>
            <w:vAlign w:val="center"/>
          </w:tcPr>
          <w:p>
            <w:pPr>
              <w:keepNext w:val="0"/>
              <w:keepLines w:val="0"/>
              <w:pageBreakBefore w:val="0"/>
              <w:numPr>
                <w:ilvl w:val="0"/>
                <w:numId w:val="6"/>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动作应灵敏可靠，某一层门锁断开电梯应立即停止，触点无锈蚀、变形。</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门滑道不应有油污、异物。</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所有螺栓应索紧，钢丝绳张力适当，地坎槽应无异物，开门锁应灵活、有效。</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开关门应无振动、摩擦痕迹、异响</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电缆</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位置及电缆本身</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应无移位、不应有断裂、腐化。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井道各信息开关</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tcBorders>
              <w:bottom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极限、急停</w:t>
            </w:r>
          </w:p>
          <w:p>
            <w:pPr>
              <w:keepNext w:val="0"/>
              <w:keepLines w:val="0"/>
              <w:pageBreakBefore w:val="0"/>
              <w:numPr>
                <w:ilvl w:val="0"/>
                <w:numId w:val="7"/>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上下限位</w:t>
            </w:r>
          </w:p>
          <w:p>
            <w:pPr>
              <w:keepNext w:val="0"/>
              <w:keepLines w:val="0"/>
              <w:pageBreakBefore w:val="0"/>
              <w:numPr>
                <w:ilvl w:val="0"/>
                <w:numId w:val="7"/>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上下强迫减速</w:t>
            </w:r>
          </w:p>
        </w:tc>
        <w:tc>
          <w:tcPr>
            <w:tcW w:w="3780" w:type="dxa"/>
            <w:tcBorders>
              <w:bottom w:val="single" w:color="auto" w:sz="4" w:space="0"/>
            </w:tcBorders>
            <w:noWrap w:val="0"/>
            <w:vAlign w:val="center"/>
          </w:tcPr>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一经碰触，电梯应立即停止。</w:t>
            </w:r>
          </w:p>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上限位开关一经碰触，电梯应停止上行。</w:t>
            </w:r>
          </w:p>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一经碰触电梯应慢速行驶。</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开关盒至撞弓间距为8－10MM。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隔磁板</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固定情况</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间距</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螺栓应紧固</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应分中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配电盘</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配线检查</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应排列整齐，固定良好，接点确实。</w:t>
            </w:r>
          </w:p>
        </w:tc>
      </w:tr>
    </w:tbl>
    <w:p>
      <w:pPr>
        <w:ind w:right="-109" w:rightChars="-52"/>
        <w:rPr>
          <w:rFonts w:hint="eastAsia" w:ascii="宋体" w:hAnsi="宋体" w:eastAsia="宋体" w:cs="宋体"/>
          <w:sz w:val="24"/>
          <w:lang w:val="en-US" w:eastAsia="zh-CN"/>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ind w:right="-109" w:rightChars="-5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轿厢、外呼及底坑的保养</w:t>
      </w:r>
    </w:p>
    <w:tbl>
      <w:tblPr>
        <w:tblStyle w:val="6"/>
        <w:tblW w:w="9278"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495"/>
        <w:gridCol w:w="825"/>
        <w:gridCol w:w="2685"/>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检查项目</w:t>
            </w:r>
          </w:p>
        </w:tc>
        <w:tc>
          <w:tcPr>
            <w:tcW w:w="1320" w:type="dxa"/>
            <w:gridSpan w:val="2"/>
            <w:noWrap w:val="0"/>
            <w:vAlign w:val="top"/>
          </w:tcPr>
          <w:p>
            <w:pPr>
              <w:ind w:right="-109" w:rightChars="-52"/>
              <w:rPr>
                <w:rFonts w:hint="eastAsia" w:ascii="宋体" w:hAnsi="宋体" w:eastAsia="宋体" w:cs="宋体"/>
                <w:sz w:val="24"/>
              </w:rPr>
            </w:pPr>
            <w:r>
              <w:rPr>
                <w:rFonts w:hint="eastAsia" w:ascii="宋体" w:hAnsi="宋体" w:eastAsia="宋体" w:cs="宋体"/>
                <w:sz w:val="24"/>
              </w:rPr>
              <w:t>方式</w:t>
            </w:r>
          </w:p>
        </w:tc>
        <w:tc>
          <w:tcPr>
            <w:tcW w:w="2685"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检查内容</w:t>
            </w:r>
          </w:p>
        </w:tc>
        <w:tc>
          <w:tcPr>
            <w:tcW w:w="3848"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142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轿厢及周壁</w:t>
            </w:r>
          </w:p>
        </w:tc>
        <w:tc>
          <w:tcPr>
            <w:tcW w:w="49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2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685"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1：主要结构</w:t>
            </w:r>
          </w:p>
          <w:p>
            <w:pPr>
              <w:ind w:right="-109" w:rightChars="-52"/>
              <w:jc w:val="both"/>
              <w:rPr>
                <w:rFonts w:hint="eastAsia" w:ascii="宋体" w:hAnsi="宋体" w:eastAsia="宋体" w:cs="宋体"/>
                <w:sz w:val="24"/>
              </w:rPr>
            </w:pPr>
            <w:r>
              <w:rPr>
                <w:rFonts w:hint="eastAsia" w:ascii="宋体" w:hAnsi="宋体" w:eastAsia="宋体" w:cs="宋体"/>
                <w:sz w:val="24"/>
              </w:rPr>
              <w:t>2：两坎间隙</w:t>
            </w:r>
          </w:p>
          <w:p>
            <w:pPr>
              <w:ind w:right="-109" w:rightChars="-52"/>
              <w:jc w:val="both"/>
              <w:rPr>
                <w:rFonts w:hint="eastAsia" w:ascii="宋体" w:hAnsi="宋体" w:eastAsia="宋体" w:cs="宋体"/>
                <w:sz w:val="24"/>
              </w:rPr>
            </w:pPr>
            <w:r>
              <w:rPr>
                <w:rFonts w:hint="eastAsia" w:ascii="宋体" w:hAnsi="宋体" w:eastAsia="宋体" w:cs="宋体"/>
                <w:sz w:val="24"/>
              </w:rPr>
              <w:t>3：通讯、照明、应急照明、通风及运行噪音。</w:t>
            </w:r>
          </w:p>
          <w:p>
            <w:pPr>
              <w:ind w:right="-109" w:rightChars="-52"/>
              <w:jc w:val="both"/>
              <w:rPr>
                <w:rFonts w:hint="eastAsia" w:ascii="宋体" w:hAnsi="宋体" w:eastAsia="宋体" w:cs="宋体"/>
                <w:sz w:val="24"/>
              </w:rPr>
            </w:pPr>
            <w:r>
              <w:rPr>
                <w:rFonts w:hint="eastAsia" w:ascii="宋体" w:hAnsi="宋体" w:eastAsia="宋体" w:cs="宋体"/>
                <w:sz w:val="24"/>
              </w:rPr>
              <w:t>4：操作说明</w:t>
            </w:r>
          </w:p>
          <w:p>
            <w:pPr>
              <w:ind w:right="-109" w:rightChars="-52"/>
              <w:jc w:val="both"/>
              <w:rPr>
                <w:rFonts w:hint="eastAsia" w:ascii="宋体" w:hAnsi="宋体" w:eastAsia="宋体" w:cs="宋体"/>
                <w:sz w:val="24"/>
              </w:rPr>
            </w:pPr>
            <w:r>
              <w:rPr>
                <w:rFonts w:hint="eastAsia" w:ascii="宋体" w:hAnsi="宋体" w:eastAsia="宋体" w:cs="宋体"/>
                <w:sz w:val="24"/>
              </w:rPr>
              <w:t>5：紧急联络说明</w:t>
            </w:r>
          </w:p>
          <w:p>
            <w:pPr>
              <w:ind w:right="-109" w:rightChars="-52"/>
              <w:jc w:val="both"/>
              <w:rPr>
                <w:rFonts w:hint="eastAsia" w:ascii="宋体" w:hAnsi="宋体" w:eastAsia="宋体" w:cs="宋体"/>
                <w:sz w:val="24"/>
              </w:rPr>
            </w:pPr>
            <w:r>
              <w:rPr>
                <w:rFonts w:hint="eastAsia" w:ascii="宋体" w:hAnsi="宋体" w:eastAsia="宋体" w:cs="宋体"/>
                <w:sz w:val="24"/>
              </w:rPr>
              <w:t>6：载重量、保修单位及合格证</w:t>
            </w:r>
          </w:p>
        </w:tc>
        <w:tc>
          <w:tcPr>
            <w:tcW w:w="3848"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不应以易燃材料围堵轿壁，吊顶应安装牢固。</w:t>
            </w:r>
          </w:p>
          <w:p>
            <w:pPr>
              <w:ind w:right="-109" w:rightChars="-52"/>
              <w:jc w:val="both"/>
              <w:rPr>
                <w:rFonts w:hint="eastAsia" w:ascii="宋体" w:hAnsi="宋体" w:eastAsia="宋体" w:cs="宋体"/>
                <w:sz w:val="24"/>
              </w:rPr>
            </w:pPr>
            <w:r>
              <w:rPr>
                <w:rFonts w:hint="eastAsia" w:ascii="宋体" w:hAnsi="宋体" w:eastAsia="宋体" w:cs="宋体"/>
                <w:sz w:val="24"/>
              </w:rPr>
              <w:t>间隙应在3CM＋3MM之内。</w:t>
            </w:r>
          </w:p>
          <w:p>
            <w:pPr>
              <w:ind w:right="-109" w:rightChars="-52"/>
              <w:jc w:val="both"/>
              <w:rPr>
                <w:rFonts w:hint="eastAsia" w:ascii="宋体" w:hAnsi="宋体" w:eastAsia="宋体" w:cs="宋体"/>
                <w:sz w:val="24"/>
              </w:rPr>
            </w:pPr>
            <w:r>
              <w:rPr>
                <w:rFonts w:hint="eastAsia" w:ascii="宋体" w:hAnsi="宋体" w:eastAsia="宋体" w:cs="宋体"/>
                <w:sz w:val="24"/>
              </w:rPr>
              <w:t>对讲机、应急灯应工作正常，通风机照明情况应良好。</w:t>
            </w:r>
          </w:p>
          <w:p>
            <w:pPr>
              <w:ind w:right="-109" w:rightChars="-52"/>
              <w:jc w:val="both"/>
              <w:rPr>
                <w:rFonts w:hint="eastAsia" w:ascii="宋体" w:hAnsi="宋体" w:eastAsia="宋体" w:cs="宋体"/>
                <w:sz w:val="24"/>
              </w:rPr>
            </w:pPr>
            <w:r>
              <w:rPr>
                <w:rFonts w:hint="eastAsia" w:ascii="宋体" w:hAnsi="宋体" w:eastAsia="宋体" w:cs="宋体"/>
                <w:sz w:val="24"/>
              </w:rPr>
              <w:t>电梯运行时应无异常噪音。</w:t>
            </w:r>
          </w:p>
          <w:p>
            <w:pPr>
              <w:ind w:right="-109" w:rightChars="-52"/>
              <w:jc w:val="both"/>
              <w:rPr>
                <w:rFonts w:hint="eastAsia" w:ascii="宋体" w:hAnsi="宋体" w:eastAsia="宋体" w:cs="宋体"/>
                <w:sz w:val="24"/>
              </w:rPr>
            </w:pPr>
            <w:r>
              <w:rPr>
                <w:rFonts w:hint="eastAsia" w:ascii="宋体" w:hAnsi="宋体" w:eastAsia="宋体" w:cs="宋体"/>
                <w:sz w:val="24"/>
              </w:rPr>
              <w:t>操作说明应清楚易懂，应贴于易见之处。</w:t>
            </w:r>
          </w:p>
          <w:p>
            <w:pPr>
              <w:ind w:right="-109" w:rightChars="-52"/>
              <w:jc w:val="both"/>
              <w:rPr>
                <w:rFonts w:hint="eastAsia" w:ascii="宋体" w:hAnsi="宋体" w:eastAsia="宋体" w:cs="宋体"/>
                <w:sz w:val="24"/>
              </w:rPr>
            </w:pPr>
            <w:r>
              <w:rPr>
                <w:rFonts w:hint="eastAsia" w:ascii="宋体" w:hAnsi="宋体" w:eastAsia="宋体" w:cs="宋体"/>
                <w:sz w:val="24"/>
              </w:rPr>
              <w:t>应详细清楚应贴于易见之处。</w:t>
            </w:r>
          </w:p>
          <w:p>
            <w:pPr>
              <w:ind w:right="-109" w:rightChars="-52"/>
              <w:jc w:val="both"/>
              <w:rPr>
                <w:rFonts w:hint="eastAsia" w:ascii="宋体" w:hAnsi="宋体" w:eastAsia="宋体" w:cs="宋体"/>
                <w:sz w:val="24"/>
              </w:rPr>
            </w:pPr>
            <w:r>
              <w:rPr>
                <w:rFonts w:hint="eastAsia" w:ascii="宋体" w:hAnsi="宋体" w:eastAsia="宋体" w:cs="宋体"/>
                <w:sz w:val="24"/>
              </w:rPr>
              <w:t>内容应确实，应贴于易见之处。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轿门系统</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1：安全触板、光幕</w:t>
            </w:r>
          </w:p>
          <w:p>
            <w:pPr>
              <w:ind w:right="-109" w:rightChars="-52"/>
              <w:jc w:val="both"/>
              <w:rPr>
                <w:rFonts w:hint="eastAsia" w:ascii="宋体" w:hAnsi="宋体" w:eastAsia="宋体" w:cs="宋体"/>
                <w:sz w:val="24"/>
              </w:rPr>
            </w:pPr>
            <w:r>
              <w:rPr>
                <w:rFonts w:hint="eastAsia" w:ascii="宋体" w:hAnsi="宋体" w:eastAsia="宋体" w:cs="宋体"/>
                <w:sz w:val="24"/>
              </w:rPr>
              <w:t>2：轿门尺寸</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应灵活有效，开关门无噪声。</w:t>
            </w:r>
          </w:p>
          <w:p>
            <w:pPr>
              <w:ind w:right="-109" w:rightChars="-52"/>
              <w:jc w:val="both"/>
              <w:rPr>
                <w:rFonts w:hint="eastAsia" w:ascii="宋体" w:hAnsi="宋体" w:eastAsia="宋体" w:cs="宋体"/>
                <w:sz w:val="24"/>
              </w:rPr>
            </w:pPr>
            <w:r>
              <w:rPr>
                <w:rFonts w:hint="eastAsia" w:ascii="宋体" w:hAnsi="宋体" w:eastAsia="宋体" w:cs="宋体"/>
                <w:sz w:val="24"/>
              </w:rPr>
              <w:t>与门套间隙＋－5MM，中缝不大于4MM。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（3）底坑</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1：安全开关</w:t>
            </w:r>
          </w:p>
          <w:p>
            <w:pPr>
              <w:ind w:right="-109" w:rightChars="-52"/>
              <w:jc w:val="both"/>
              <w:rPr>
                <w:rFonts w:hint="eastAsia" w:ascii="宋体" w:hAnsi="宋体" w:eastAsia="宋体" w:cs="宋体"/>
                <w:sz w:val="24"/>
              </w:rPr>
            </w:pPr>
            <w:r>
              <w:rPr>
                <w:rFonts w:hint="eastAsia" w:ascii="宋体" w:hAnsi="宋体" w:eastAsia="宋体" w:cs="宋体"/>
                <w:sz w:val="24"/>
              </w:rPr>
              <w:t>2：照明</w:t>
            </w:r>
          </w:p>
          <w:p>
            <w:pPr>
              <w:ind w:right="-109" w:rightChars="-52"/>
              <w:jc w:val="both"/>
              <w:rPr>
                <w:rFonts w:hint="eastAsia" w:ascii="宋体" w:hAnsi="宋体" w:eastAsia="宋体" w:cs="宋体"/>
                <w:sz w:val="24"/>
              </w:rPr>
            </w:pPr>
            <w:r>
              <w:rPr>
                <w:rFonts w:hint="eastAsia" w:ascii="宋体" w:hAnsi="宋体" w:eastAsia="宋体" w:cs="宋体"/>
                <w:sz w:val="24"/>
              </w:rPr>
              <w:t>3：安全距离</w:t>
            </w:r>
          </w:p>
          <w:p>
            <w:pPr>
              <w:ind w:right="-109" w:rightChars="-52"/>
              <w:jc w:val="both"/>
              <w:rPr>
                <w:rFonts w:hint="eastAsia" w:ascii="宋体" w:hAnsi="宋体" w:eastAsia="宋体" w:cs="宋体"/>
                <w:sz w:val="24"/>
              </w:rPr>
            </w:pPr>
            <w:r>
              <w:rPr>
                <w:rFonts w:hint="eastAsia" w:ascii="宋体" w:hAnsi="宋体" w:eastAsia="宋体" w:cs="宋体"/>
                <w:sz w:val="24"/>
              </w:rPr>
              <w:t>4：底坑地面</w:t>
            </w:r>
          </w:p>
          <w:p>
            <w:pPr>
              <w:ind w:right="-109" w:rightChars="-52"/>
              <w:jc w:val="both"/>
              <w:rPr>
                <w:rFonts w:hint="eastAsia" w:ascii="宋体" w:hAnsi="宋体" w:eastAsia="宋体" w:cs="宋体"/>
                <w:sz w:val="24"/>
              </w:rPr>
            </w:pPr>
            <w:r>
              <w:rPr>
                <w:rFonts w:hint="eastAsia" w:ascii="宋体" w:hAnsi="宋体" w:eastAsia="宋体" w:cs="宋体"/>
                <w:sz w:val="24"/>
              </w:rPr>
              <w:t>5：张力轮</w:t>
            </w:r>
          </w:p>
          <w:p>
            <w:pPr>
              <w:ind w:right="-109" w:rightChars="-52"/>
              <w:jc w:val="both"/>
              <w:rPr>
                <w:rFonts w:hint="eastAsia" w:ascii="宋体" w:hAnsi="宋体" w:eastAsia="宋体" w:cs="宋体"/>
                <w:sz w:val="24"/>
              </w:rPr>
            </w:pPr>
            <w:r>
              <w:rPr>
                <w:rFonts w:hint="eastAsia" w:ascii="宋体" w:hAnsi="宋体" w:eastAsia="宋体" w:cs="宋体"/>
                <w:sz w:val="24"/>
              </w:rPr>
              <w:t>6：补偿链</w:t>
            </w:r>
          </w:p>
          <w:p>
            <w:pPr>
              <w:ind w:right="-109" w:rightChars="-52"/>
              <w:jc w:val="both"/>
              <w:rPr>
                <w:rFonts w:hint="eastAsia" w:ascii="宋体" w:hAnsi="宋体" w:eastAsia="宋体" w:cs="宋体"/>
                <w:sz w:val="24"/>
              </w:rPr>
            </w:pPr>
            <w:r>
              <w:rPr>
                <w:rFonts w:hint="eastAsia" w:ascii="宋体" w:hAnsi="宋体" w:eastAsia="宋体" w:cs="宋体"/>
                <w:sz w:val="24"/>
              </w:rPr>
              <w:t>7：缓冲器</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1：各安全开关应动作可靠，一经碰触电梯应立即停止。</w:t>
            </w:r>
          </w:p>
          <w:p>
            <w:pPr>
              <w:ind w:right="-109" w:rightChars="-52"/>
              <w:jc w:val="both"/>
              <w:rPr>
                <w:rFonts w:hint="eastAsia" w:ascii="宋体" w:hAnsi="宋体" w:eastAsia="宋体" w:cs="宋体"/>
                <w:sz w:val="24"/>
              </w:rPr>
            </w:pPr>
            <w:r>
              <w:rPr>
                <w:rFonts w:hint="eastAsia" w:ascii="宋体" w:hAnsi="宋体" w:eastAsia="宋体" w:cs="宋体"/>
                <w:sz w:val="24"/>
              </w:rPr>
              <w:t>2；应为36V，100米烛光以上。</w:t>
            </w:r>
          </w:p>
          <w:p>
            <w:pPr>
              <w:ind w:right="-109" w:rightChars="-52"/>
              <w:jc w:val="both"/>
              <w:rPr>
                <w:rFonts w:hint="eastAsia" w:ascii="宋体" w:hAnsi="宋体" w:eastAsia="宋体" w:cs="宋体"/>
                <w:sz w:val="24"/>
              </w:rPr>
            </w:pPr>
            <w:r>
              <w:rPr>
                <w:rFonts w:hint="eastAsia" w:ascii="宋体" w:hAnsi="宋体" w:eastAsia="宋体" w:cs="宋体"/>
                <w:sz w:val="24"/>
              </w:rPr>
              <w:t>3：底坑深度应符合规范，电梯首层平层时，轿厢缓冲距离；油压式为150－400MM；弹簧式为200－350MM。</w:t>
            </w:r>
          </w:p>
          <w:p>
            <w:pPr>
              <w:ind w:right="-109" w:rightChars="-52"/>
              <w:jc w:val="both"/>
              <w:rPr>
                <w:rFonts w:hint="eastAsia" w:ascii="宋体" w:hAnsi="宋体" w:eastAsia="宋体" w:cs="宋体"/>
                <w:sz w:val="24"/>
              </w:rPr>
            </w:pPr>
            <w:r>
              <w:rPr>
                <w:rFonts w:hint="eastAsia" w:ascii="宋体" w:hAnsi="宋体" w:eastAsia="宋体" w:cs="宋体"/>
                <w:sz w:val="24"/>
              </w:rPr>
              <w:t>电梯顶层平层时，对重缓冲距离；油压式为150－400MM，弹簧式为200－350MM</w:t>
            </w:r>
          </w:p>
          <w:p>
            <w:pPr>
              <w:ind w:right="-109" w:rightChars="-52"/>
              <w:jc w:val="both"/>
              <w:rPr>
                <w:rFonts w:hint="eastAsia" w:ascii="宋体" w:hAnsi="宋体" w:eastAsia="宋体" w:cs="宋体"/>
                <w:sz w:val="24"/>
              </w:rPr>
            </w:pPr>
            <w:r>
              <w:rPr>
                <w:rFonts w:hint="eastAsia" w:ascii="宋体" w:hAnsi="宋体" w:eastAsia="宋体" w:cs="宋体"/>
                <w:sz w:val="24"/>
              </w:rPr>
              <w:t>4：底坑地面应无漏水、油污，防护栏安装适当。</w:t>
            </w:r>
          </w:p>
          <w:p>
            <w:pPr>
              <w:ind w:right="-109" w:rightChars="-52"/>
              <w:jc w:val="both"/>
              <w:rPr>
                <w:rFonts w:hint="eastAsia" w:ascii="宋体" w:hAnsi="宋体" w:eastAsia="宋体" w:cs="宋体"/>
                <w:sz w:val="24"/>
              </w:rPr>
            </w:pPr>
            <w:r>
              <w:rPr>
                <w:rFonts w:hint="eastAsia" w:ascii="宋体" w:hAnsi="宋体" w:eastAsia="宋体" w:cs="宋体"/>
                <w:sz w:val="24"/>
              </w:rPr>
              <w:t>5：张力轮运行时应无噪音，与地面距离不小于300MM。</w:t>
            </w:r>
          </w:p>
          <w:p>
            <w:pPr>
              <w:ind w:right="-109" w:rightChars="-52"/>
              <w:jc w:val="both"/>
              <w:rPr>
                <w:rFonts w:hint="eastAsia" w:ascii="宋体" w:hAnsi="宋体" w:eastAsia="宋体" w:cs="宋体"/>
                <w:sz w:val="24"/>
              </w:rPr>
            </w:pPr>
            <w:r>
              <w:rPr>
                <w:rFonts w:hint="eastAsia" w:ascii="宋体" w:hAnsi="宋体" w:eastAsia="宋体" w:cs="宋体"/>
                <w:sz w:val="24"/>
              </w:rPr>
              <w:t>6：应牢固，无扭曲与地面距离不小于150MM。</w:t>
            </w:r>
          </w:p>
          <w:p>
            <w:pPr>
              <w:ind w:right="-109" w:rightChars="-52"/>
              <w:jc w:val="both"/>
              <w:rPr>
                <w:rFonts w:hint="eastAsia" w:ascii="宋体" w:hAnsi="宋体" w:eastAsia="宋体" w:cs="宋体"/>
                <w:sz w:val="24"/>
              </w:rPr>
            </w:pPr>
            <w:r>
              <w:rPr>
                <w:rFonts w:hint="eastAsia" w:ascii="宋体" w:hAnsi="宋体" w:eastAsia="宋体" w:cs="宋体"/>
                <w:sz w:val="24"/>
              </w:rPr>
              <w:t>7：应无锈蚀，复位时间符合要求，油量适当。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（4）</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外呼面板及显示器</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1：呼梯按钮</w:t>
            </w:r>
          </w:p>
          <w:p>
            <w:pPr>
              <w:ind w:right="-109" w:rightChars="-52"/>
              <w:jc w:val="both"/>
              <w:rPr>
                <w:rFonts w:hint="eastAsia" w:ascii="宋体" w:hAnsi="宋体" w:eastAsia="宋体" w:cs="宋体"/>
                <w:sz w:val="24"/>
              </w:rPr>
            </w:pPr>
            <w:r>
              <w:rPr>
                <w:rFonts w:hint="eastAsia" w:ascii="宋体" w:hAnsi="宋体" w:eastAsia="宋体" w:cs="宋体"/>
                <w:sz w:val="24"/>
              </w:rPr>
              <w:t>2：显示面板</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1；动作灵活、有效，无损伤。</w:t>
            </w:r>
          </w:p>
          <w:p>
            <w:pPr>
              <w:ind w:right="-109" w:rightChars="-52"/>
              <w:jc w:val="both"/>
              <w:rPr>
                <w:rFonts w:hint="eastAsia" w:ascii="宋体" w:hAnsi="宋体" w:eastAsia="宋体" w:cs="宋体"/>
                <w:sz w:val="24"/>
              </w:rPr>
            </w:pPr>
            <w:r>
              <w:rPr>
                <w:rFonts w:hint="eastAsia" w:ascii="宋体" w:hAnsi="宋体" w:eastAsia="宋体" w:cs="宋体"/>
                <w:sz w:val="24"/>
              </w:rPr>
              <w:t>2：显示正确，无损伤。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2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（5）</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厅门</w:t>
            </w:r>
          </w:p>
        </w:tc>
        <w:tc>
          <w:tcPr>
            <w:tcW w:w="49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1：紧急开门装置</w:t>
            </w:r>
          </w:p>
          <w:p>
            <w:pPr>
              <w:ind w:right="-109" w:rightChars="-52"/>
              <w:jc w:val="both"/>
              <w:rPr>
                <w:rFonts w:hint="eastAsia" w:ascii="宋体" w:hAnsi="宋体" w:eastAsia="宋体" w:cs="宋体"/>
                <w:sz w:val="24"/>
              </w:rPr>
            </w:pPr>
            <w:r>
              <w:rPr>
                <w:rFonts w:hint="eastAsia" w:ascii="宋体" w:hAnsi="宋体" w:eastAsia="宋体" w:cs="宋体"/>
                <w:sz w:val="24"/>
              </w:rPr>
              <w:t>2：机械锁</w:t>
            </w:r>
          </w:p>
          <w:p>
            <w:pPr>
              <w:ind w:right="-109" w:rightChars="-52"/>
              <w:jc w:val="both"/>
              <w:rPr>
                <w:rFonts w:hint="eastAsia" w:ascii="宋体" w:hAnsi="宋体" w:eastAsia="宋体" w:cs="宋体"/>
                <w:sz w:val="24"/>
              </w:rPr>
            </w:pPr>
            <w:r>
              <w:rPr>
                <w:rFonts w:hint="eastAsia" w:ascii="宋体" w:hAnsi="宋体" w:eastAsia="宋体" w:cs="宋体"/>
                <w:sz w:val="24"/>
              </w:rPr>
              <w:t>3：门间隙</w:t>
            </w:r>
          </w:p>
        </w:tc>
        <w:tc>
          <w:tcPr>
            <w:tcW w:w="3848"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1：应用三角钥匙才能开门。</w:t>
            </w:r>
          </w:p>
          <w:p>
            <w:pPr>
              <w:ind w:right="-109" w:rightChars="-52"/>
              <w:jc w:val="both"/>
              <w:rPr>
                <w:rFonts w:hint="eastAsia" w:ascii="宋体" w:hAnsi="宋体" w:eastAsia="宋体" w:cs="宋体"/>
                <w:sz w:val="24"/>
              </w:rPr>
            </w:pPr>
            <w:r>
              <w:rPr>
                <w:rFonts w:hint="eastAsia" w:ascii="宋体" w:hAnsi="宋体" w:eastAsia="宋体" w:cs="宋体"/>
                <w:sz w:val="24"/>
              </w:rPr>
              <w:t>2：动作良好。</w:t>
            </w:r>
          </w:p>
          <w:p>
            <w:pPr>
              <w:ind w:right="-109" w:rightChars="-52"/>
              <w:jc w:val="both"/>
              <w:rPr>
                <w:rFonts w:hint="eastAsia" w:ascii="宋体" w:hAnsi="宋体" w:eastAsia="宋体" w:cs="宋体"/>
                <w:sz w:val="24"/>
              </w:rPr>
            </w:pPr>
            <w:r>
              <w:rPr>
                <w:rFonts w:hint="eastAsia" w:ascii="宋体" w:hAnsi="宋体" w:eastAsia="宋体" w:cs="宋体"/>
                <w:sz w:val="24"/>
              </w:rPr>
              <w:t>3：间隙为5MM左右。</w:t>
            </w:r>
          </w:p>
        </w:tc>
      </w:tr>
    </w:tbl>
    <w:p>
      <w:pPr>
        <w:ind w:right="-109" w:rightChars="-52" w:firstLine="480" w:firstLineChars="200"/>
        <w:jc w:val="both"/>
        <w:rPr>
          <w:rFonts w:hint="eastAsia" w:ascii="宋体" w:hAnsi="宋体" w:cs="宋体"/>
          <w:sz w:val="24"/>
          <w:lang w:val="en-US" w:eastAsia="zh-CN"/>
        </w:rPr>
      </w:pPr>
    </w:p>
    <w:p>
      <w:pPr>
        <w:rPr>
          <w:rFonts w:hint="eastAsia" w:ascii="宋体" w:hAnsi="宋体" w:cs="宋体"/>
          <w:sz w:val="24"/>
          <w:lang w:val="en-US" w:eastAsia="zh-CN"/>
        </w:rPr>
      </w:pPr>
      <w:r>
        <w:rPr>
          <w:rFonts w:hint="eastAsia" w:ascii="宋体" w:hAnsi="宋体" w:cs="宋体"/>
          <w:sz w:val="24"/>
          <w:lang w:val="en-US" w:eastAsia="zh-CN"/>
        </w:rPr>
        <w:br w:type="page"/>
      </w:r>
    </w:p>
    <w:p>
      <w:pPr>
        <w:ind w:right="-109" w:rightChars="-5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电梯的定期保养项目</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688"/>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92"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位置</w:t>
            </w:r>
          </w:p>
        </w:tc>
        <w:tc>
          <w:tcPr>
            <w:tcW w:w="2688"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项目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left="2" w:leftChars="-85" w:right="-109" w:rightChars="-52" w:hanging="180" w:hangingChars="75"/>
              <w:jc w:val="center"/>
              <w:rPr>
                <w:rFonts w:hint="eastAsia" w:ascii="宋体" w:hAnsi="宋体" w:eastAsia="宋体" w:cs="宋体"/>
                <w:sz w:val="24"/>
                <w:szCs w:val="24"/>
              </w:rPr>
            </w:pPr>
            <w:r>
              <w:rPr>
                <w:rFonts w:hint="eastAsia" w:ascii="宋体" w:hAnsi="宋体" w:eastAsia="宋体" w:cs="宋体"/>
                <w:sz w:val="24"/>
                <w:szCs w:val="24"/>
              </w:rPr>
              <w:t>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92" w:type="dxa"/>
            <w:vMerge w:val="restart"/>
            <w:tcBorders>
              <w:top w:val="single" w:color="auto" w:sz="4" w:space="0"/>
              <w:left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(1)</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机</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房</w:t>
            </w: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曳引轮垂直度校正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导向轮垂直度校正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导向轮与曳引轮平行度校正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误差≤1毫米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制动器拆洗</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钢丝绳平层标志刷新</w:t>
            </w:r>
          </w:p>
        </w:tc>
        <w:tc>
          <w:tcPr>
            <w:tcW w:w="23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红漆或黄漆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restart"/>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（2）</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轿</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厢</w:t>
            </w:r>
          </w:p>
        </w:tc>
        <w:tc>
          <w:tcPr>
            <w:tcW w:w="26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载荷校正</w:t>
            </w:r>
          </w:p>
        </w:tc>
        <w:tc>
          <w:tcPr>
            <w:tcW w:w="23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砝码校正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轿厢垂直校正</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安全钳拆洗调整</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煤油清洗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启动舒适感调整</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restart"/>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（3）</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井</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道</w:t>
            </w:r>
          </w:p>
        </w:tc>
        <w:tc>
          <w:tcPr>
            <w:tcW w:w="268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缓冲器复位试验</w:t>
            </w:r>
          </w:p>
        </w:tc>
        <w:tc>
          <w:tcPr>
            <w:tcW w:w="23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复位时间＜120S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曳引钢丝绳伸长测量</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缓冲行程超标给与截断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轨道清洗</w:t>
            </w:r>
          </w:p>
        </w:tc>
        <w:tc>
          <w:tcPr>
            <w:tcW w:w="23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煤、柴油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轨道末端、地坑部件补漆</w:t>
            </w:r>
          </w:p>
        </w:tc>
        <w:tc>
          <w:tcPr>
            <w:tcW w:w="23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防锈漆</w:t>
            </w:r>
          </w:p>
        </w:tc>
      </w:tr>
    </w:tbl>
    <w:p>
      <w:pPr>
        <w:ind w:right="-109" w:rightChars="-52"/>
        <w:rPr>
          <w:rFonts w:hint="eastAsia" w:ascii="楷体_GB2312" w:eastAsia="楷体_GB2312"/>
          <w:sz w:val="24"/>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ind w:right="-109" w:rightChars="-5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电梯的润滑保养</w:t>
      </w:r>
    </w:p>
    <w:tbl>
      <w:tblPr>
        <w:tblStyle w:val="6"/>
        <w:tblW w:w="883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685"/>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1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润滑项目</w:t>
            </w: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润滑位置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10" w:type="dxa"/>
            <w:vMerge w:val="restart"/>
            <w:tcBorders>
              <w:top w:val="single" w:color="auto" w:sz="4" w:space="0"/>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机房</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齿轮箱</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新梯6个月,一年后每12个月更换一次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80W－100W－G5齿轮油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蜗轮蜗杆的滚动轴承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制动器的轴销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电磁铁可动铁心与铜套之间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石墨粉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电机滚动轴承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电机滑动轴承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导向轮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限速器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restart"/>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轿厢</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导靴油杯</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油量少于四分之一时需添加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40＃机油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轿顶轮、对重轮、复绕轮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门机构轴承</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安全触板</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安全钳</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井道</w:t>
            </w: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门机构</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涨紧轮</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缓冲器</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6个月添加一次，12个月更换一次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井道信息件开关</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bl>
    <w:p>
      <w:pPr>
        <w:spacing w:line="500" w:lineRule="exact"/>
        <w:ind w:right="-109" w:rightChars="-52"/>
        <w:rPr>
          <w:rFonts w:hint="eastAsia" w:ascii="楷体_GB2312" w:eastAsia="楷体_GB2312"/>
          <w:sz w:val="24"/>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电梯维保安全操作规程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维修人员进入检修现场，必须穿工作服和绝缘鞋。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轿厢内或入口的明显处应挂上“检修停用”标牌。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让无关人员离开轿厢或其他检修工作场所，关好层门。不能关闭层门时，需用合适的护栏挡住入口处，以防止无关人员进入电梯。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上轿顶作检修工作时，首先应先将轿顶开关置于检修状态，并关好层门。停梯工作时必须按下急停开关。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给传动部位加油、清洗，或观察钢丝绳的磨损情况时，必须停止电梯运行。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人在轿顶上工作时，站立位置应有选择，脚下不得有油污，否则应清理干净。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人在轿顶上准备开动电梯以观察有关电梯部件的工作情况时，手必须握住轿顶上梁或护栏等机件。并注意身体部位始终置于轿厢外框之内，防止与井道构件碰撞。须由轿内的司机或检修人员开电梯时，要注意配合，服从轿顶人员指挥，未有指令不准开动电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在多台电梯共用一个井道时，除注意本电梯的情况外，还应注意其他电梯的动态，以防止被碰撞。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禁止在轿顶和井道内吸烟。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检修电器部件时应尽可能避免带电作业。必须带电操作时，应预防触电，并有两人协同进行。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移动式照明应为安全电压，应使用带有防护罩的照明设备。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严禁维修人员站在井道外探身到井道内，以及两脚分别站在能相对运动部件上，进行长时间的检修工作。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进入底坑，应将底坑急停开关断开。</w:t>
      </w:r>
    </w:p>
    <w:p>
      <w:pPr>
        <w:rPr>
          <w:rFonts w:hint="default"/>
          <w:lang w:val="en-US" w:eastAsia="zh-CN"/>
        </w:rPr>
      </w:pPr>
      <w:r>
        <w:rPr>
          <w:rFonts w:hint="default"/>
          <w:lang w:val="en-US" w:eastAsia="zh-CN"/>
        </w:rPr>
        <w:br w:type="page"/>
      </w:r>
    </w:p>
    <w:p>
      <w:pPr>
        <w:widowControl/>
        <w:spacing w:line="360" w:lineRule="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附件四：配件免费更换清单</w:t>
      </w:r>
    </w:p>
    <w:tbl>
      <w:tblPr>
        <w:tblStyle w:val="6"/>
        <w:tblW w:w="9438" w:type="dxa"/>
        <w:jc w:val="center"/>
        <w:tblLayout w:type="autofit"/>
        <w:tblCellMar>
          <w:top w:w="0" w:type="dxa"/>
          <w:left w:w="108" w:type="dxa"/>
          <w:bottom w:w="0" w:type="dxa"/>
          <w:right w:w="108" w:type="dxa"/>
        </w:tblCellMar>
      </w:tblPr>
      <w:tblGrid>
        <w:gridCol w:w="800"/>
        <w:gridCol w:w="2720"/>
        <w:gridCol w:w="3839"/>
        <w:gridCol w:w="800"/>
        <w:gridCol w:w="1279"/>
      </w:tblGrid>
      <w:tr>
        <w:tblPrEx>
          <w:tblCellMar>
            <w:top w:w="0" w:type="dxa"/>
            <w:left w:w="108" w:type="dxa"/>
            <w:bottom w:w="0" w:type="dxa"/>
            <w:right w:w="108" w:type="dxa"/>
          </w:tblCellMar>
        </w:tblPrEx>
        <w:trPr>
          <w:trHeight w:val="560" w:hRule="atLeast"/>
          <w:jc w:val="center"/>
        </w:trPr>
        <w:tc>
          <w:tcPr>
            <w:tcW w:w="800"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序号</w:t>
            </w:r>
          </w:p>
        </w:tc>
        <w:tc>
          <w:tcPr>
            <w:tcW w:w="272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物料名称</w:t>
            </w:r>
          </w:p>
        </w:tc>
        <w:tc>
          <w:tcPr>
            <w:tcW w:w="3839"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型号、规格、参数</w:t>
            </w:r>
          </w:p>
        </w:tc>
        <w:tc>
          <w:tcPr>
            <w:tcW w:w="80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单位</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合同期内</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黑色橡胶 L50.5mm</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 国产</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DW900 d3 L3580中分</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门传动钢丝绳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S8中分DW1100 L4675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门挂板滚轮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D60 K8/S8</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厅门关闭弹簧C2/T2</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424mm（S200非玻璃厅门）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触点开关AZ-06</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V齿传动带</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8PJ559 GB/T16588（K8轿门）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9</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触点开关RX07</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主锁 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10</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手动复位行程开关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LX26-UKS</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集油盒</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YF02X556</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缓冲器开关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LX26-UKT</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微动开关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TM-1307 PT0.4</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极限开关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HD/1370</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SZ-A22</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w:t>
            </w:r>
            <w:r>
              <w:rPr>
                <w:rFonts w:hint="eastAsia" w:ascii="宋体" w:hAnsi="宋体" w:cs="宋体"/>
                <w:kern w:val="0"/>
                <w:sz w:val="22"/>
              </w:rPr>
              <w:t>新</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17</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对重油杯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U</w:t>
            </w:r>
            <w:r>
              <w:rPr>
                <w:rFonts w:hint="eastAsia" w:ascii="宋体" w:hAnsi="宋体" w:cs="宋体"/>
                <w:kern w:val="0"/>
                <w:sz w:val="22"/>
              </w:rPr>
              <w:t>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18</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LADN22C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19</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按钮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普通</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20</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底坑急停</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按钮型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21</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底坑缓冲器开关</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行程开关</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22</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轿顶照明</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LED灯</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23</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底坑涨绳轮</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自动复位</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24</w:t>
            </w:r>
          </w:p>
        </w:tc>
        <w:tc>
          <w:tcPr>
            <w:tcW w:w="2720"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底坑照明</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灯管</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厅门重锤钢丝绳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2CM正常型号</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RKL12/5E 12V 5W DERIN</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SZ-AS1-C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导轨油</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润滑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SC-E03PN5-C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SC-E05P-C</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急停开关盒（不带线）</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XAL-J174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张紧轮开关</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S3-1375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相序</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XJ12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感应组件</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井道部件</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蓄电池</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RT1270H 12V7AH 瑞达</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37</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滑动导靴</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k16带油杯</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对讲机</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TK-TC12(1-1)A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开关电源</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RS-25-5 5A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3RT6023-1AN20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D12 d2 10.5 9 385.14 D SWPB</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门锁滚轮</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D32 S200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圆柱拉伸弹簧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790*14.2*1.8 旁开S8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浪涌抑制单元</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SZ-Z5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bl>
    <w:p>
      <w:pPr>
        <w:rPr>
          <w:rFonts w:hint="default" w:ascii="仿宋_GB2312" w:hAnsi="仿宋_GB2312" w:eastAsia="仿宋_GB2312" w:cs="仿宋_GB2312"/>
          <w:b/>
          <w:bCs w:val="0"/>
          <w:sz w:val="28"/>
          <w:szCs w:val="28"/>
          <w:lang w:val="en-US" w:eastAsia="zh-CN"/>
        </w:rPr>
      </w:pPr>
      <w:r>
        <w:rPr>
          <w:rFonts w:hint="default" w:ascii="仿宋_GB2312" w:hAnsi="仿宋_GB2312" w:eastAsia="仿宋_GB2312" w:cs="仿宋_GB2312"/>
          <w:b/>
          <w:bCs/>
          <w:color w:val="auto"/>
          <w:sz w:val="28"/>
          <w:szCs w:val="28"/>
          <w:lang w:val="en-US" w:eastAsia="zh-CN"/>
        </w:rPr>
        <w:br w:type="page"/>
      </w:r>
      <w:r>
        <w:rPr>
          <w:rFonts w:hint="eastAsia" w:ascii="仿宋_GB2312" w:hAnsi="仿宋_GB2312" w:eastAsia="仿宋_GB2312" w:cs="仿宋_GB2312"/>
          <w:b/>
          <w:bCs w:val="0"/>
          <w:sz w:val="28"/>
          <w:szCs w:val="28"/>
          <w:lang w:val="en-US" w:eastAsia="zh-CN"/>
        </w:rPr>
        <w:t>附件五：报价表</w:t>
      </w:r>
    </w:p>
    <w:p>
      <w:pPr>
        <w:pStyle w:val="2"/>
        <w:rPr>
          <w:rFonts w:hint="default"/>
          <w:lang w:val="en-US" w:eastAsia="zh-CN"/>
        </w:rPr>
      </w:pPr>
    </w:p>
    <w:tbl>
      <w:tblPr>
        <w:tblStyle w:val="6"/>
        <w:tblW w:w="9827"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526"/>
        <w:gridCol w:w="1884"/>
        <w:gridCol w:w="1483"/>
        <w:gridCol w:w="1450"/>
        <w:gridCol w:w="600"/>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82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城新物业公司电梯维保报价表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梯号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电梯品牌</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层/站/门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数量</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报价（元/年）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城隍庙街区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（小商品市场）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小商品市场东北梯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小商品市场东南梯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小商品市场西北梯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5层5站6门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小商品市场西南梯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5层5站6门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城隍庙街区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（徽光阁、庐阳宫、古玩城）</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徽光阁</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100"/>
              </w:tabs>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庐阳宫</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古玩城</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庐阳区全民健身体育中心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梯11皖AL10900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梯11皖AL10899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拱辰邻里中心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奥的斯客梯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4层4站5门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F8N03T18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7层7站7门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7层7站7门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淮河路256号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（合肥城市记忆馆、艺术安徽中心）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艺术安徽中心</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Style w:val="8"/>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东小楼</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8"/>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讯达扶梯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8"/>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讯达客梯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Style w:val="8"/>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总 价</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rPr>
          <w:rFonts w:hint="default"/>
          <w:b/>
          <w:bCs/>
          <w:lang w:val="en-US" w:eastAsia="zh-CN"/>
        </w:rPr>
      </w:pPr>
      <w:r>
        <w:rPr>
          <w:rFonts w:hint="eastAsia"/>
          <w:b/>
          <w:bCs/>
          <w:lang w:val="en-US" w:eastAsia="zh-CN"/>
        </w:rPr>
        <w:t>注：供应商需完全响应采购需求内容，报价为整年报价。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3461F"/>
    <w:multiLevelType w:val="singleLevel"/>
    <w:tmpl w:val="0C83461F"/>
    <w:lvl w:ilvl="0" w:tentative="0">
      <w:start w:val="1"/>
      <w:numFmt w:val="chineseCounting"/>
      <w:suff w:val="nothing"/>
      <w:lvlText w:val="%1、"/>
      <w:lvlJc w:val="left"/>
      <w:rPr>
        <w:rFonts w:hint="eastAsia"/>
      </w:rPr>
    </w:lvl>
  </w:abstractNum>
  <w:abstractNum w:abstractNumId="1">
    <w:nsid w:val="0D7D1CC5"/>
    <w:multiLevelType w:val="multilevel"/>
    <w:tmpl w:val="0D7D1CC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03B76"/>
    <w:multiLevelType w:val="multilevel"/>
    <w:tmpl w:val="2C503B7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A17871"/>
    <w:multiLevelType w:val="multilevel"/>
    <w:tmpl w:val="45A17871"/>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797ACF"/>
    <w:multiLevelType w:val="multilevel"/>
    <w:tmpl w:val="54797ACF"/>
    <w:lvl w:ilvl="0" w:tentative="0">
      <w:start w:val="1"/>
      <w:numFmt w:val="decimal"/>
      <w:lvlText w:val="（%1）"/>
      <w:lvlJc w:val="left"/>
      <w:pPr>
        <w:tabs>
          <w:tab w:val="left" w:pos="720"/>
        </w:tabs>
        <w:ind w:left="720" w:hanging="720"/>
      </w:pPr>
      <w:rPr>
        <w:rFonts w:hint="eastAsia"/>
      </w:rPr>
    </w:lvl>
    <w:lvl w:ilvl="1" w:tentative="0">
      <w:start w:val="1"/>
      <w:numFmt w:val="decimalFullWidth"/>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5F0626"/>
    <w:multiLevelType w:val="multilevel"/>
    <w:tmpl w:val="585F062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78062B9"/>
    <w:multiLevelType w:val="multilevel"/>
    <w:tmpl w:val="678062B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B9C59E2"/>
    <w:multiLevelType w:val="multilevel"/>
    <w:tmpl w:val="7B9C59E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2U2YjU4OGZlOWQzM2I0OWY3NTg0NjQ3ODE1ZDkifQ=="/>
  </w:docVars>
  <w:rsids>
    <w:rsidRoot w:val="7191782D"/>
    <w:rsid w:val="7191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微软雅黑"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1"/>
    <w:qFormat/>
    <w:uiPriority w:val="0"/>
    <w:pPr>
      <w:spacing w:after="120"/>
    </w:pPr>
  </w:style>
  <w:style w:type="paragraph" w:styleId="4">
    <w:name w:val="Body Text Indent"/>
    <w:basedOn w:val="1"/>
    <w:qFormat/>
    <w:uiPriority w:val="0"/>
    <w:pPr>
      <w:spacing w:line="480" w:lineRule="exact"/>
      <w:ind w:firstLine="480" w:firstLineChars="200"/>
    </w:pPr>
    <w:rPr>
      <w:rFonts w:ascii="宋体" w:hAnsi="宋体"/>
      <w:sz w:val="24"/>
    </w:rPr>
  </w:style>
  <w:style w:type="paragraph" w:styleId="5">
    <w:name w:val="Body Text First Indent 2"/>
    <w:basedOn w:val="4"/>
    <w:next w:val="1"/>
    <w:qFormat/>
    <w:uiPriority w:val="0"/>
    <w:pPr>
      <w:ind w:left="420" w:firstLine="420"/>
    </w:pPr>
  </w:style>
  <w:style w:type="character" w:customStyle="1" w:styleId="8">
    <w:name w:val="font5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2024-05-10T07:57:00Z</dcterms:created>
  <dc:creator>七月柒</dc:creator>
  <cp:lastModifiedBy>七月柒</cp:lastModifiedBy>
  <dcterms:modified xsi:type="dcterms:W3CDTF">2024-05-10T07:57:28Z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1B67A5185B564B6B834102E00531FBD8_11</vt:lpwstr>
  </property>
</Properties>
</file>