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w:t>
      </w:r>
      <w:r>
        <w:rPr>
          <w:rFonts w:hint="eastAsia" w:hAnsi="DotumChe" w:cs="宋体"/>
          <w:b/>
          <w:spacing w:val="20"/>
          <w:sz w:val="32"/>
          <w:szCs w:val="32"/>
          <w:lang w:val="en-US" w:eastAsia="zh-CN"/>
        </w:rPr>
        <w:t>庐阳文旅集团审计定点服务单位</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项目编号：2024GW000</w:t>
      </w:r>
      <w:r>
        <w:rPr>
          <w:rFonts w:hint="eastAsia" w:hAnsi="DotumChe" w:cs="宋体"/>
          <w:b/>
          <w:spacing w:val="20"/>
          <w:sz w:val="32"/>
          <w:szCs w:val="32"/>
          <w:lang w:val="en-US" w:eastAsia="zh-CN"/>
        </w:rPr>
        <w:t>9</w:t>
      </w:r>
      <w:bookmarkStart w:id="91" w:name="_GoBack"/>
      <w:bookmarkEnd w:id="91"/>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合肥庐阳文化旅游发展集团有限公司</w:t>
      </w:r>
      <w:r>
        <w:rPr>
          <w:rFonts w:hint="eastAsia" w:hAnsi="DotumChe" w:cs="宋体"/>
          <w:b/>
          <w:spacing w:val="20"/>
          <w:sz w:val="32"/>
          <w:szCs w:val="32"/>
        </w:rPr>
        <w:t xml:space="preserve"> </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2024年5月</w:t>
      </w:r>
    </w:p>
    <w:p>
      <w:pPr>
        <w:spacing w:after="468" w:afterLines="150" w:line="540" w:lineRule="exact"/>
        <w:jc w:val="center"/>
        <w:rPr>
          <w:rFonts w:hAnsi="宋体"/>
          <w:b/>
          <w:sz w:val="52"/>
          <w:szCs w:val="52"/>
        </w:rPr>
      </w:pPr>
    </w:p>
    <w:p>
      <w:pPr>
        <w:pStyle w:val="17"/>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5"/>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rPr>
          <w:rFonts w:ascii="Times New Roman" w:hAnsi="Times New Roman" w:eastAsia="黑体" w:cs="Times New Roman"/>
          <w:szCs w:val="24"/>
        </w:rPr>
        <w:fldChar w:fldCharType="begin"/>
      </w:r>
      <w:r>
        <w:rPr>
          <w:rFonts w:ascii="Times New Roman" w:hAnsi="Times New Roman" w:eastAsia="黑体" w:cs="Times New Roman"/>
          <w:szCs w:val="24"/>
        </w:rPr>
        <w:instrText xml:space="preserve"> HYPERLINK \l _Toc10240 </w:instrText>
      </w:r>
      <w:r>
        <w:rPr>
          <w:rFonts w:ascii="Times New Roman" w:hAnsi="Times New Roman" w:eastAsia="黑体" w:cs="Times New Roman"/>
          <w:szCs w:val="24"/>
        </w:rPr>
        <w:fldChar w:fldCharType="separate"/>
      </w:r>
      <w:r>
        <w:rPr>
          <w:rFonts w:hint="eastAsia"/>
          <w:szCs w:val="24"/>
        </w:rPr>
        <w:t xml:space="preserve">第一章 </w:t>
      </w:r>
      <w:r>
        <w:rPr>
          <w:rFonts w:hint="eastAsia"/>
        </w:rPr>
        <w:t>磋商邀请（磋商公告）</w:t>
      </w:r>
      <w:r>
        <w:tab/>
      </w:r>
      <w:r>
        <w:fldChar w:fldCharType="begin"/>
      </w:r>
      <w:r>
        <w:instrText xml:space="preserve"> PAGEREF _Toc10240 \h </w:instrText>
      </w:r>
      <w:r>
        <w:fldChar w:fldCharType="separate"/>
      </w:r>
      <w:r>
        <w:t>3</w:t>
      </w:r>
      <w:r>
        <w:fldChar w:fldCharType="end"/>
      </w:r>
      <w:r>
        <w:rPr>
          <w:rFonts w:ascii="Times New Roman" w:hAnsi="Times New Roman" w:eastAsia="黑体" w:cs="Times New Roman"/>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_Toc10627 </w:instrText>
      </w:r>
      <w:r>
        <w:rPr>
          <w:rFonts w:eastAsia="黑体"/>
          <w:szCs w:val="24"/>
        </w:rPr>
        <w:fldChar w:fldCharType="separate"/>
      </w:r>
      <w:r>
        <w:rPr>
          <w:rFonts w:hint="eastAsia"/>
        </w:rPr>
        <w:t>第二章  投标人须知</w:t>
      </w:r>
      <w:r>
        <w:tab/>
      </w:r>
      <w:r>
        <w:fldChar w:fldCharType="begin"/>
      </w:r>
      <w:r>
        <w:instrText xml:space="preserve"> PAGEREF _Toc10627 \h </w:instrText>
      </w:r>
      <w:r>
        <w:fldChar w:fldCharType="separate"/>
      </w:r>
      <w:r>
        <w:t>5</w:t>
      </w:r>
      <w:r>
        <w:fldChar w:fldCharType="end"/>
      </w:r>
      <w:r>
        <w:rPr>
          <w:rFonts w:eastAsia="黑体"/>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_Toc24506 </w:instrText>
      </w:r>
      <w:r>
        <w:rPr>
          <w:rFonts w:eastAsia="黑体"/>
          <w:szCs w:val="24"/>
        </w:rPr>
        <w:fldChar w:fldCharType="separate"/>
      </w:r>
      <w:r>
        <w:rPr>
          <w:rFonts w:hint="eastAsia" w:eastAsia="宋体"/>
        </w:rPr>
        <w:t>投标人须知正文</w:t>
      </w:r>
      <w:r>
        <w:tab/>
      </w:r>
      <w:r>
        <w:fldChar w:fldCharType="begin"/>
      </w:r>
      <w:r>
        <w:instrText xml:space="preserve"> PAGEREF _Toc24506 \h </w:instrText>
      </w:r>
      <w:r>
        <w:fldChar w:fldCharType="separate"/>
      </w:r>
      <w:r>
        <w:t>9</w:t>
      </w:r>
      <w:r>
        <w:fldChar w:fldCharType="end"/>
      </w:r>
      <w:r>
        <w:rPr>
          <w:rFonts w:eastAsia="黑体"/>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_Toc28679 </w:instrText>
      </w:r>
      <w:r>
        <w:rPr>
          <w:rFonts w:eastAsia="黑体"/>
          <w:szCs w:val="24"/>
        </w:rPr>
        <w:fldChar w:fldCharType="separate"/>
      </w:r>
      <w:r>
        <w:rPr>
          <w:rFonts w:hint="eastAsia" w:ascii="黑体" w:hAnsi="黑体"/>
          <w:szCs w:val="24"/>
        </w:rPr>
        <w:t>第三章 招标需求</w:t>
      </w:r>
      <w:r>
        <w:tab/>
      </w:r>
      <w:r>
        <w:fldChar w:fldCharType="begin"/>
      </w:r>
      <w:r>
        <w:instrText xml:space="preserve"> PAGEREF _Toc28679 \h </w:instrText>
      </w:r>
      <w:r>
        <w:fldChar w:fldCharType="separate"/>
      </w:r>
      <w:r>
        <w:t>22</w:t>
      </w:r>
      <w:r>
        <w:fldChar w:fldCharType="end"/>
      </w:r>
      <w:r>
        <w:rPr>
          <w:rFonts w:eastAsia="黑体"/>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_Toc15541 </w:instrText>
      </w:r>
      <w:r>
        <w:rPr>
          <w:rFonts w:eastAsia="黑体"/>
          <w:szCs w:val="24"/>
        </w:rPr>
        <w:fldChar w:fldCharType="separate"/>
      </w:r>
      <w:r>
        <w:rPr>
          <w:rFonts w:hint="eastAsia" w:ascii="黑体" w:hAnsi="黑体"/>
        </w:rPr>
        <w:t>第四章  评审方法与标准</w:t>
      </w:r>
      <w:r>
        <w:tab/>
      </w:r>
      <w:r>
        <w:fldChar w:fldCharType="begin"/>
      </w:r>
      <w:r>
        <w:instrText xml:space="preserve"> PAGEREF _Toc15541 \h </w:instrText>
      </w:r>
      <w:r>
        <w:fldChar w:fldCharType="separate"/>
      </w:r>
      <w:r>
        <w:t>33</w:t>
      </w:r>
      <w:r>
        <w:fldChar w:fldCharType="end"/>
      </w:r>
      <w:r>
        <w:rPr>
          <w:rFonts w:eastAsia="黑体"/>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_Toc23189 </w:instrText>
      </w:r>
      <w:r>
        <w:rPr>
          <w:rFonts w:eastAsia="黑体"/>
          <w:szCs w:val="24"/>
        </w:rPr>
        <w:fldChar w:fldCharType="separate"/>
      </w:r>
      <w:r>
        <w:rPr>
          <w:rFonts w:hint="eastAsia" w:hAnsi="Times New Roman" w:eastAsia="宋体"/>
          <w:bCs/>
        </w:rPr>
        <w:t>第五章 合同条款及格式（另行提供）</w:t>
      </w:r>
      <w:r>
        <w:tab/>
      </w:r>
      <w:r>
        <w:fldChar w:fldCharType="begin"/>
      </w:r>
      <w:r>
        <w:instrText xml:space="preserve"> PAGEREF _Toc23189 \h </w:instrText>
      </w:r>
      <w:r>
        <w:fldChar w:fldCharType="separate"/>
      </w:r>
      <w:r>
        <w:t>38</w:t>
      </w:r>
      <w:r>
        <w:fldChar w:fldCharType="end"/>
      </w:r>
      <w:r>
        <w:rPr>
          <w:rFonts w:eastAsia="黑体"/>
          <w:szCs w:val="24"/>
        </w:rPr>
        <w:fldChar w:fldCharType="end"/>
      </w:r>
    </w:p>
    <w:p>
      <w:pPr>
        <w:pStyle w:val="15"/>
        <w:tabs>
          <w:tab w:val="right" w:leader="dot" w:pos="8504"/>
        </w:tabs>
      </w:pPr>
      <w:r>
        <w:rPr>
          <w:rFonts w:eastAsia="黑体"/>
          <w:szCs w:val="24"/>
        </w:rPr>
        <w:fldChar w:fldCharType="begin"/>
      </w:r>
      <w:r>
        <w:rPr>
          <w:rFonts w:eastAsia="黑体"/>
          <w:szCs w:val="24"/>
        </w:rPr>
        <w:instrText xml:space="preserve"> HYPERLINK \l _Toc16169 </w:instrText>
      </w:r>
      <w:r>
        <w:rPr>
          <w:rFonts w:eastAsia="黑体"/>
          <w:szCs w:val="24"/>
        </w:rPr>
        <w:fldChar w:fldCharType="separate"/>
      </w:r>
      <w:r>
        <w:rPr>
          <w:rFonts w:hint="eastAsia" w:hAnsi="Times New Roman" w:eastAsia="宋体"/>
          <w:bCs/>
        </w:rPr>
        <w:t>第六章 响应文件格式</w:t>
      </w:r>
      <w:r>
        <w:tab/>
      </w:r>
      <w:r>
        <w:fldChar w:fldCharType="begin"/>
      </w:r>
      <w:r>
        <w:instrText xml:space="preserve"> PAGEREF _Toc16169 \h </w:instrText>
      </w:r>
      <w:r>
        <w:fldChar w:fldCharType="separate"/>
      </w:r>
      <w:r>
        <w:t>39</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_Toc14596 </w:instrText>
      </w:r>
      <w:r>
        <w:rPr>
          <w:rFonts w:eastAsia="黑体"/>
          <w:szCs w:val="24"/>
        </w:rPr>
        <w:fldChar w:fldCharType="separate"/>
      </w:r>
      <w:r>
        <w:rPr>
          <w:rFonts w:hint="eastAsia" w:ascii="黑体" w:hAnsi="黑体" w:eastAsia="黑体"/>
          <w:szCs w:val="44"/>
        </w:rPr>
        <w:t>响应文件</w:t>
      </w:r>
      <w:r>
        <w:tab/>
      </w:r>
      <w:r>
        <w:fldChar w:fldCharType="begin"/>
      </w:r>
      <w:r>
        <w:instrText xml:space="preserve"> PAGEREF _Toc14596 \h </w:instrText>
      </w:r>
      <w:r>
        <w:fldChar w:fldCharType="separate"/>
      </w:r>
      <w:r>
        <w:t>39</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_Toc28190 </w:instrText>
      </w:r>
      <w:r>
        <w:rPr>
          <w:rFonts w:eastAsia="黑体"/>
          <w:szCs w:val="24"/>
        </w:rPr>
        <w:fldChar w:fldCharType="separate"/>
      </w:r>
      <w:r>
        <w:rPr>
          <w:rFonts w:hint="eastAsia" w:ascii="黑体" w:eastAsia="黑体"/>
          <w:szCs w:val="28"/>
        </w:rPr>
        <w:t>目  录</w:t>
      </w:r>
      <w:r>
        <w:tab/>
      </w:r>
      <w:r>
        <w:fldChar w:fldCharType="begin"/>
      </w:r>
      <w:r>
        <w:instrText xml:space="preserve"> PAGEREF _Toc28190 \h </w:instrText>
      </w:r>
      <w:r>
        <w:fldChar w:fldCharType="separate"/>
      </w:r>
      <w:r>
        <w:t>40</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_Toc23172 </w:instrText>
      </w:r>
      <w:r>
        <w:rPr>
          <w:rFonts w:eastAsia="黑体"/>
          <w:szCs w:val="24"/>
        </w:rPr>
        <w:fldChar w:fldCharType="separate"/>
      </w:r>
      <w:r>
        <w:rPr>
          <w:rFonts w:hint="eastAsia"/>
        </w:rPr>
        <w:t>一、开标一览表</w:t>
      </w:r>
      <w:r>
        <w:tab/>
      </w:r>
      <w:r>
        <w:fldChar w:fldCharType="begin"/>
      </w:r>
      <w:r>
        <w:instrText xml:space="preserve"> PAGEREF _Toc23172 \h </w:instrText>
      </w:r>
      <w:r>
        <w:fldChar w:fldCharType="separate"/>
      </w:r>
      <w:r>
        <w:t>41</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_Toc22308 </w:instrText>
      </w:r>
      <w:r>
        <w:rPr>
          <w:rFonts w:eastAsia="黑体"/>
          <w:szCs w:val="24"/>
        </w:rPr>
        <w:fldChar w:fldCharType="separate"/>
      </w:r>
      <w:r>
        <w:rPr>
          <w:rFonts w:hint="eastAsia"/>
        </w:rPr>
        <w:t>二、投标人基本情况表</w:t>
      </w:r>
      <w:r>
        <w:tab/>
      </w:r>
      <w:r>
        <w:fldChar w:fldCharType="begin"/>
      </w:r>
      <w:r>
        <w:instrText xml:space="preserve"> PAGEREF _Toc22308 \h </w:instrText>
      </w:r>
      <w:r>
        <w:fldChar w:fldCharType="separate"/>
      </w:r>
      <w:r>
        <w:t>42</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_Toc11517 </w:instrText>
      </w:r>
      <w:r>
        <w:rPr>
          <w:rFonts w:eastAsia="黑体"/>
          <w:szCs w:val="24"/>
        </w:rPr>
        <w:fldChar w:fldCharType="separate"/>
      </w:r>
      <w:r>
        <w:rPr>
          <w:rFonts w:hint="eastAsia"/>
        </w:rPr>
        <w:t>五、投标人信用承诺</w:t>
      </w:r>
      <w:r>
        <w:tab/>
      </w:r>
      <w:r>
        <w:fldChar w:fldCharType="begin"/>
      </w:r>
      <w:r>
        <w:instrText xml:space="preserve"> PAGEREF _Toc11517 \h </w:instrText>
      </w:r>
      <w:r>
        <w:fldChar w:fldCharType="separate"/>
      </w:r>
      <w:r>
        <w:t>47</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_Toc21687 </w:instrText>
      </w:r>
      <w:r>
        <w:rPr>
          <w:rFonts w:eastAsia="黑体"/>
          <w:szCs w:val="24"/>
        </w:rPr>
        <w:fldChar w:fldCharType="separate"/>
      </w:r>
      <w:r>
        <w:rPr>
          <w:rFonts w:hint="eastAsia"/>
        </w:rPr>
        <w:t>六、投标人业绩</w:t>
      </w:r>
      <w:r>
        <w:tab/>
      </w:r>
      <w:r>
        <w:fldChar w:fldCharType="begin"/>
      </w:r>
      <w:r>
        <w:instrText xml:space="preserve"> PAGEREF _Toc21687 \h </w:instrText>
      </w:r>
      <w:r>
        <w:fldChar w:fldCharType="separate"/>
      </w:r>
      <w:r>
        <w:t>48</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_Toc31846 </w:instrText>
      </w:r>
      <w:r>
        <w:rPr>
          <w:rFonts w:eastAsia="黑体"/>
          <w:szCs w:val="24"/>
        </w:rPr>
        <w:fldChar w:fldCharType="separate"/>
      </w:r>
      <w:r>
        <w:rPr>
          <w:rFonts w:hint="eastAsia"/>
        </w:rPr>
        <w:t>七、奖项、荣誉（如有）</w:t>
      </w:r>
      <w:r>
        <w:tab/>
      </w:r>
      <w:r>
        <w:fldChar w:fldCharType="begin"/>
      </w:r>
      <w:r>
        <w:instrText xml:space="preserve"> PAGEREF _Toc31846 \h </w:instrText>
      </w:r>
      <w:r>
        <w:fldChar w:fldCharType="separate"/>
      </w:r>
      <w:r>
        <w:t>49</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_Toc6325 </w:instrText>
      </w:r>
      <w:r>
        <w:rPr>
          <w:rFonts w:eastAsia="黑体"/>
          <w:szCs w:val="24"/>
        </w:rPr>
        <w:fldChar w:fldCharType="separate"/>
      </w:r>
      <w:r>
        <w:rPr>
          <w:rFonts w:hint="eastAsia"/>
        </w:rPr>
        <w:t>八、项目管理机构</w:t>
      </w:r>
      <w:r>
        <w:tab/>
      </w:r>
      <w:r>
        <w:fldChar w:fldCharType="begin"/>
      </w:r>
      <w:r>
        <w:instrText xml:space="preserve"> PAGEREF _Toc6325 \h </w:instrText>
      </w:r>
      <w:r>
        <w:fldChar w:fldCharType="separate"/>
      </w:r>
      <w:r>
        <w:t>50</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_Toc31198 </w:instrText>
      </w:r>
      <w:r>
        <w:rPr>
          <w:rFonts w:eastAsia="黑体"/>
          <w:szCs w:val="24"/>
        </w:rPr>
        <w:fldChar w:fldCharType="separate"/>
      </w:r>
      <w:r>
        <w:rPr>
          <w:rFonts w:hint="eastAsia" w:hAnsi="宋体" w:cs="宋体"/>
          <w:bCs/>
          <w:spacing w:val="-2"/>
          <w:szCs w:val="24"/>
        </w:rPr>
        <w:t>九、后期服务方案</w:t>
      </w:r>
      <w:r>
        <w:tab/>
      </w:r>
      <w:r>
        <w:fldChar w:fldCharType="begin"/>
      </w:r>
      <w:r>
        <w:instrText xml:space="preserve"> PAGEREF _Toc31198 \h </w:instrText>
      </w:r>
      <w:r>
        <w:fldChar w:fldCharType="separate"/>
      </w:r>
      <w:r>
        <w:t>51</w:t>
      </w:r>
      <w:r>
        <w:fldChar w:fldCharType="end"/>
      </w:r>
      <w:r>
        <w:rPr>
          <w:rFonts w:eastAsia="黑体"/>
          <w:szCs w:val="24"/>
        </w:rPr>
        <w:fldChar w:fldCharType="end"/>
      </w:r>
    </w:p>
    <w:p>
      <w:pPr>
        <w:pStyle w:val="16"/>
        <w:tabs>
          <w:tab w:val="right" w:leader="dot" w:pos="8504"/>
        </w:tabs>
      </w:pPr>
      <w:r>
        <w:rPr>
          <w:rFonts w:eastAsia="黑体"/>
          <w:szCs w:val="24"/>
        </w:rPr>
        <w:fldChar w:fldCharType="begin"/>
      </w:r>
      <w:r>
        <w:rPr>
          <w:rFonts w:eastAsia="黑体"/>
          <w:szCs w:val="24"/>
        </w:rPr>
        <w:instrText xml:space="preserve"> HYPERLINK \l _Toc9109 </w:instrText>
      </w:r>
      <w:r>
        <w:rPr>
          <w:rFonts w:eastAsia="黑体"/>
          <w:szCs w:val="24"/>
        </w:rPr>
        <w:fldChar w:fldCharType="separate"/>
      </w:r>
      <w:r>
        <w:rPr>
          <w:rFonts w:hint="eastAsia" w:hAnsi="宋体" w:cs="宋体"/>
          <w:bCs/>
          <w:spacing w:val="-2"/>
          <w:szCs w:val="24"/>
        </w:rPr>
        <w:t>十、其他资料</w:t>
      </w:r>
      <w:r>
        <w:tab/>
      </w:r>
      <w:r>
        <w:fldChar w:fldCharType="begin"/>
      </w:r>
      <w:r>
        <w:instrText xml:space="preserve"> PAGEREF _Toc9109 \h </w:instrText>
      </w:r>
      <w:r>
        <w:fldChar w:fldCharType="separate"/>
      </w:r>
      <w:r>
        <w:t>51</w:t>
      </w:r>
      <w:r>
        <w:fldChar w:fldCharType="end"/>
      </w:r>
      <w:r>
        <w:rPr>
          <w:rFonts w:eastAsia="黑体"/>
          <w:szCs w:val="24"/>
        </w:rPr>
        <w:fldChar w:fldCharType="end"/>
      </w:r>
    </w:p>
    <w:p>
      <w:pPr>
        <w:spacing w:line="360" w:lineRule="auto"/>
        <w:ind w:firstLine="435"/>
        <w:jc w:val="center"/>
      </w:pPr>
      <w:r>
        <w:rPr>
          <w:rFonts w:eastAsia="黑体"/>
          <w:szCs w:val="24"/>
        </w:rPr>
        <w:fldChar w:fldCharType="end"/>
      </w:r>
    </w:p>
    <w:p>
      <w:pPr>
        <w:pStyle w:val="3"/>
        <w:numPr>
          <w:ilvl w:val="0"/>
          <w:numId w:val="1"/>
        </w:numPr>
        <w:ind w:firstLine="420"/>
        <w:rPr>
          <w:b w:val="0"/>
          <w:szCs w:val="24"/>
        </w:rPr>
      </w:pPr>
      <w:r>
        <w:br w:type="page"/>
      </w:r>
      <w:bookmarkStart w:id="0" w:name="_Toc50128746"/>
      <w:bookmarkStart w:id="1" w:name="_Toc462215727"/>
      <w:r>
        <w:rPr>
          <w:rFonts w:hint="eastAsia"/>
        </w:rPr>
        <w:t xml:space="preserve"> </w:t>
      </w:r>
      <w:bookmarkStart w:id="2" w:name="_Toc10240"/>
      <w:r>
        <w:rPr>
          <w:rFonts w:hint="eastAsia"/>
        </w:rPr>
        <w:t>磋商邀请（磋商公告）</w:t>
      </w:r>
      <w:bookmarkEnd w:id="0"/>
      <w:bookmarkEnd w:id="1"/>
      <w:bookmarkEnd w:id="2"/>
    </w:p>
    <w:p>
      <w:pPr>
        <w:pStyle w:val="24"/>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庐阳文旅集团审计定点服务单位</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合肥庐阳文化旅游发展集团有限公司</w:t>
      </w:r>
      <w:r>
        <w:rPr>
          <w:rFonts w:hint="eastAsia" w:ascii="宋体" w:hAnsi="宋体" w:eastAsia="宋体"/>
          <w:kern w:val="2"/>
          <w:u w:val="single"/>
        </w:rPr>
        <w:t xml:space="preserve"> </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 xml:space="preserve">1.项目编号：2024GW0009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庐阳文旅集团审计定点服务单位</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ascii="宋体" w:hAnsi="宋体" w:eastAsia="宋体" w:cs="宋体"/>
          <w:color w:val="auto"/>
          <w:sz w:val="24"/>
          <w:szCs w:val="24"/>
          <w:highlight w:val="none"/>
        </w:rPr>
        <w:t>庐阳区，具体地点以业主指定为准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w:t>
      </w:r>
      <w:r>
        <w:rPr>
          <w:rFonts w:hint="eastAsia" w:hAnsi="宋体"/>
          <w:szCs w:val="24"/>
          <w:lang w:eastAsia="zh-CN"/>
        </w:rPr>
        <w:t>合肥庐阳文化旅游发展集团有限公司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5.项目概况：本项目拟采购1家工程造价咨询公司，完成</w:t>
      </w:r>
      <w:r>
        <w:rPr>
          <w:rFonts w:hint="eastAsia" w:hAnsi="宋体"/>
          <w:szCs w:val="24"/>
          <w:lang w:val="en-US" w:eastAsia="zh-CN"/>
        </w:rPr>
        <w:t>招标人指定</w:t>
      </w:r>
      <w:r>
        <w:rPr>
          <w:rFonts w:hint="eastAsia" w:hAnsi="宋体"/>
          <w:szCs w:val="24"/>
        </w:rPr>
        <w:t>项目全过程跟踪审计、结算初审、结算复审等工作任务</w:t>
      </w:r>
      <w:r>
        <w:rPr>
          <w:rFonts w:hint="eastAsia" w:ascii="宋体" w:hAnsi="宋体" w:eastAsia="宋体" w:cs="宋体"/>
          <w:color w:val="auto"/>
          <w:sz w:val="24"/>
          <w:szCs w:val="24"/>
          <w:highlight w:val="none"/>
          <w:lang w:val="en-US" w:eastAsia="zh-CN"/>
        </w:rPr>
        <w:t>。</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hAnsi="宋体"/>
          <w:szCs w:val="24"/>
          <w:lang w:val="en-US" w:eastAsia="zh-CN"/>
        </w:rPr>
        <w:t>28</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default"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Ansi="宋体"/>
          <w:bCs/>
          <w:color w:val="auto"/>
          <w:szCs w:val="24"/>
          <w:highlight w:val="yellow"/>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5</w:t>
      </w:r>
      <w:r>
        <w:rPr>
          <w:rFonts w:hint="eastAsia" w:hAnsi="宋体"/>
          <w:bCs/>
          <w:color w:val="auto"/>
          <w:szCs w:val="24"/>
        </w:rPr>
        <w:t>月</w:t>
      </w:r>
      <w:r>
        <w:rPr>
          <w:rFonts w:hint="eastAsia" w:hAnsi="宋体"/>
          <w:bCs/>
          <w:color w:val="auto"/>
          <w:szCs w:val="24"/>
          <w:lang w:val="en-US" w:eastAsia="zh-CN"/>
        </w:rPr>
        <w:t>17</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w:t>
      </w:r>
      <w:r>
        <w:rPr>
          <w:rFonts w:hint="eastAsia" w:hAnsi="宋体"/>
          <w:bCs/>
          <w:color w:val="auto"/>
          <w:szCs w:val="24"/>
          <w:lang w:val="en-US" w:eastAsia="zh-CN"/>
        </w:rPr>
        <w:t>00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5</w:t>
      </w:r>
      <w:r>
        <w:rPr>
          <w:rFonts w:hint="eastAsia" w:hAnsi="宋体"/>
          <w:bCs/>
          <w:color w:val="auto"/>
          <w:szCs w:val="24"/>
        </w:rPr>
        <w:t>月</w:t>
      </w:r>
      <w:r>
        <w:rPr>
          <w:rFonts w:hint="eastAsia" w:hAnsi="宋体"/>
          <w:bCs/>
          <w:color w:val="auto"/>
          <w:szCs w:val="24"/>
          <w:lang w:val="en-US" w:eastAsia="zh-CN"/>
        </w:rPr>
        <w:t>27</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w:t>
      </w:r>
      <w:r>
        <w:rPr>
          <w:rFonts w:hint="eastAsia" w:hAnsi="宋体"/>
          <w:bCs/>
          <w:color w:val="auto"/>
          <w:szCs w:val="24"/>
          <w:lang w:val="en-US" w:eastAsia="zh-CN"/>
        </w:rPr>
        <w:t xml:space="preserve">00 </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5</w:t>
      </w:r>
      <w:r>
        <w:rPr>
          <w:rFonts w:hint="eastAsia" w:hAnsi="宋体"/>
          <w:bCs/>
          <w:color w:val="auto"/>
          <w:szCs w:val="24"/>
        </w:rPr>
        <w:t>月</w:t>
      </w:r>
      <w:r>
        <w:rPr>
          <w:rFonts w:hint="eastAsia" w:hAnsi="宋体"/>
          <w:bCs/>
          <w:color w:val="auto"/>
          <w:szCs w:val="24"/>
          <w:lang w:val="en-US" w:eastAsia="zh-CN"/>
        </w:rPr>
        <w:t>27</w:t>
      </w:r>
      <w:r>
        <w:rPr>
          <w:rFonts w:hint="eastAsia" w:hAnsi="宋体"/>
          <w:bCs/>
          <w:color w:val="auto"/>
          <w:szCs w:val="24"/>
        </w:rPr>
        <w:t>日</w:t>
      </w:r>
      <w:r>
        <w:rPr>
          <w:rFonts w:hint="eastAsia" w:hAnsi="宋体"/>
          <w:bCs/>
          <w:color w:val="auto"/>
          <w:szCs w:val="24"/>
          <w:lang w:val="en-US" w:eastAsia="zh-CN"/>
        </w:rPr>
        <w:t>11</w:t>
      </w:r>
      <w:r>
        <w:rPr>
          <w:rFonts w:hint="eastAsia" w:hAnsi="宋体"/>
          <w:bCs/>
          <w:color w:val="auto"/>
          <w:szCs w:val="24"/>
        </w:rPr>
        <w:t>:</w:t>
      </w:r>
      <w:r>
        <w:rPr>
          <w:rFonts w:hint="eastAsia" w:hAnsi="宋体"/>
          <w:bCs/>
          <w:color w:val="auto"/>
          <w:szCs w:val="24"/>
          <w:lang w:val="en-US" w:eastAsia="zh-CN"/>
        </w:rPr>
        <w:t>00</w:t>
      </w:r>
      <w:r>
        <w:rPr>
          <w:rFonts w:hint="eastAsia" w:hAnsi="宋体"/>
          <w:bCs/>
          <w:color w:val="auto"/>
          <w:szCs w:val="24"/>
          <w:lang w:val="en-US" w:eastAsia="zh-CN"/>
        </w:rPr>
        <w:t xml:space="preserve">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18"/>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18"/>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18"/>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18"/>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18"/>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合肥庐阳文化旅游发展集团有限公司</w:t>
      </w:r>
      <w:r>
        <w:rPr>
          <w:rFonts w:hint="eastAsia" w:hAnsi="宋体"/>
          <w:bCs/>
          <w:szCs w:val="18"/>
        </w:rPr>
        <w:t xml:space="preserve"> </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3"/>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pPr>
      <w:bookmarkStart w:id="3" w:name="_Toc10627"/>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19"/>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default" w:eastAsia="宋体"/>
                <w:lang w:val="en-US" w:eastAsia="zh-CN"/>
              </w:rPr>
            </w:pPr>
            <w:r>
              <w:rPr>
                <w:rFonts w:hint="default" w:eastAsia="宋体"/>
                <w:lang w:val="en-US" w:eastAsia="zh-CN"/>
              </w:rPr>
              <w:t>合同签定之日起至项目总结算金额达到项目预算金额为止。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highlight w:val="none"/>
              </w:rPr>
            </w:pPr>
            <w:r>
              <w:rPr>
                <w:rFonts w:hint="eastAsia"/>
                <w:szCs w:val="24"/>
                <w:highlight w:val="none"/>
              </w:rPr>
              <w:t>踏勘现场</w:t>
            </w:r>
          </w:p>
        </w:tc>
        <w:tc>
          <w:tcPr>
            <w:tcW w:w="6051" w:type="dxa"/>
            <w:vAlign w:val="center"/>
          </w:tcPr>
          <w:p>
            <w:pPr>
              <w:snapToGrid w:val="0"/>
              <w:rPr>
                <w:rFonts w:hint="eastAsia"/>
                <w:szCs w:val="24"/>
                <w:highlight w:val="none"/>
              </w:rPr>
            </w:pPr>
            <w:r>
              <w:rPr>
                <w:rFonts w:hint="eastAsia"/>
                <w:szCs w:val="24"/>
                <w:highlight w:val="none"/>
              </w:rPr>
              <w:sym w:font="Wingdings 2" w:char="0052"/>
            </w:r>
            <w:r>
              <w:rPr>
                <w:rFonts w:hint="eastAsia"/>
                <w:szCs w:val="24"/>
                <w:highlight w:val="none"/>
              </w:rPr>
              <w:t>不组织，投标人自行踏勘</w:t>
            </w:r>
          </w:p>
          <w:p>
            <w:pPr>
              <w:snapToGrid w:val="0"/>
              <w:rPr>
                <w:szCs w:val="24"/>
                <w:highlight w:val="none"/>
              </w:rPr>
            </w:pPr>
            <w:r>
              <w:rPr>
                <w:rFonts w:hint="eastAsia"/>
                <w:szCs w:val="24"/>
                <w:highlight w:val="none"/>
              </w:rPr>
              <w:t>□组织，踏勘时间：</w:t>
            </w:r>
          </w:p>
          <w:p>
            <w:pPr>
              <w:snapToGrid w:val="0"/>
              <w:rPr>
                <w:szCs w:val="24"/>
                <w:highlight w:val="none"/>
              </w:rPr>
            </w:pPr>
            <w:r>
              <w:rPr>
                <w:rFonts w:hint="eastAsia"/>
                <w:szCs w:val="24"/>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5</w:t>
            </w:r>
            <w:r>
              <w:rPr>
                <w:rFonts w:hint="eastAsia"/>
                <w:color w:val="auto"/>
              </w:rPr>
              <w:t>月</w:t>
            </w:r>
            <w:r>
              <w:rPr>
                <w:rFonts w:hint="eastAsia"/>
                <w:color w:val="auto"/>
                <w:lang w:val="en-US" w:eastAsia="zh-CN"/>
              </w:rPr>
              <w:t>24</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rFonts w:hint="default" w:eastAsia="宋体"/>
                <w:bCs/>
                <w:snapToGrid w:val="0"/>
                <w:color w:val="FF0000"/>
                <w:szCs w:val="24"/>
                <w:lang w:val="en-US" w:eastAsia="zh-CN"/>
              </w:rPr>
            </w:pPr>
            <w:r>
              <w:rPr>
                <w:rFonts w:hint="eastAsia"/>
                <w:bCs/>
                <w:snapToGrid w:val="0"/>
                <w:color w:val="auto"/>
                <w:szCs w:val="24"/>
              </w:rPr>
              <w:sym w:font="Wingdings 2" w:char="0052"/>
            </w:r>
            <w:r>
              <w:rPr>
                <w:rFonts w:hint="eastAsia"/>
                <w:bCs/>
                <w:snapToGrid w:val="0"/>
                <w:color w:val="auto"/>
                <w:szCs w:val="24"/>
              </w:rPr>
              <w:t>有，</w:t>
            </w:r>
            <w:r>
              <w:rPr>
                <w:rFonts w:hint="eastAsia"/>
                <w:b/>
                <w:bCs w:val="0"/>
                <w:snapToGrid w:val="0"/>
                <w:color w:val="auto"/>
                <w:szCs w:val="24"/>
                <w:lang w:val="en-US" w:eastAsia="zh-CN"/>
              </w:rPr>
              <w:t>全</w:t>
            </w:r>
            <w:r>
              <w:rPr>
                <w:rFonts w:hint="eastAsia"/>
                <w:b/>
                <w:bCs w:val="0"/>
              </w:rPr>
              <w:t>过程造价咨询服务费</w:t>
            </w:r>
            <w:r>
              <w:rPr>
                <w:rFonts w:hint="eastAsia"/>
                <w:b/>
                <w:bCs w:val="0"/>
                <w:snapToGrid w:val="0"/>
                <w:color w:val="auto"/>
                <w:szCs w:val="24"/>
              </w:rPr>
              <w:t>最高投标</w:t>
            </w:r>
            <w:r>
              <w:rPr>
                <w:rFonts w:hint="eastAsia"/>
                <w:b/>
                <w:bCs w:val="0"/>
                <w:snapToGrid w:val="0"/>
                <w:color w:val="auto"/>
                <w:szCs w:val="24"/>
                <w:lang w:val="en-US" w:eastAsia="zh-CN"/>
              </w:rPr>
              <w:t>费率</w:t>
            </w:r>
            <w:r>
              <w:rPr>
                <w:rFonts w:hint="eastAsia" w:hAnsi="宋体"/>
                <w:b/>
                <w:bCs w:val="0"/>
                <w:szCs w:val="24"/>
                <w:lang w:val="en-US" w:eastAsia="zh-CN"/>
              </w:rPr>
              <w:t>0.8%，其他委托事项，投标费率不得超过50%。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hAnsi="宋体" w:cs="@仿宋_GB2312"/>
                <w:bCs/>
                <w:kern w:val="2"/>
                <w:szCs w:val="18"/>
              </w:rPr>
              <w:t>费率精确至小数点后两位，如超过两位的直接舍去，如39.047%按39.04%计；若不足两位，末位默认为零，如38%按38.00%计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19"/>
              <w:tblpPr w:leftFromText="180" w:rightFromText="180" w:vertAnchor="text" w:horzAnchor="page" w:tblpX="-20" w:tblpY="84"/>
              <w:tblOverlap w:val="never"/>
              <w:tblW w:w="5835" w:type="dxa"/>
              <w:tblInd w:w="0" w:type="dxa"/>
              <w:tblLayout w:type="fixed"/>
              <w:tblCellMar>
                <w:top w:w="0" w:type="dxa"/>
                <w:left w:w="108" w:type="dxa"/>
                <w:bottom w:w="0" w:type="dxa"/>
                <w:right w:w="108" w:type="dxa"/>
              </w:tblCellMar>
            </w:tblPr>
            <w:tblGrid>
              <w:gridCol w:w="5835"/>
            </w:tblGrid>
            <w:tr>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numPr>
                <w:ilvl w:val="0"/>
                <w:numId w:val="2"/>
              </w:numPr>
              <w:snapToGrid w:val="0"/>
              <w:ind w:left="-84" w:leftChars="-35"/>
              <w:rPr>
                <w:rFonts w:hint="eastAsia"/>
                <w:b/>
                <w:bCs/>
                <w:lang w:val="en-US" w:eastAsia="zh-CN"/>
              </w:rPr>
            </w:pPr>
            <w:r>
              <w:rPr>
                <w:rFonts w:hint="eastAsia"/>
                <w:b/>
                <w:bCs/>
                <w:lang w:val="en-US" w:eastAsia="zh-CN"/>
              </w:rPr>
              <w:t>账户名称：合肥庐阳文化旅游发展集团有限公司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7"/>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7"/>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5"/>
        <w:adjustRightInd w:val="0"/>
        <w:snapToGrid w:val="0"/>
        <w:spacing w:line="400" w:lineRule="exact"/>
        <w:jc w:val="left"/>
        <w:rPr>
          <w:rFonts w:ascii="Times New Roman" w:hAnsi="Times New Roman"/>
          <w:bCs/>
          <w:snapToGrid w:val="0"/>
          <w:kern w:val="0"/>
          <w:szCs w:val="21"/>
        </w:rPr>
      </w:pPr>
      <w:bookmarkStart w:id="5" w:name="_Toc460226994"/>
      <w:bookmarkStart w:id="6" w:name="_Toc460226725"/>
      <w:bookmarkStart w:id="7" w:name="_Toc460660067"/>
      <w:bookmarkStart w:id="8" w:name="_Toc184635071"/>
    </w:p>
    <w:p>
      <w:pPr>
        <w:pStyle w:val="25"/>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3"/>
        <w:spacing w:line="500" w:lineRule="exact"/>
        <w:rPr>
          <w:rFonts w:eastAsia="宋体"/>
          <w:sz w:val="24"/>
          <w:szCs w:val="24"/>
        </w:rPr>
      </w:pPr>
      <w:bookmarkStart w:id="9" w:name="_Toc24506"/>
      <w:r>
        <w:rPr>
          <w:rFonts w:hint="eastAsia" w:eastAsia="宋体"/>
        </w:rPr>
        <w:t>投标人须知正文</w:t>
      </w:r>
      <w:bookmarkEnd w:id="9"/>
    </w:p>
    <w:p>
      <w:pPr>
        <w:pStyle w:val="7"/>
        <w:spacing w:line="500" w:lineRule="exact"/>
        <w:jc w:val="both"/>
        <w:rPr>
          <w:rFonts w:hAnsi="宋体"/>
          <w:sz w:val="28"/>
        </w:rPr>
      </w:pPr>
      <w:bookmarkStart w:id="10" w:name="_Hlt509649998"/>
      <w:bookmarkEnd w:id="10"/>
      <w:bookmarkStart w:id="11" w:name="_Hlt509650126"/>
      <w:bookmarkEnd w:id="11"/>
      <w:bookmarkStart w:id="12" w:name="_Hlt509649722"/>
      <w:bookmarkEnd w:id="12"/>
      <w:bookmarkStart w:id="13" w:name="_Hlt509650686"/>
      <w:bookmarkEnd w:id="13"/>
      <w:bookmarkStart w:id="14" w:name="_Hlt509650955"/>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7"/>
        <w:spacing w:line="500" w:lineRule="exact"/>
        <w:jc w:val="both"/>
        <w:rPr>
          <w:rFonts w:hAnsi="宋体"/>
          <w:sz w:val="28"/>
        </w:rPr>
      </w:pPr>
      <w:bookmarkStart w:id="17" w:name="_Toc50128750"/>
      <w:r>
        <w:rPr>
          <w:rFonts w:hint="eastAsia" w:hAnsi="宋体"/>
          <w:sz w:val="28"/>
        </w:rPr>
        <w:t>二．磋商文件</w:t>
      </w:r>
      <w:bookmarkEnd w:id="17"/>
      <w:bookmarkStart w:id="18" w:name="_Hlt509649791"/>
      <w:bookmarkEnd w:id="18"/>
      <w:bookmarkStart w:id="19" w:name="_Hlt509650361"/>
      <w:bookmarkEnd w:id="19"/>
      <w:bookmarkStart w:id="20" w:name="_Hlt509649930"/>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7"/>
        <w:spacing w:line="500" w:lineRule="exact"/>
        <w:jc w:val="both"/>
        <w:rPr>
          <w:rFonts w:hAnsi="宋体"/>
          <w:sz w:val="28"/>
        </w:rPr>
      </w:pPr>
      <w:bookmarkStart w:id="23" w:name="_Hlt509650697"/>
      <w:bookmarkEnd w:id="23"/>
      <w:bookmarkStart w:id="24" w:name="_Hlt509649724"/>
      <w:bookmarkEnd w:id="24"/>
      <w:bookmarkStart w:id="25" w:name="_Hlt510342861"/>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6"/>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7"/>
        <w:ind w:firstLine="628"/>
        <w:jc w:val="both"/>
        <w:rPr>
          <w:rFonts w:hAnsi="宋体"/>
          <w:sz w:val="28"/>
        </w:rPr>
      </w:pPr>
      <w:bookmarkStart w:id="28" w:name="_Hlt509650572"/>
      <w:bookmarkEnd w:id="28"/>
      <w:bookmarkStart w:id="29" w:name="_Hlt509649294"/>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7"/>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7"/>
        <w:ind w:firstLine="628"/>
        <w:jc w:val="both"/>
        <w:rPr>
          <w:rFonts w:hAnsi="宋体"/>
          <w:sz w:val="28"/>
        </w:rPr>
      </w:pPr>
      <w:bookmarkStart w:id="36" w:name="_Toc460487454"/>
      <w:bookmarkStart w:id="37" w:name="_Toc522466828"/>
      <w:bookmarkStart w:id="38" w:name="_Toc50128754"/>
      <w:bookmarkStart w:id="39" w:name="_Toc477793061"/>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27"/>
        <w:snapToGrid w:val="0"/>
        <w:ind w:left="775" w:leftChars="228" w:hanging="228" w:hangingChars="95"/>
      </w:pPr>
      <w:r>
        <w:rPr>
          <w:rFonts w:hint="eastAsia"/>
        </w:rPr>
        <w:t>28</w:t>
      </w:r>
      <w:r>
        <w:t>.1</w:t>
      </w:r>
      <w:r>
        <w:rPr>
          <w:rFonts w:hint="eastAsia"/>
        </w:rPr>
        <w:t>招标人将以中标通知书形式通知中标人，其投标已被接受。</w:t>
      </w:r>
    </w:p>
    <w:p>
      <w:pPr>
        <w:pStyle w:val="27"/>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rPr>
          <w:rFonts w:hint="eastAsia" w:ascii="黑体" w:hAnsi="黑体"/>
          <w:b w:val="0"/>
          <w:sz w:val="24"/>
          <w:szCs w:val="24"/>
        </w:rPr>
      </w:pPr>
      <w:r>
        <w:rPr>
          <w:rFonts w:hint="eastAsia" w:ascii="黑体" w:hAnsi="黑体"/>
          <w:b w:val="0"/>
          <w:sz w:val="24"/>
          <w:szCs w:val="24"/>
        </w:rPr>
        <w:br w:type="page"/>
      </w:r>
    </w:p>
    <w:p>
      <w:pPr>
        <w:pStyle w:val="3"/>
        <w:pageBreakBefore w:val="0"/>
        <w:widowControl w:val="0"/>
        <w:kinsoku/>
        <w:wordWrap/>
        <w:overflowPunct/>
        <w:topLinePunct w:val="0"/>
        <w:bidi w:val="0"/>
        <w:spacing w:line="560" w:lineRule="exact"/>
        <w:textAlignment w:val="auto"/>
        <w:rPr>
          <w:rFonts w:ascii="黑体" w:hAnsi="黑体"/>
          <w:b w:val="0"/>
          <w:sz w:val="24"/>
          <w:szCs w:val="24"/>
        </w:rPr>
      </w:pPr>
      <w:bookmarkStart w:id="40" w:name="_Toc28679"/>
      <w:r>
        <w:rPr>
          <w:rFonts w:hint="eastAsia" w:ascii="黑体" w:hAnsi="黑体"/>
          <w:b w:val="0"/>
          <w:sz w:val="24"/>
          <w:szCs w:val="24"/>
        </w:rPr>
        <w:t>第三章 招标需求</w:t>
      </w:r>
      <w:bookmarkEnd w:id="40"/>
    </w:p>
    <w:p>
      <w:pPr>
        <w:pageBreakBefore w:val="0"/>
        <w:widowControl w:val="0"/>
        <w:kinsoku/>
        <w:wordWrap/>
        <w:overflowPunct/>
        <w:topLinePunct w:val="0"/>
        <w:bidi w:val="0"/>
        <w:spacing w:line="560" w:lineRule="exact"/>
        <w:ind w:firstLine="482" w:firstLineChars="200"/>
        <w:jc w:val="both"/>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 xml:space="preserve">一、项目概况 </w:t>
      </w:r>
    </w:p>
    <w:p>
      <w:pPr>
        <w:pageBreakBefore w:val="0"/>
        <w:widowControl w:val="0"/>
        <w:kinsoku/>
        <w:wordWrap/>
        <w:overflowPunct/>
        <w:topLinePunct w:val="0"/>
        <w:bidi w:val="0"/>
        <w:spacing w:line="560" w:lineRule="exact"/>
        <w:ind w:firstLine="482" w:firstLineChars="200"/>
        <w:textAlignment w:val="auto"/>
        <w:rPr>
          <w:rFonts w:hint="eastAsia" w:hAnsi="宋体" w:cs="宋体"/>
          <w:b/>
          <w:bCs/>
          <w:sz w:val="24"/>
          <w:szCs w:val="24"/>
        </w:rPr>
      </w:pPr>
      <w:r>
        <w:rPr>
          <w:rFonts w:hint="eastAsia" w:hAnsi="宋体" w:cs="宋体"/>
          <w:b/>
          <w:bCs/>
          <w:sz w:val="24"/>
          <w:szCs w:val="24"/>
        </w:rPr>
        <w:t>采购需求前附表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948"/>
        <w:gridCol w:w="5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753" w:type="dxa"/>
            <w:noWrap w:val="0"/>
            <w:vAlign w:val="center"/>
          </w:tcPr>
          <w:p>
            <w:pPr>
              <w:pageBreakBefore w:val="0"/>
              <w:widowControl w:val="0"/>
              <w:kinsoku/>
              <w:wordWrap/>
              <w:overflowPunct/>
              <w:topLinePunct w:val="0"/>
              <w:bidi w:val="0"/>
              <w:spacing w:line="560" w:lineRule="exact"/>
              <w:jc w:val="center"/>
              <w:textAlignment w:val="auto"/>
              <w:rPr>
                <w:rFonts w:hint="eastAsia" w:hAnsi="宋体" w:cs="宋体"/>
                <w:b/>
                <w:bCs/>
                <w:sz w:val="24"/>
                <w:szCs w:val="24"/>
              </w:rPr>
            </w:pPr>
            <w:r>
              <w:rPr>
                <w:rFonts w:hint="eastAsia" w:hAnsi="宋体" w:cs="宋体"/>
                <w:b/>
                <w:bCs/>
                <w:sz w:val="24"/>
                <w:szCs w:val="24"/>
              </w:rPr>
              <w:t>序号</w:t>
            </w:r>
          </w:p>
        </w:tc>
        <w:tc>
          <w:tcPr>
            <w:tcW w:w="1948" w:type="dxa"/>
            <w:noWrap w:val="0"/>
            <w:vAlign w:val="center"/>
          </w:tcPr>
          <w:p>
            <w:pPr>
              <w:pageBreakBefore w:val="0"/>
              <w:widowControl w:val="0"/>
              <w:kinsoku/>
              <w:wordWrap/>
              <w:overflowPunct/>
              <w:topLinePunct w:val="0"/>
              <w:bidi w:val="0"/>
              <w:spacing w:line="560" w:lineRule="exact"/>
              <w:jc w:val="center"/>
              <w:textAlignment w:val="auto"/>
              <w:rPr>
                <w:rFonts w:hint="eastAsia" w:hAnsi="宋体" w:cs="宋体"/>
                <w:b/>
                <w:bCs/>
                <w:sz w:val="24"/>
                <w:szCs w:val="24"/>
              </w:rPr>
            </w:pPr>
            <w:r>
              <w:rPr>
                <w:rFonts w:hint="eastAsia" w:hAnsi="宋体" w:cs="宋体"/>
                <w:b/>
                <w:bCs/>
                <w:sz w:val="24"/>
                <w:szCs w:val="24"/>
              </w:rPr>
              <w:t>条款名称</w:t>
            </w:r>
          </w:p>
        </w:tc>
        <w:tc>
          <w:tcPr>
            <w:tcW w:w="5638" w:type="dxa"/>
            <w:noWrap w:val="0"/>
            <w:vAlign w:val="center"/>
          </w:tcPr>
          <w:p>
            <w:pPr>
              <w:pageBreakBefore w:val="0"/>
              <w:widowControl w:val="0"/>
              <w:kinsoku/>
              <w:wordWrap/>
              <w:overflowPunct/>
              <w:topLinePunct w:val="0"/>
              <w:bidi w:val="0"/>
              <w:spacing w:line="560" w:lineRule="exact"/>
              <w:jc w:val="center"/>
              <w:textAlignment w:val="auto"/>
              <w:rPr>
                <w:rFonts w:hint="eastAsia" w:hAnsi="宋体" w:cs="宋体"/>
                <w:b/>
                <w:bCs/>
                <w:sz w:val="24"/>
                <w:szCs w:val="24"/>
              </w:rPr>
            </w:pPr>
            <w:r>
              <w:rPr>
                <w:rFonts w:hint="eastAsia" w:hAnsi="宋体" w:cs="宋体"/>
                <w:b/>
                <w:bCs/>
                <w:sz w:val="24"/>
                <w:szCs w:val="24"/>
              </w:rPr>
              <w:t>内容、说明及要求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753" w:type="dxa"/>
            <w:noWrap w:val="0"/>
            <w:vAlign w:val="center"/>
          </w:tcPr>
          <w:p>
            <w:pPr>
              <w:pageBreakBefore w:val="0"/>
              <w:widowControl w:val="0"/>
              <w:kinsoku/>
              <w:wordWrap/>
              <w:overflowPunct/>
              <w:topLinePunct w:val="0"/>
              <w:bidi w:val="0"/>
              <w:spacing w:line="560" w:lineRule="exact"/>
              <w:jc w:val="center"/>
              <w:textAlignment w:val="auto"/>
              <w:rPr>
                <w:rFonts w:hint="eastAsia" w:hAnsi="宋体" w:eastAsia="宋体" w:cs="宋体"/>
                <w:sz w:val="24"/>
                <w:szCs w:val="24"/>
                <w:lang w:eastAsia="zh-CN"/>
              </w:rPr>
            </w:pPr>
            <w:r>
              <w:rPr>
                <w:rFonts w:hint="eastAsia" w:hAnsi="宋体" w:cs="宋体"/>
                <w:sz w:val="24"/>
                <w:szCs w:val="24"/>
                <w:lang w:val="en-US" w:eastAsia="zh-CN"/>
              </w:rPr>
              <w:t>1</w:t>
            </w:r>
          </w:p>
        </w:tc>
        <w:tc>
          <w:tcPr>
            <w:tcW w:w="1948" w:type="dxa"/>
            <w:noWrap w:val="0"/>
            <w:vAlign w:val="center"/>
          </w:tcPr>
          <w:p>
            <w:pPr>
              <w:pageBreakBefore w:val="0"/>
              <w:widowControl w:val="0"/>
              <w:kinsoku/>
              <w:wordWrap/>
              <w:overflowPunct/>
              <w:topLinePunct w:val="0"/>
              <w:bidi w:val="0"/>
              <w:spacing w:line="560" w:lineRule="exact"/>
              <w:jc w:val="center"/>
              <w:textAlignment w:val="auto"/>
              <w:rPr>
                <w:rFonts w:hint="eastAsia" w:hAnsi="宋体" w:cs="宋体"/>
                <w:sz w:val="24"/>
                <w:szCs w:val="24"/>
              </w:rPr>
            </w:pPr>
            <w:r>
              <w:rPr>
                <w:rFonts w:hint="eastAsia" w:hAnsi="宋体" w:cs="宋体"/>
                <w:sz w:val="24"/>
                <w:szCs w:val="24"/>
              </w:rPr>
              <w:t>服务地点</w:t>
            </w:r>
          </w:p>
        </w:tc>
        <w:tc>
          <w:tcPr>
            <w:tcW w:w="5638" w:type="dxa"/>
            <w:noWrap w:val="0"/>
            <w:vAlign w:val="center"/>
          </w:tcPr>
          <w:p>
            <w:pPr>
              <w:pageBreakBefore w:val="0"/>
              <w:widowControl w:val="0"/>
              <w:kinsoku/>
              <w:wordWrap/>
              <w:overflowPunct/>
              <w:topLinePunct w:val="0"/>
              <w:bidi w:val="0"/>
              <w:spacing w:line="560" w:lineRule="exact"/>
              <w:textAlignment w:val="auto"/>
              <w:rPr>
                <w:rFonts w:hint="eastAsia" w:hAnsi="宋体" w:cs="宋体"/>
                <w:sz w:val="24"/>
                <w:szCs w:val="24"/>
              </w:rPr>
            </w:pPr>
            <w:r>
              <w:rPr>
                <w:rFonts w:hint="eastAsia" w:hAnsi="宋体" w:cs="宋体"/>
                <w:sz w:val="24"/>
                <w:szCs w:val="24"/>
              </w:rPr>
              <w:t>庐阳区，具体地点以业主指定为准。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753" w:type="dxa"/>
            <w:noWrap w:val="0"/>
            <w:vAlign w:val="center"/>
          </w:tcPr>
          <w:p>
            <w:pPr>
              <w:pageBreakBefore w:val="0"/>
              <w:widowControl w:val="0"/>
              <w:kinsoku/>
              <w:wordWrap/>
              <w:overflowPunct/>
              <w:topLinePunct w:val="0"/>
              <w:bidi w:val="0"/>
              <w:spacing w:line="560" w:lineRule="exact"/>
              <w:jc w:val="center"/>
              <w:textAlignment w:val="auto"/>
              <w:rPr>
                <w:rFonts w:hint="eastAsia" w:hAnsi="宋体" w:eastAsia="宋体" w:cs="宋体"/>
                <w:sz w:val="24"/>
                <w:szCs w:val="24"/>
                <w:lang w:eastAsia="zh-CN"/>
              </w:rPr>
            </w:pPr>
            <w:r>
              <w:rPr>
                <w:rFonts w:hint="eastAsia" w:hAnsi="宋体" w:cs="宋体"/>
                <w:sz w:val="24"/>
                <w:szCs w:val="24"/>
                <w:lang w:val="en-US" w:eastAsia="zh-CN"/>
              </w:rPr>
              <w:t>2</w:t>
            </w:r>
          </w:p>
        </w:tc>
        <w:tc>
          <w:tcPr>
            <w:tcW w:w="1948" w:type="dxa"/>
            <w:noWrap w:val="0"/>
            <w:vAlign w:val="center"/>
          </w:tcPr>
          <w:p>
            <w:pPr>
              <w:pageBreakBefore w:val="0"/>
              <w:widowControl w:val="0"/>
              <w:kinsoku/>
              <w:wordWrap/>
              <w:overflowPunct/>
              <w:topLinePunct w:val="0"/>
              <w:bidi w:val="0"/>
              <w:spacing w:line="560" w:lineRule="exact"/>
              <w:jc w:val="center"/>
              <w:textAlignment w:val="auto"/>
              <w:rPr>
                <w:rFonts w:hint="eastAsia" w:hAnsi="宋体" w:cs="宋体"/>
                <w:sz w:val="24"/>
                <w:szCs w:val="24"/>
              </w:rPr>
            </w:pPr>
            <w:r>
              <w:rPr>
                <w:rFonts w:hint="eastAsia" w:hAnsi="宋体" w:cs="宋体"/>
                <w:sz w:val="24"/>
                <w:szCs w:val="24"/>
              </w:rPr>
              <w:t>服务期限</w:t>
            </w:r>
          </w:p>
        </w:tc>
        <w:tc>
          <w:tcPr>
            <w:tcW w:w="5638" w:type="dxa"/>
            <w:noWrap w:val="0"/>
            <w:vAlign w:val="center"/>
          </w:tcPr>
          <w:p>
            <w:pPr>
              <w:pageBreakBefore w:val="0"/>
              <w:widowControl w:val="0"/>
              <w:kinsoku/>
              <w:wordWrap/>
              <w:overflowPunct/>
              <w:topLinePunct w:val="0"/>
              <w:bidi w:val="0"/>
              <w:spacing w:line="560" w:lineRule="exact"/>
              <w:textAlignment w:val="auto"/>
              <w:rPr>
                <w:rFonts w:hint="default" w:hAnsi="宋体" w:eastAsia="宋体" w:cs="宋体"/>
                <w:sz w:val="24"/>
                <w:szCs w:val="24"/>
                <w:highlight w:val="none"/>
                <w:lang w:val="en-US" w:eastAsia="zh-CN"/>
              </w:rPr>
            </w:pPr>
            <w:r>
              <w:rPr>
                <w:rFonts w:hint="eastAsia" w:hAnsi="宋体" w:cs="宋体"/>
                <w:sz w:val="24"/>
                <w:szCs w:val="24"/>
                <w:highlight w:val="none"/>
                <w:lang w:val="en-US" w:eastAsia="zh-CN"/>
              </w:rPr>
              <w:t>项目委托书下发后15日内，合同签定之日起至项目总结算金额达到项目预算金额为止。</w:t>
            </w:r>
          </w:p>
        </w:tc>
      </w:tr>
    </w:tbl>
    <w:p>
      <w:pPr>
        <w:pageBreakBefore w:val="0"/>
        <w:widowControl w:val="0"/>
        <w:kinsoku/>
        <w:wordWrap/>
        <w:overflowPunct/>
        <w:topLinePunct w:val="0"/>
        <w:bidi w:val="0"/>
        <w:spacing w:line="560" w:lineRule="exact"/>
        <w:ind w:firstLine="482" w:firstLineChars="200"/>
        <w:textAlignment w:val="auto"/>
        <w:rPr>
          <w:rFonts w:hint="eastAsia" w:hAnsi="宋体" w:cs="宋体"/>
          <w:b/>
          <w:bCs/>
          <w:sz w:val="24"/>
          <w:szCs w:val="24"/>
        </w:rPr>
      </w:pPr>
      <w:r>
        <w:rPr>
          <w:rFonts w:hint="eastAsia" w:hAnsi="宋体" w:cs="宋体"/>
          <w:b/>
          <w:bCs/>
          <w:sz w:val="24"/>
          <w:szCs w:val="24"/>
        </w:rPr>
        <w:t>二、项目概况</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highlight w:val="none"/>
          <w:lang w:val="en-US" w:eastAsia="zh-CN"/>
        </w:rPr>
      </w:pPr>
      <w:r>
        <w:rPr>
          <w:rFonts w:hint="eastAsia" w:hAnsi="宋体" w:cs="宋体"/>
          <w:sz w:val="24"/>
          <w:szCs w:val="24"/>
          <w:highlight w:val="none"/>
        </w:rPr>
        <w:t>本项目拟采购1家工程造价咨询公司，</w:t>
      </w:r>
      <w:r>
        <w:rPr>
          <w:rFonts w:hint="eastAsia" w:hAnsi="宋体" w:cs="宋体"/>
          <w:sz w:val="24"/>
          <w:szCs w:val="24"/>
          <w:highlight w:val="none"/>
          <w:lang w:val="en-US" w:eastAsia="zh-CN"/>
        </w:rPr>
        <w:t>完成以下项目全过程跟踪审计、结算初审、结算复审等工作任务。</w:t>
      </w:r>
    </w:p>
    <w:p>
      <w:pPr>
        <w:pageBreakBefore w:val="0"/>
        <w:widowControl w:val="0"/>
        <w:numPr>
          <w:ilvl w:val="0"/>
          <w:numId w:val="3"/>
        </w:numPr>
        <w:kinsoku/>
        <w:wordWrap/>
        <w:overflowPunct/>
        <w:topLinePunct w:val="0"/>
        <w:bidi w:val="0"/>
        <w:spacing w:line="560" w:lineRule="exact"/>
        <w:ind w:firstLine="480" w:firstLineChars="200"/>
        <w:textAlignment w:val="auto"/>
        <w:rPr>
          <w:rFonts w:hint="eastAsia" w:hAnsi="宋体" w:cs="宋体"/>
          <w:sz w:val="24"/>
          <w:szCs w:val="24"/>
          <w:highlight w:val="none"/>
          <w:lang w:val="en-US" w:eastAsia="zh-CN"/>
        </w:rPr>
      </w:pPr>
      <w:r>
        <w:rPr>
          <w:rFonts w:hint="eastAsia" w:hAnsi="宋体" w:cs="宋体"/>
          <w:sz w:val="24"/>
          <w:szCs w:val="24"/>
          <w:highlight w:val="none"/>
        </w:rPr>
        <w:t>庐阳区三十岗乡崔岗村和美乡村精品示范村</w:t>
      </w:r>
      <w:r>
        <w:rPr>
          <w:rFonts w:hint="eastAsia" w:hAnsi="宋体" w:cs="宋体"/>
          <w:sz w:val="24"/>
          <w:szCs w:val="24"/>
          <w:highlight w:val="none"/>
          <w:lang w:val="en-US" w:eastAsia="zh-CN"/>
        </w:rPr>
        <w:t>项目，</w:t>
      </w:r>
      <w:r>
        <w:rPr>
          <w:rFonts w:hint="eastAsia" w:hAnsi="宋体" w:cs="宋体"/>
          <w:sz w:val="24"/>
          <w:szCs w:val="24"/>
          <w:highlight w:val="none"/>
        </w:rPr>
        <w:t>项目</w:t>
      </w:r>
      <w:r>
        <w:rPr>
          <w:rFonts w:hint="eastAsia" w:hAnsi="宋体" w:cs="宋体"/>
          <w:sz w:val="24"/>
          <w:szCs w:val="24"/>
          <w:highlight w:val="none"/>
          <w:lang w:val="en-US" w:eastAsia="zh-CN"/>
        </w:rPr>
        <w:t>编号2024BFLGZ00306，合同签订金额1703.4390万元，其中建安费8352750.00元，展陈费8354000.00元。建安/展陈费用=∑审定合格的单位工程清单控制价×建安/展陈综合费率+其他经济签证（如有）×建安/展陈综合费率；建安/展陈综合费率=承包人建安费/展陈中标价/本项目建安费/展陈控制价</w:t>
      </w:r>
    </w:p>
    <w:p>
      <w:pPr>
        <w:pageBreakBefore w:val="0"/>
        <w:widowControl w:val="0"/>
        <w:numPr>
          <w:ilvl w:val="0"/>
          <w:numId w:val="3"/>
        </w:numPr>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大隐原乡科普基地及周边基础设施改造提升工程项目编号：2023LYHXGC00091，合同金额3280088.67元；</w:t>
      </w:r>
    </w:p>
    <w:p>
      <w:pPr>
        <w:pageBreakBefore w:val="0"/>
        <w:widowControl w:val="0"/>
        <w:numPr>
          <w:ilvl w:val="0"/>
          <w:numId w:val="3"/>
        </w:numPr>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三十岗桃蹊水果农场及周边基础设施改造提升项目，项目编号2024BFLGZ00183、合同签订金额1226.862万元，其中建安费12006620.00元。建安费用=Σ审定合格的工程清单控制价×建安综合费率+其他经济签证(如有)×建安综合费率+调差(如有)+设计变更(如有)×建安综合费率；</w:t>
      </w:r>
    </w:p>
    <w:p>
      <w:pPr>
        <w:pageBreakBefore w:val="0"/>
        <w:widowControl w:val="0"/>
        <w:numPr>
          <w:ilvl w:val="0"/>
          <w:numId w:val="3"/>
        </w:numPr>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关于中市街东区装饰改造、明月阁电子屏拆除及三楼西侧外立面修复、淮河路步行街综合提升零星项目工程EPC项目，项目概算349.78万元；</w:t>
      </w:r>
    </w:p>
    <w:p>
      <w:pPr>
        <w:pageBreakBefore w:val="0"/>
        <w:widowControl w:val="0"/>
        <w:numPr>
          <w:ilvl w:val="0"/>
          <w:numId w:val="3"/>
        </w:numPr>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招标人委托指派的其他项目。</w:t>
      </w:r>
    </w:p>
    <w:p>
      <w:pPr>
        <w:pageBreakBefore w:val="0"/>
        <w:widowControl w:val="0"/>
        <w:numPr>
          <w:ilvl w:val="0"/>
          <w:numId w:val="0"/>
        </w:numPr>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lang w:val="en-US" w:eastAsia="zh-CN"/>
        </w:rPr>
        <w:t>根据招标人要求完成项目</w:t>
      </w:r>
      <w:r>
        <w:rPr>
          <w:rFonts w:hint="eastAsia" w:hAnsi="宋体" w:cs="宋体"/>
          <w:sz w:val="24"/>
          <w:szCs w:val="24"/>
          <w:highlight w:val="none"/>
          <w:lang w:eastAsia="zh-CN"/>
        </w:rPr>
        <w:t>预算最高限价为</w:t>
      </w:r>
      <w:r>
        <w:rPr>
          <w:rFonts w:hint="eastAsia" w:hAnsi="宋体" w:cs="宋体"/>
          <w:sz w:val="24"/>
          <w:szCs w:val="24"/>
          <w:highlight w:val="none"/>
          <w:lang w:val="en-US" w:eastAsia="zh-CN"/>
        </w:rPr>
        <w:t>28</w:t>
      </w:r>
      <w:r>
        <w:rPr>
          <w:rFonts w:hint="eastAsia" w:hAnsi="宋体" w:cs="宋体"/>
          <w:sz w:val="24"/>
          <w:szCs w:val="24"/>
          <w:highlight w:val="none"/>
          <w:lang w:eastAsia="zh-CN"/>
        </w:rPr>
        <w:t>万元</w:t>
      </w:r>
      <w:r>
        <w:rPr>
          <w:rFonts w:hint="eastAsia" w:hAnsi="宋体" w:cs="宋体"/>
          <w:sz w:val="24"/>
          <w:szCs w:val="24"/>
          <w:highlight w:val="none"/>
        </w:rPr>
        <w:t>。</w:t>
      </w:r>
    </w:p>
    <w:p>
      <w:pPr>
        <w:pageBreakBefore w:val="0"/>
        <w:widowControl w:val="0"/>
        <w:numPr>
          <w:ilvl w:val="0"/>
          <w:numId w:val="4"/>
        </w:numPr>
        <w:kinsoku/>
        <w:wordWrap/>
        <w:overflowPunct/>
        <w:topLinePunct w:val="0"/>
        <w:bidi w:val="0"/>
        <w:spacing w:line="560" w:lineRule="exact"/>
        <w:ind w:firstLine="482" w:firstLineChars="200"/>
        <w:textAlignment w:val="auto"/>
        <w:rPr>
          <w:rFonts w:hint="eastAsia" w:hAnsi="宋体" w:cs="宋体"/>
          <w:b/>
          <w:bCs/>
          <w:sz w:val="24"/>
          <w:szCs w:val="24"/>
          <w:highlight w:val="none"/>
        </w:rPr>
      </w:pPr>
      <w:r>
        <w:rPr>
          <w:rFonts w:hint="eastAsia" w:hAnsi="宋体" w:cs="宋体"/>
          <w:b/>
          <w:bCs/>
          <w:sz w:val="24"/>
          <w:szCs w:val="24"/>
          <w:highlight w:val="none"/>
        </w:rPr>
        <w:t>报价要求</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eastAsia="宋体"/>
          <w:sz w:val="24"/>
          <w:szCs w:val="24"/>
          <w:lang w:eastAsia="zh-CN"/>
        </w:rPr>
      </w:pPr>
      <w:r>
        <w:rPr>
          <w:rFonts w:hint="eastAsia"/>
          <w:sz w:val="24"/>
          <w:szCs w:val="24"/>
        </w:rPr>
        <w:t xml:space="preserve">1.本项目概算 </w:t>
      </w:r>
      <w:r>
        <w:rPr>
          <w:rFonts w:hint="eastAsia"/>
          <w:sz w:val="24"/>
          <w:szCs w:val="24"/>
          <w:lang w:val="en-US" w:eastAsia="zh-CN"/>
        </w:rPr>
        <w:t>28</w:t>
      </w:r>
      <w:r>
        <w:rPr>
          <w:rFonts w:hint="eastAsia"/>
          <w:sz w:val="24"/>
          <w:szCs w:val="24"/>
        </w:rPr>
        <w:t xml:space="preserve"> 万元</w:t>
      </w:r>
      <w:r>
        <w:rPr>
          <w:rFonts w:hint="eastAsia"/>
          <w:sz w:val="24"/>
          <w:szCs w:val="24"/>
          <w:lang w:eastAsia="zh-CN"/>
        </w:rPr>
        <w:t>，本项目服务费最终结算价不超过项目预算</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24"/>
          <w:szCs w:val="24"/>
        </w:rPr>
      </w:pPr>
      <w:r>
        <w:rPr>
          <w:rFonts w:hint="eastAsia"/>
          <w:sz w:val="24"/>
          <w:szCs w:val="24"/>
        </w:rPr>
        <w:t>2.全过程造价咨询服务费按最终审定的建安工程费*投标费率，投标费率不得超过0.8%(投标人自行报价，作为评标价格分及定标的依据);</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24"/>
          <w:szCs w:val="24"/>
        </w:rPr>
      </w:pPr>
      <w:r>
        <w:rPr>
          <w:rFonts w:hint="eastAsia"/>
          <w:sz w:val="24"/>
          <w:szCs w:val="24"/>
        </w:rPr>
        <w:t>3.其他委托事项按《安徽省建设工程造价咨询服务项目及收费标准》皖价服[2007]86号文)，投标费率不得超过50%，否则投标无效(此项仅作为“其他委托事项”服务费用结算的依据，不作为评标价格分或定标的依据)。</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eastAsia" w:hAnsi="宋体" w:eastAsia="宋体" w:cs="宋体"/>
          <w:sz w:val="24"/>
          <w:szCs w:val="24"/>
          <w:highlight w:val="none"/>
          <w:lang w:val="en-US" w:eastAsia="zh-CN"/>
        </w:rPr>
        <w:t>（1）</w:t>
      </w:r>
      <w:r>
        <w:rPr>
          <w:rFonts w:hint="default" w:ascii="Times New Roman" w:hAnsi="宋体" w:eastAsia="宋体" w:cs="宋体"/>
          <w:sz w:val="24"/>
          <w:szCs w:val="24"/>
          <w:highlight w:val="none"/>
          <w:lang w:val="en-US" w:eastAsia="zh-CN"/>
        </w:rPr>
        <w:t>工程价款结算审核初审，其造价咨询费用为“皖价服[2007]86号”文件规定的相应咨询项目收费标准的50%，不足1000元的按1000元收取。另外特别约定:①工程预算、结算、决算审核、审计(即项目收费第五项)的基本收费与按核减额收费不同时计取，按就高不就低的原则只计其一</w:t>
      </w:r>
      <w:r>
        <w:rPr>
          <w:rFonts w:hint="eastAsia" w:ascii="Times New Roman" w:hAnsi="宋体" w:eastAsia="宋体" w:cs="宋体"/>
          <w:sz w:val="24"/>
          <w:szCs w:val="24"/>
          <w:highlight w:val="none"/>
          <w:lang w:val="en-US" w:eastAsia="zh-CN"/>
        </w:rPr>
        <w:t>；</w:t>
      </w:r>
      <w:r>
        <w:rPr>
          <w:rFonts w:hint="default" w:ascii="Times New Roman" w:hAnsi="宋体" w:eastAsia="宋体" w:cs="宋体"/>
          <w:sz w:val="24"/>
          <w:szCs w:val="24"/>
          <w:highlight w:val="none"/>
          <w:lang w:val="en-US" w:eastAsia="zh-CN"/>
        </w:rPr>
        <w:t>②不计取钢筋抽样分析费用</w:t>
      </w:r>
      <w:r>
        <w:rPr>
          <w:rFonts w:hint="eastAsia" w:ascii="Times New Roman" w:hAnsi="宋体" w:eastAsia="宋体" w:cs="宋体"/>
          <w:sz w:val="24"/>
          <w:szCs w:val="24"/>
          <w:highlight w:val="none"/>
          <w:lang w:val="en-US" w:eastAsia="zh-CN"/>
        </w:rPr>
        <w:t>；</w:t>
      </w:r>
      <w:r>
        <w:rPr>
          <w:rFonts w:hint="default" w:ascii="Times New Roman" w:hAnsi="宋体" w:eastAsia="宋体" w:cs="宋体"/>
          <w:sz w:val="24"/>
          <w:szCs w:val="24"/>
          <w:highlight w:val="none"/>
          <w:lang w:val="en-US" w:eastAsia="zh-CN"/>
        </w:rPr>
        <w:t>③不计核增费用</w:t>
      </w:r>
      <w:r>
        <w:rPr>
          <w:rFonts w:hint="eastAsia" w:ascii="Times New Roman" w:hAnsi="宋体" w:eastAsia="宋体" w:cs="宋体"/>
          <w:sz w:val="24"/>
          <w:szCs w:val="24"/>
          <w:highlight w:val="none"/>
          <w:lang w:val="en-US" w:eastAsia="zh-CN"/>
        </w:rPr>
        <w:t>；</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default" w:ascii="Times New Roman" w:hAnsi="宋体" w:eastAsia="宋体" w:cs="宋体"/>
          <w:sz w:val="24"/>
          <w:szCs w:val="24"/>
          <w:highlight w:val="none"/>
          <w:lang w:val="en-US" w:eastAsia="zh-CN"/>
        </w:rPr>
        <w:t>例如:委托结算项目总投资为5000万元，结算审核中的核减额按工程项目总投资额的10%计算，其工程结算审核咨询服务费为:</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default" w:ascii="Times New Roman" w:hAnsi="宋体" w:eastAsia="宋体" w:cs="宋体"/>
          <w:sz w:val="24"/>
          <w:szCs w:val="24"/>
          <w:highlight w:val="none"/>
          <w:lang w:val="en-US" w:eastAsia="zh-CN"/>
        </w:rPr>
        <w:t>基本收费:5000×1.9‰×50%=4.75万元。</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default" w:ascii="Times New Roman" w:hAnsi="宋体" w:eastAsia="宋体" w:cs="宋体"/>
          <w:sz w:val="24"/>
          <w:szCs w:val="24"/>
          <w:highlight w:val="none"/>
          <w:lang w:val="en-US" w:eastAsia="zh-CN"/>
        </w:rPr>
        <w:t>审核收费：5000×10%×5.0%×50%=12.5万元</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default" w:ascii="Times New Roman" w:hAnsi="宋体" w:eastAsia="宋体" w:cs="宋体"/>
          <w:sz w:val="24"/>
          <w:szCs w:val="24"/>
          <w:highlight w:val="none"/>
          <w:lang w:val="en-US" w:eastAsia="zh-CN"/>
        </w:rPr>
        <w:t>两者相比按就高不就低的原则计算费用应为12.5万元。</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hAnsi="宋体" w:cs="宋体"/>
          <w:sz w:val="24"/>
          <w:szCs w:val="24"/>
          <w:highlight w:val="none"/>
        </w:rPr>
        <w:t>工程价款结算审核复审：</w:t>
      </w:r>
    </w:p>
    <w:p>
      <w:pPr>
        <w:pageBreakBefore w:val="0"/>
        <w:widowControl w:val="0"/>
        <w:kinsoku/>
        <w:wordWrap/>
        <w:overflowPunct/>
        <w:topLinePunct w:val="0"/>
        <w:bidi w:val="0"/>
        <w:spacing w:line="560" w:lineRule="exact"/>
        <w:ind w:firstLine="480" w:firstLineChars="200"/>
        <w:textAlignment w:val="auto"/>
        <w:rPr>
          <w:rFonts w:hAnsi="宋体" w:cs="宋体"/>
          <w:sz w:val="24"/>
          <w:szCs w:val="24"/>
          <w:highlight w:val="none"/>
        </w:rPr>
      </w:pPr>
      <w:r>
        <w:rPr>
          <w:rFonts w:hint="eastAsia" w:hAnsi="宋体" w:cs="宋体"/>
          <w:sz w:val="24"/>
          <w:szCs w:val="24"/>
          <w:highlight w:val="none"/>
        </w:rPr>
        <w:t>计费方式：</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highlight w:val="none"/>
        </w:rPr>
      </w:pPr>
      <w:r>
        <w:rPr>
          <w:rFonts w:hint="eastAsia" w:hAnsi="宋体" w:cs="宋体"/>
          <w:sz w:val="24"/>
          <w:szCs w:val="24"/>
          <w:highlight w:val="none"/>
        </w:rPr>
        <w:t>工程价款结算审核复核:</w:t>
      </w:r>
      <w:r>
        <w:rPr>
          <w:rFonts w:hint="eastAsia" w:hAnsi="宋体" w:cs="宋体"/>
          <w:sz w:val="24"/>
          <w:szCs w:val="24"/>
          <w:highlight w:val="none"/>
          <w:lang w:val="en-US" w:eastAsia="zh-CN"/>
        </w:rPr>
        <w:t>最终造价咨询</w:t>
      </w:r>
      <w:r>
        <w:rPr>
          <w:rFonts w:hint="eastAsia" w:hAnsi="宋体" w:cs="宋体"/>
          <w:sz w:val="24"/>
          <w:szCs w:val="24"/>
          <w:highlight w:val="none"/>
        </w:rPr>
        <w:t>费用=(基础审查费+效益审查费用)*中标费率,详见下表:</w:t>
      </w:r>
    </w:p>
    <w:p>
      <w:pPr>
        <w:pageBreakBefore w:val="0"/>
        <w:widowControl w:val="0"/>
        <w:kinsoku/>
        <w:wordWrap/>
        <w:overflowPunct/>
        <w:topLinePunct w:val="0"/>
        <w:bidi w:val="0"/>
        <w:spacing w:line="560" w:lineRule="exact"/>
        <w:textAlignment w:val="auto"/>
        <w:rPr>
          <w:rFonts w:hint="eastAsia" w:eastAsia="宋体"/>
          <w:sz w:val="24"/>
          <w:szCs w:val="24"/>
          <w:lang w:eastAsia="zh-CN"/>
        </w:rPr>
      </w:pPr>
    </w:p>
    <w:p>
      <w:pPr>
        <w:pStyle w:val="2"/>
        <w:rPr>
          <w:rFonts w:hint="eastAsia"/>
          <w:lang w:eastAsia="zh-CN"/>
        </w:rPr>
      </w:pPr>
    </w:p>
    <w:p>
      <w:pPr>
        <w:pStyle w:val="18"/>
        <w:pageBreakBefore w:val="0"/>
        <w:widowControl w:val="0"/>
        <w:kinsoku/>
        <w:wordWrap/>
        <w:overflowPunct/>
        <w:topLinePunct w:val="0"/>
        <w:bidi w:val="0"/>
        <w:spacing w:line="560" w:lineRule="exact"/>
        <w:textAlignment w:val="auto"/>
        <w:rPr>
          <w:rFonts w:hint="eastAsia" w:eastAsia="宋体"/>
          <w:sz w:val="24"/>
          <w:szCs w:val="24"/>
          <w:lang w:eastAsia="zh-CN"/>
        </w:rPr>
      </w:pPr>
      <w:r>
        <w:rPr>
          <w:sz w:val="24"/>
          <w:szCs w:val="24"/>
          <w:highlight w:val="none"/>
        </w:rPr>
        <w:drawing>
          <wp:anchor distT="0" distB="0" distL="114300" distR="114300" simplePos="0" relativeHeight="251664384" behindDoc="0" locked="0" layoutInCell="1" allowOverlap="1">
            <wp:simplePos x="0" y="0"/>
            <wp:positionH relativeFrom="column">
              <wp:posOffset>139065</wp:posOffset>
            </wp:positionH>
            <wp:positionV relativeFrom="paragraph">
              <wp:posOffset>-73660</wp:posOffset>
            </wp:positionV>
            <wp:extent cx="5059045" cy="2199005"/>
            <wp:effectExtent l="0" t="0" r="8255" b="10795"/>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0"/>
                    <a:stretch>
                      <a:fillRect/>
                    </a:stretch>
                  </pic:blipFill>
                  <pic:spPr>
                    <a:xfrm>
                      <a:off x="0" y="0"/>
                      <a:ext cx="5059045" cy="2199005"/>
                    </a:xfrm>
                    <a:prstGeom prst="rect">
                      <a:avLst/>
                    </a:prstGeom>
                    <a:noFill/>
                    <a:ln>
                      <a:noFill/>
                    </a:ln>
                  </pic:spPr>
                </pic:pic>
              </a:graphicData>
            </a:graphic>
          </wp:anchor>
        </w:drawing>
      </w:r>
    </w:p>
    <w:p>
      <w:pPr>
        <w:pageBreakBefore w:val="0"/>
        <w:widowControl w:val="0"/>
        <w:kinsoku/>
        <w:wordWrap/>
        <w:overflowPunct/>
        <w:topLinePunct w:val="0"/>
        <w:bidi w:val="0"/>
        <w:spacing w:line="560" w:lineRule="exact"/>
        <w:textAlignment w:val="auto"/>
        <w:rPr>
          <w:rFonts w:hint="eastAsia" w:eastAsia="宋体"/>
          <w:sz w:val="24"/>
          <w:szCs w:val="24"/>
          <w:lang w:eastAsia="zh-CN"/>
        </w:rPr>
      </w:pPr>
    </w:p>
    <w:p>
      <w:pPr>
        <w:pStyle w:val="18"/>
        <w:pageBreakBefore w:val="0"/>
        <w:widowControl w:val="0"/>
        <w:kinsoku/>
        <w:wordWrap/>
        <w:overflowPunct/>
        <w:topLinePunct w:val="0"/>
        <w:bidi w:val="0"/>
        <w:spacing w:line="560" w:lineRule="exact"/>
        <w:textAlignment w:val="auto"/>
        <w:rPr>
          <w:rFonts w:hint="eastAsia" w:eastAsia="宋体"/>
          <w:sz w:val="24"/>
          <w:szCs w:val="24"/>
          <w:lang w:eastAsia="zh-CN"/>
        </w:rPr>
      </w:pPr>
    </w:p>
    <w:p>
      <w:pPr>
        <w:pageBreakBefore w:val="0"/>
        <w:widowControl w:val="0"/>
        <w:kinsoku/>
        <w:wordWrap/>
        <w:overflowPunct/>
        <w:topLinePunct w:val="0"/>
        <w:bidi w:val="0"/>
        <w:spacing w:line="560" w:lineRule="exact"/>
        <w:textAlignment w:val="auto"/>
        <w:rPr>
          <w:rFonts w:hint="eastAsia" w:eastAsia="宋体"/>
          <w:sz w:val="24"/>
          <w:szCs w:val="24"/>
          <w:lang w:eastAsia="zh-CN"/>
        </w:rPr>
      </w:pPr>
    </w:p>
    <w:p>
      <w:pPr>
        <w:pStyle w:val="18"/>
        <w:pageBreakBefore w:val="0"/>
        <w:widowControl w:val="0"/>
        <w:kinsoku/>
        <w:wordWrap/>
        <w:overflowPunct/>
        <w:topLinePunct w:val="0"/>
        <w:bidi w:val="0"/>
        <w:spacing w:line="560" w:lineRule="exact"/>
        <w:textAlignment w:val="auto"/>
        <w:rPr>
          <w:rFonts w:hint="eastAsia" w:eastAsia="宋体"/>
          <w:sz w:val="24"/>
          <w:szCs w:val="24"/>
          <w:lang w:eastAsia="zh-CN"/>
        </w:rPr>
      </w:pPr>
    </w:p>
    <w:p>
      <w:pPr>
        <w:pageBreakBefore w:val="0"/>
        <w:widowControl w:val="0"/>
        <w:kinsoku/>
        <w:wordWrap/>
        <w:overflowPunct/>
        <w:topLinePunct w:val="0"/>
        <w:bidi w:val="0"/>
        <w:spacing w:line="560" w:lineRule="exact"/>
        <w:textAlignment w:val="auto"/>
        <w:rPr>
          <w:rFonts w:hint="eastAsia" w:eastAsia="宋体"/>
          <w:sz w:val="24"/>
          <w:szCs w:val="24"/>
          <w:lang w:eastAsia="zh-CN"/>
        </w:rPr>
      </w:pPr>
    </w:p>
    <w:p>
      <w:pPr>
        <w:pageBreakBefore w:val="0"/>
        <w:widowControl w:val="0"/>
        <w:kinsoku/>
        <w:wordWrap/>
        <w:overflowPunct/>
        <w:topLinePunct w:val="0"/>
        <w:bidi w:val="0"/>
        <w:spacing w:line="5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例：如本包中标费率为</w:t>
      </w:r>
      <w:r>
        <w:rPr>
          <w:rFonts w:cs="仿宋_GB2312" w:asciiTheme="minorEastAsia" w:hAnsiTheme="minorEastAsia" w:eastAsiaTheme="minorEastAsia"/>
          <w:sz w:val="24"/>
          <w:szCs w:val="24"/>
        </w:rPr>
        <w:t>90</w:t>
      </w:r>
      <w:r>
        <w:rPr>
          <w:rFonts w:hint="eastAsia" w:cs="仿宋_GB2312" w:asciiTheme="minorEastAsia" w:hAnsiTheme="minorEastAsia" w:eastAsiaTheme="minorEastAsia"/>
          <w:sz w:val="24"/>
          <w:szCs w:val="24"/>
        </w:rPr>
        <w:t>%，复审送审价</w:t>
      </w:r>
      <w:r>
        <w:rPr>
          <w:rFonts w:cs="仿宋_GB2312" w:asciiTheme="minorEastAsia" w:hAnsiTheme="minorEastAsia" w:eastAsiaTheme="minorEastAsia"/>
          <w:sz w:val="24"/>
          <w:szCs w:val="24"/>
        </w:rPr>
        <w:t>为600万元，</w:t>
      </w:r>
      <w:r>
        <w:rPr>
          <w:rFonts w:hint="eastAsia" w:cs="仿宋_GB2312" w:asciiTheme="minorEastAsia" w:hAnsiTheme="minorEastAsia" w:eastAsiaTheme="minorEastAsia"/>
          <w:sz w:val="24"/>
          <w:szCs w:val="24"/>
        </w:rPr>
        <w:t>复审</w:t>
      </w:r>
      <w:r>
        <w:rPr>
          <w:rFonts w:cs="仿宋_GB2312" w:asciiTheme="minorEastAsia" w:hAnsiTheme="minorEastAsia" w:eastAsiaTheme="minorEastAsia"/>
          <w:sz w:val="24"/>
          <w:szCs w:val="24"/>
        </w:rPr>
        <w:t>中的核减额按工程项目</w:t>
      </w:r>
      <w:r>
        <w:rPr>
          <w:rFonts w:hint="eastAsia" w:cs="仿宋_GB2312" w:asciiTheme="minorEastAsia" w:hAnsiTheme="minorEastAsia" w:eastAsiaTheme="minorEastAsia"/>
          <w:sz w:val="24"/>
          <w:szCs w:val="24"/>
        </w:rPr>
        <w:t>送审价</w:t>
      </w:r>
      <w:r>
        <w:rPr>
          <w:rFonts w:cs="仿宋_GB2312" w:asciiTheme="minorEastAsia" w:hAnsiTheme="minorEastAsia" w:eastAsiaTheme="minorEastAsia"/>
          <w:sz w:val="24"/>
          <w:szCs w:val="24"/>
        </w:rPr>
        <w:t>的2%计算，其</w:t>
      </w:r>
      <w:r>
        <w:rPr>
          <w:rFonts w:hint="eastAsia" w:cs="仿宋_GB2312" w:asciiTheme="minorEastAsia" w:hAnsiTheme="minorEastAsia" w:eastAsiaTheme="minorEastAsia"/>
          <w:sz w:val="24"/>
          <w:szCs w:val="24"/>
        </w:rPr>
        <w:t>工程结算审核造价咨询费用</w:t>
      </w:r>
      <w:r>
        <w:rPr>
          <w:rFonts w:cs="仿宋_GB2312" w:asciiTheme="minorEastAsia" w:hAnsiTheme="minorEastAsia" w:eastAsiaTheme="minorEastAsia"/>
          <w:sz w:val="24"/>
          <w:szCs w:val="24"/>
        </w:rPr>
        <w:t>为：</w:t>
      </w:r>
    </w:p>
    <w:p>
      <w:pPr>
        <w:pageBreakBefore w:val="0"/>
        <w:widowControl w:val="0"/>
        <w:kinsoku/>
        <w:wordWrap/>
        <w:overflowPunct/>
        <w:topLinePunct w:val="0"/>
        <w:bidi w:val="0"/>
        <w:spacing w:line="5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基础审查</w:t>
      </w:r>
      <w:r>
        <w:rPr>
          <w:rFonts w:cs="仿宋_GB2312" w:asciiTheme="minorEastAsia" w:hAnsiTheme="minorEastAsia" w:eastAsiaTheme="minorEastAsia"/>
          <w:sz w:val="24"/>
          <w:szCs w:val="24"/>
        </w:rPr>
        <w:t>收费：0.4万元</w:t>
      </w:r>
      <w:r>
        <w:rPr>
          <w:rFonts w:hint="eastAsia" w:cs="仿宋_GB2312" w:asciiTheme="minorEastAsia" w:hAnsiTheme="minorEastAsia" w:eastAsiaTheme="minorEastAsia"/>
          <w:sz w:val="24"/>
          <w:szCs w:val="24"/>
        </w:rPr>
        <w:t>；</w:t>
      </w:r>
    </w:p>
    <w:p>
      <w:pPr>
        <w:pageBreakBefore w:val="0"/>
        <w:widowControl w:val="0"/>
        <w:kinsoku/>
        <w:wordWrap/>
        <w:overflowPunct/>
        <w:topLinePunct w:val="0"/>
        <w:bidi w:val="0"/>
        <w:spacing w:line="560" w:lineRule="exact"/>
        <w:ind w:firstLine="480" w:firstLineChars="200"/>
        <w:textAlignment w:val="auto"/>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审</w:t>
      </w:r>
      <w:r>
        <w:rPr>
          <w:rFonts w:hint="eastAsia" w:cs="仿宋_GB2312" w:asciiTheme="minorEastAsia" w:hAnsiTheme="minorEastAsia" w:eastAsiaTheme="minorEastAsia"/>
          <w:sz w:val="24"/>
          <w:szCs w:val="24"/>
        </w:rPr>
        <w:t>减</w:t>
      </w:r>
      <w:r>
        <w:rPr>
          <w:rFonts w:cs="仿宋_GB2312" w:asciiTheme="minorEastAsia" w:hAnsiTheme="minorEastAsia" w:eastAsiaTheme="minorEastAsia"/>
          <w:sz w:val="24"/>
          <w:szCs w:val="24"/>
        </w:rPr>
        <w:t>收费：600</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4%=0.48万元</w:t>
      </w:r>
      <w:r>
        <w:rPr>
          <w:rFonts w:hint="eastAsia" w:cs="仿宋_GB2312" w:asciiTheme="minorEastAsia" w:hAnsiTheme="minorEastAsia" w:eastAsiaTheme="minorEastAsia"/>
          <w:sz w:val="24"/>
          <w:szCs w:val="24"/>
        </w:rPr>
        <w:t>。</w:t>
      </w:r>
    </w:p>
    <w:p>
      <w:pPr>
        <w:pageBreakBefore w:val="0"/>
        <w:widowControl w:val="0"/>
        <w:kinsoku/>
        <w:wordWrap/>
        <w:overflowPunct/>
        <w:topLinePunct w:val="0"/>
        <w:bidi w:val="0"/>
        <w:spacing w:line="560" w:lineRule="exact"/>
        <w:ind w:firstLine="480" w:firstLineChars="200"/>
        <w:textAlignment w:val="auto"/>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结算复审</w:t>
      </w:r>
      <w:r>
        <w:rPr>
          <w:rFonts w:cs="仿宋_GB2312" w:asciiTheme="minorEastAsia" w:hAnsiTheme="minorEastAsia" w:eastAsiaTheme="minorEastAsia"/>
          <w:sz w:val="24"/>
          <w:szCs w:val="24"/>
        </w:rPr>
        <w:t>费用应为</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0.4</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0.48</w:t>
      </w:r>
      <w:r>
        <w:rPr>
          <w:rFonts w:hint="eastAsia" w:cs="仿宋_GB2312" w:asciiTheme="minorEastAsia" w:hAnsiTheme="minorEastAsia" w:eastAsiaTheme="minorEastAsia"/>
          <w:sz w:val="24"/>
          <w:szCs w:val="24"/>
        </w:rPr>
        <w:t>）×0</w:t>
      </w:r>
      <w:r>
        <w:rPr>
          <w:rFonts w:cs="仿宋_GB2312" w:asciiTheme="minorEastAsia" w:hAnsiTheme="minorEastAsia" w:eastAsiaTheme="minorEastAsia"/>
          <w:sz w:val="24"/>
          <w:szCs w:val="24"/>
        </w:rPr>
        <w:t>.9</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0.792万元。</w:t>
      </w:r>
    </w:p>
    <w:p>
      <w:pPr>
        <w:pageBreakBefore w:val="0"/>
        <w:widowControl w:val="0"/>
        <w:numPr>
          <w:ilvl w:val="0"/>
          <w:numId w:val="5"/>
        </w:numPr>
        <w:kinsoku/>
        <w:wordWrap/>
        <w:overflowPunct/>
        <w:topLinePunct w:val="0"/>
        <w:bidi w:val="0"/>
        <w:spacing w:line="560" w:lineRule="exact"/>
        <w:ind w:firstLine="480" w:firstLineChars="200"/>
        <w:textAlignment w:val="auto"/>
        <w:rPr>
          <w:rFonts w:hint="eastAsia" w:cs="仿宋_GB2312" w:asciiTheme="minorEastAsia" w:hAnsiTheme="minorEastAsia" w:eastAsiaTheme="minorEastAsia"/>
          <w:sz w:val="24"/>
          <w:szCs w:val="24"/>
          <w:lang w:val="en-US" w:eastAsia="zh-CN"/>
        </w:rPr>
      </w:pPr>
      <w:r>
        <w:rPr>
          <w:rFonts w:hint="eastAsia" w:cs="仿宋_GB2312" w:asciiTheme="minorEastAsia" w:hAnsiTheme="minorEastAsia" w:eastAsiaTheme="minorEastAsia"/>
          <w:sz w:val="24"/>
          <w:szCs w:val="24"/>
          <w:lang w:val="en-US" w:eastAsia="zh-CN"/>
        </w:rPr>
        <w:t>其他委托事项：包括不限于皖价服[2007]86号文中载明的“服务内容”完成工作并满足招标人提出的各项与造价相关的工作，包括不限于工程量清单编制，工程项目设计概算等。费用包含在投标报价中。最终结算为文件计算费用*其他委托事项中标费率。</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24"/>
          <w:szCs w:val="24"/>
        </w:rPr>
      </w:pPr>
      <w:r>
        <w:rPr>
          <w:rFonts w:hint="eastAsia"/>
          <w:sz w:val="24"/>
          <w:szCs w:val="24"/>
        </w:rPr>
        <w:t>4.最终咨询费用=委托的全过程造价咨询服务费+其他委托事项咨询费。本项目最终结算价不得超出本项目的概算，超出部分由中标人承担，招标人不再另行支付费用。</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24"/>
          <w:szCs w:val="24"/>
        </w:rPr>
      </w:pPr>
      <w:r>
        <w:rPr>
          <w:rFonts w:hint="eastAsia"/>
          <w:sz w:val="24"/>
          <w:szCs w:val="24"/>
        </w:rPr>
        <w:t>5.工程量清单及控制价等在编制过程中，因图纸修改或招标范围变更的，不再重复计算支付造价咨询单位补偿费用(颠覆性变动除外)</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24"/>
          <w:szCs w:val="24"/>
        </w:rPr>
      </w:pPr>
      <w:r>
        <w:rPr>
          <w:rFonts w:hint="eastAsia"/>
          <w:sz w:val="24"/>
          <w:szCs w:val="24"/>
        </w:rPr>
        <w:t>6.投标单位自行考虑现场办公地点及办公用品，费用含在报价中。</w:t>
      </w:r>
    </w:p>
    <w:p>
      <w:pPr>
        <w:pageBreakBefore w:val="0"/>
        <w:widowControl w:val="0"/>
        <w:numPr>
          <w:ilvl w:val="0"/>
          <w:numId w:val="4"/>
        </w:numPr>
        <w:kinsoku/>
        <w:wordWrap/>
        <w:overflowPunct/>
        <w:topLinePunct w:val="0"/>
        <w:bidi w:val="0"/>
        <w:spacing w:line="560" w:lineRule="exact"/>
        <w:ind w:firstLine="482" w:firstLineChars="200"/>
        <w:textAlignment w:val="auto"/>
        <w:rPr>
          <w:rFonts w:hint="eastAsia" w:hAnsi="宋体" w:cs="宋体"/>
          <w:b/>
          <w:bCs/>
          <w:sz w:val="24"/>
          <w:szCs w:val="24"/>
          <w:highlight w:val="none"/>
        </w:rPr>
      </w:pPr>
      <w:r>
        <w:rPr>
          <w:rFonts w:hint="eastAsia" w:hAnsi="宋体" w:cs="宋体"/>
          <w:b/>
          <w:bCs/>
          <w:sz w:val="24"/>
          <w:szCs w:val="24"/>
          <w:highlight w:val="none"/>
          <w:lang w:val="en-US" w:eastAsia="zh-CN"/>
        </w:rPr>
        <w:t>服务</w:t>
      </w:r>
      <w:r>
        <w:rPr>
          <w:rFonts w:hint="eastAsia" w:hAnsi="宋体" w:cs="宋体"/>
          <w:b/>
          <w:bCs/>
          <w:sz w:val="24"/>
          <w:szCs w:val="24"/>
          <w:highlight w:val="none"/>
        </w:rPr>
        <w:t>要求</w:t>
      </w:r>
    </w:p>
    <w:p>
      <w:pPr>
        <w:pStyle w:val="2"/>
        <w:keepNext w:val="0"/>
        <w:keepLines w:val="0"/>
        <w:pageBreakBefore w:val="0"/>
        <w:widowControl w:val="0"/>
        <w:kinsoku/>
        <w:wordWrap/>
        <w:overflowPunct/>
        <w:topLinePunct w:val="0"/>
        <w:autoSpaceDE/>
        <w:autoSpaceDN/>
        <w:bidi w:val="0"/>
        <w:adjustRightInd/>
        <w:snapToGrid/>
        <w:spacing w:after="0" w:line="560" w:lineRule="exact"/>
        <w:ind w:firstLine="480" w:firstLineChars="200"/>
        <w:textAlignment w:val="auto"/>
        <w:rPr>
          <w:rFonts w:hint="eastAsia" w:ascii="宋体" w:hAnsi="宋体" w:eastAsia="宋体" w:cs="黑体"/>
          <w:kern w:val="2"/>
          <w:sz w:val="24"/>
          <w:szCs w:val="24"/>
          <w:lang w:val="en-US" w:eastAsia="zh-CN" w:bidi="ar-SA"/>
        </w:rPr>
      </w:pPr>
      <w:r>
        <w:rPr>
          <w:rFonts w:hint="eastAsia" w:ascii="宋体" w:hAnsi="宋体" w:eastAsia="宋体" w:cs="黑体"/>
          <w:kern w:val="2"/>
          <w:sz w:val="24"/>
          <w:szCs w:val="24"/>
          <w:lang w:val="en-US" w:eastAsia="zh-CN" w:bidi="ar-SA"/>
        </w:rPr>
        <w:t>本项目工作任务由采购人根据实际需求，向中标供应商派发具体项目工作任务单，任务单内容主要为庐阳文旅集团（含子公司及控股公司）投资建设项目的全过程工程造价控制，其他还可能包括：可行性项目投资估算、项目经济评价、工程项目设计概算编制、工程预算、标底编制、工程量清单、控制价编制或审核、工程结算编制或审核等中的一项或几项。服务范围及服务内容如下</w:t>
      </w:r>
      <w:r>
        <w:rPr>
          <w:rFonts w:hint="eastAsia" w:ascii="宋体" w:hAnsi="宋体" w:cs="黑体"/>
          <w:kern w:val="2"/>
          <w:sz w:val="24"/>
          <w:szCs w:val="24"/>
          <w:lang w:val="en-US" w:eastAsia="zh-CN" w:bidi="ar-SA"/>
        </w:rPr>
        <w:t>：</w:t>
      </w:r>
    </w:p>
    <w:p>
      <w:pPr>
        <w:pageBreakBefore w:val="0"/>
        <w:widowControl w:val="0"/>
        <w:numPr>
          <w:ilvl w:val="0"/>
          <w:numId w:val="6"/>
        </w:numPr>
        <w:kinsoku/>
        <w:wordWrap/>
        <w:overflowPunct/>
        <w:topLinePunct w:val="0"/>
        <w:bidi w:val="0"/>
        <w:spacing w:line="560" w:lineRule="exact"/>
        <w:ind w:firstLine="480" w:firstLineChars="200"/>
        <w:textAlignment w:val="auto"/>
        <w:rPr>
          <w:rFonts w:hint="eastAsia" w:ascii="Times New Roman" w:hAnsi="宋体" w:eastAsia="宋体" w:cs="宋体"/>
          <w:sz w:val="24"/>
          <w:szCs w:val="24"/>
          <w:highlight w:val="none"/>
          <w:lang w:val="en-US" w:eastAsia="zh-CN"/>
        </w:rPr>
      </w:pPr>
      <w:r>
        <w:rPr>
          <w:rFonts w:hint="eastAsia" w:ascii="Times New Roman" w:hAnsi="宋体" w:eastAsia="宋体" w:cs="宋体"/>
          <w:sz w:val="24"/>
          <w:szCs w:val="24"/>
          <w:highlight w:val="none"/>
          <w:lang w:val="en-US" w:eastAsia="zh-CN"/>
        </w:rPr>
        <w:t>全过程造价咨询服务要求：</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工程前期阶段造价咨询服务内容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(1)方案设计和初步设计阶段的审核。审核方案设计和初步设计方案是否完整、严密，是否全面准确地表述招标项目的实际状况和招标人的实质性要求</w:t>
      </w:r>
      <w:r>
        <w:rPr>
          <w:rFonts w:hint="eastAsia"/>
          <w:sz w:val="24"/>
          <w:szCs w:val="24"/>
          <w:lang w:val="en-US" w:eastAsia="zh-CN"/>
        </w:rPr>
        <w:t>；</w:t>
      </w:r>
      <w:r>
        <w:rPr>
          <w:rFonts w:hint="default"/>
          <w:sz w:val="24"/>
          <w:szCs w:val="24"/>
          <w:lang w:val="en-US" w:eastAsia="zh-CN"/>
        </w:rPr>
        <w:t>审查方案设计、初步设计方案的有效性、合理性，审核投资估算、设计概算费用构成的准确性、完整性与合理性</w:t>
      </w:r>
      <w:r>
        <w:rPr>
          <w:rFonts w:hint="eastAsia"/>
          <w:sz w:val="24"/>
          <w:szCs w:val="24"/>
          <w:lang w:val="en-US" w:eastAsia="zh-CN"/>
        </w:rPr>
        <w:t>；</w:t>
      </w:r>
      <w:r>
        <w:rPr>
          <w:rFonts w:hint="default"/>
          <w:sz w:val="24"/>
          <w:szCs w:val="24"/>
          <w:lang w:val="en-US" w:eastAsia="zh-CN"/>
        </w:rPr>
        <w:t>细化设计指标要点,审核是否超项目概算,为确定工程投资总额控制目标提供参考。</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(2)招投标阶段的审查梳理</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1)梳理招投标前准备工作的审查与评价。主要检查招标项目是否具备相关法规和制度中规定的必要条件，招投标的程序和方式是否符合有关法规和制度的规定</w:t>
      </w:r>
      <w:r>
        <w:rPr>
          <w:rFonts w:hint="eastAsia"/>
          <w:sz w:val="24"/>
          <w:szCs w:val="24"/>
          <w:lang w:val="en-US" w:eastAsia="zh-CN"/>
        </w:rPr>
        <w:t>；</w:t>
      </w:r>
      <w:r>
        <w:rPr>
          <w:rFonts w:hint="default"/>
          <w:sz w:val="24"/>
          <w:szCs w:val="24"/>
          <w:lang w:val="en-US" w:eastAsia="zh-CN"/>
        </w:rPr>
        <w:t>是否存在人为肢解工程项目、规避招投标等违规操作风险</w:t>
      </w:r>
      <w:r>
        <w:rPr>
          <w:rFonts w:hint="eastAsia"/>
          <w:sz w:val="24"/>
          <w:szCs w:val="24"/>
          <w:lang w:val="en-US" w:eastAsia="zh-CN"/>
        </w:rPr>
        <w:t>；</w:t>
      </w:r>
      <w:r>
        <w:rPr>
          <w:rFonts w:hint="default"/>
          <w:sz w:val="24"/>
          <w:szCs w:val="24"/>
          <w:lang w:val="en-US" w:eastAsia="zh-CN"/>
        </w:rPr>
        <w:t>标段的划分是否适当，有否标段划分过细增加工程和管理成本的问题</w:t>
      </w:r>
      <w:r>
        <w:rPr>
          <w:rFonts w:hint="eastAsia"/>
          <w:sz w:val="24"/>
          <w:szCs w:val="24"/>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2)招标文件的审查与评价。主要检查招标文件的内容是否合法合规，是否完整、严密，是否全面准确地表述招标项目的实际状况和招标人的实质性要求</w:t>
      </w:r>
      <w:r>
        <w:rPr>
          <w:rFonts w:hint="eastAsia"/>
          <w:sz w:val="24"/>
          <w:szCs w:val="24"/>
          <w:lang w:val="en-US" w:eastAsia="zh-CN"/>
        </w:rPr>
        <w:t>；</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3)协助招标人细化主要材料设备的参数、指标和品牌档次、协助业主制定专业工程的技术规范书等</w:t>
      </w:r>
      <w:r>
        <w:rPr>
          <w:rFonts w:hint="eastAsia"/>
          <w:sz w:val="24"/>
          <w:szCs w:val="24"/>
          <w:lang w:val="en-US" w:eastAsia="zh-CN"/>
        </w:rPr>
        <w:t>；</w:t>
      </w:r>
      <w:r>
        <w:rPr>
          <w:rFonts w:hint="default"/>
          <w:sz w:val="24"/>
          <w:szCs w:val="24"/>
          <w:lang w:val="en-US" w:eastAsia="zh-CN"/>
        </w:rPr>
        <w:t>4)施工招标工程量清单及控制价的审查与评价。检查其编制依据是否有效、内容是否完整，重点检查工程量计算、单价套用、费用和利润及税金计取是否合理、准确</w:t>
      </w:r>
      <w:r>
        <w:rPr>
          <w:rFonts w:hint="eastAsia"/>
          <w:sz w:val="24"/>
          <w:szCs w:val="24"/>
          <w:lang w:val="en-US" w:eastAsia="zh-CN"/>
        </w:rPr>
        <w:t>；</w:t>
      </w:r>
      <w:r>
        <w:rPr>
          <w:rFonts w:hint="default"/>
          <w:sz w:val="24"/>
          <w:szCs w:val="24"/>
          <w:lang w:val="en-US" w:eastAsia="zh-CN"/>
        </w:rPr>
        <w:t>5)审核投标清单报价的合理性。通过采用核对、比较、选等方法，对清单进行基础性数据分析和整理，找出投标清单中可能存在疑义或者显著异常的数据，在签订合同前完成对中标候选人投标文件的初步核查。</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工程施工阶段造价咨询服务内容</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(1)总承包单位进场且施工图审查合格后，按业主要求进行中标后施工工程量清单控制价的编制及审核工作。主要包括编制施工图工程量清单控制价、与总承包单位复核工程量清单控制价作为过程付款及核算的依据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(2)施工合同的审核。主要包括对建设工程的总承包合同和建设单位分包项目的分包合同审核。主要审核合同主体的合法性，合同内容与招标文件邀约、投标文件响应是否一致，工程量变更、材料设备价款调整、暂估价约定、计价计量规则条款、结算依据、审计条款等内容表述是否合规、合理、准确、完整。</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3)工程进度款的审核。根据工程进度，审核实物工程量及工程进度款，主要审核是否符合申报程序，所报进度是否与实际工程进度及实物工程量相符，计量计价方式及支付办法是否与合同约定相符，过程中如有图纸修改及时修改清单，是否存在重复申报或将业主直接采购的材料、设备虚报的现象，工程预付款是否按合同约定比例支付和扣回等。</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sz w:val="24"/>
          <w:szCs w:val="24"/>
          <w:lang w:val="en-US" w:eastAsia="zh-CN"/>
        </w:rPr>
      </w:pPr>
      <w:r>
        <w:rPr>
          <w:rFonts w:hint="default"/>
          <w:sz w:val="24"/>
          <w:szCs w:val="24"/>
          <w:lang w:val="en-US" w:eastAsia="zh-CN"/>
        </w:rPr>
        <w:t>(4)设计变更的审核。参与图纸会审、设计变更的论证。对设计变更主要审核是否符合设计变更的批准程序，变更内容是否与实际发生相符，是否由主张变更的单位或部门以书面报告形式提出，是否经过可行性论证，是否有变更费用预算书，设计变更引起造价变化的是否能作为结算依据等。重大设计变更，尤其是可能引起工程造价超出工程投资总额控制目标的设计变更，必须事先论证，按审批程序报批。在考虑成本效益的基础上，对设计变更进行审核、测算，并出具审计意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ascii="宋体" w:hAnsi="宋体" w:eastAsia="宋体" w:cs="Times New Roman"/>
          <w:sz w:val="24"/>
          <w:szCs w:val="24"/>
          <w:lang w:val="en-US" w:eastAsia="zh-CN"/>
        </w:rPr>
      </w:pPr>
      <w:r>
        <w:rPr>
          <w:rFonts w:hint="eastAsia" w:ascii="宋体" w:hAnsi="宋体" w:eastAsia="宋体" w:cs="Times New Roman"/>
          <w:sz w:val="24"/>
          <w:szCs w:val="24"/>
          <w:lang w:val="en-US" w:eastAsia="zh-CN"/>
        </w:rPr>
        <w:t>（5）</w:t>
      </w:r>
      <w:r>
        <w:rPr>
          <w:rFonts w:hint="default" w:ascii="宋体" w:hAnsi="宋体" w:eastAsia="宋体" w:cs="Times New Roman"/>
          <w:sz w:val="24"/>
          <w:szCs w:val="24"/>
          <w:lang w:val="en-US" w:eastAsia="zh-CN"/>
        </w:rPr>
        <w:t>工程签证的审核。参与工程现场签证和隐蔽工程签证等工作。对变更签证，主要审核是否符合变更签证的管理程序和批准权限，签证内容是否与实际发生相符，计量计价方式是否与合同有关条款约定相符，能否作为结算依据等，及时做好事件发生、发展终结等相关记录，必要时现场拍照，收集相关的证据资料，最终出具审核意见。</w:t>
      </w:r>
    </w:p>
    <w:p>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firstLine="480" w:firstLineChars="200"/>
        <w:textAlignment w:val="auto"/>
        <w:rPr>
          <w:rFonts w:hint="default" w:ascii="宋体" w:hAnsi="宋体" w:eastAsia="宋体" w:cs="Times New Roman"/>
          <w:sz w:val="24"/>
          <w:szCs w:val="24"/>
          <w:lang w:val="en-US" w:eastAsia="zh-CN"/>
        </w:rPr>
      </w:pPr>
      <w:r>
        <w:rPr>
          <w:rFonts w:hint="default" w:ascii="宋体" w:hAnsi="宋体" w:eastAsia="宋体" w:cs="Times New Roman"/>
          <w:sz w:val="24"/>
          <w:szCs w:val="24"/>
          <w:lang w:val="en-US" w:eastAsia="zh-CN"/>
        </w:rPr>
        <w:t>(6)材料设备价格的审核。对于材料或设备的采购或认质认价的大宗材料设备，检查是否按规定组织招标，资格预审、入围名单确定及招投标程序是否合法合规</w:t>
      </w:r>
      <w:r>
        <w:rPr>
          <w:rFonts w:hint="eastAsia" w:ascii="宋体" w:hAnsi="宋体" w:eastAsia="宋体" w:cs="Times New Roman"/>
          <w:sz w:val="24"/>
          <w:szCs w:val="24"/>
          <w:lang w:val="en-US" w:eastAsia="zh-CN"/>
        </w:rPr>
        <w:t>；</w:t>
      </w:r>
      <w:r>
        <w:rPr>
          <w:rFonts w:hint="default" w:ascii="宋体" w:hAnsi="宋体" w:eastAsia="宋体" w:cs="Times New Roman"/>
          <w:sz w:val="24"/>
          <w:szCs w:val="24"/>
          <w:lang w:val="en-US" w:eastAsia="zh-CN"/>
        </w:rPr>
        <w:t>审核招标文件及采购合同，及时出具审计意见。对于非招标确定的认质认价材料设备，根据招标人</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(7)隐蔽工程及工程验收的审核</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1)在隐蔽工程完工前，参加隐蔽工程的检查验收。现场核查隐蔽工程做法，材料是否与图纸、设计变更、施工规范、图集等相符，对超定额损耗部分，根据实际情况现场测定。造价咨询服务人员须做好审核的书面记录、照相、摄相、电子文档，保留证据。对于结算时容易产生分歧的隐蔽工程，如土方工程、路基工程、拆除工程等，应重点跟踪</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2)主体验收审核:现场核查构配件的制作方式、运输方式及运距，依据设计图及变更核查重要构件的尺寸及位置,插筋留置的方式,门窗洞口尺寸、防腐及保温材料的类型材质及实际做法，涉及工程造价变化的验收资料及索赔资料的完整性及真实性。竣工验收审计:主要核查变更、材料认证及有关索赔的书面证明材料，做好交工、验收时间记录。</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(8)索赔费用的审核。在施工过程中，对可能引起索赔的因素重点跟踪，并及时提供相关造价咨询建议，以力求避免索赔事件的发生。对已经发生的索赔事件，根据合同的约定，及时做好事件发生、发展、终结等相关记录，必要时现场拍照，收集相关证据:在规定的时间内与招标人一起及时处理索赔事件。在施工过程中，对由于施工单位的过错而引起的质量缺陷、工期延误、费用增加造成损失的，积极协助新建办及时提出反索赔。(9)其他:造价部门相关文件规定的全过程跟踪审计包括的内容。</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3.竣工结算阶段的审核</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在竣工决算初审前，按业主要求进行施工工程量清单控制价的编制及审核工作。根据初步审核建设工程竣工结算资料的完整性、真实性、有效性</w:t>
      </w:r>
      <w:r>
        <w:rPr>
          <w:rFonts w:hint="eastAsia"/>
          <w:sz w:val="24"/>
          <w:szCs w:val="24"/>
          <w:lang w:val="en-US" w:eastAsia="zh-CN"/>
        </w:rPr>
        <w:t>；</w:t>
      </w:r>
      <w:r>
        <w:rPr>
          <w:rFonts w:hint="default"/>
          <w:sz w:val="24"/>
          <w:szCs w:val="24"/>
          <w:lang w:val="en-US" w:eastAsia="zh-CN"/>
        </w:rPr>
        <w:t>现场勘查，检查实际施工是否与图纸、招标文件及答疑、图集、施工规范的要求相符</w:t>
      </w:r>
      <w:r>
        <w:rPr>
          <w:rFonts w:hint="eastAsia"/>
          <w:sz w:val="24"/>
          <w:szCs w:val="24"/>
          <w:lang w:val="en-US" w:eastAsia="zh-CN"/>
        </w:rPr>
        <w:t>；</w:t>
      </w:r>
      <w:r>
        <w:rPr>
          <w:rFonts w:hint="default"/>
          <w:sz w:val="24"/>
          <w:szCs w:val="24"/>
          <w:lang w:val="en-US" w:eastAsia="zh-CN"/>
        </w:rPr>
        <w:t>审核工程结算，包括审核工程量、取费、清单项目、综合单价等，出具审计报告，为报送最终竣工结算审计提供依据。工程造价咨询服务范围包括但不限于以下方面:范围为上述工程(含土建、安装、装饰装修、设备、材料采购、景观绿化、室外道排、项目附属配套等所有工程内容)自合同签署之日起至项目竣工结算审计完成的全过程造价咨询。</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竣工结算阶段应根据竣工图重新编制竣工图工程量清单控制价。</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4.造价咨询报告包括的主要内容</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(1)评价工程报审价的合理性，对工程造价出具初审意见。出具的咨询报告应体现以下内容:</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1)工程项目费用支出是否真实、合法，管理是否符合有关规定</w:t>
      </w:r>
      <w:r>
        <w:rPr>
          <w:rFonts w:hint="eastAsia"/>
          <w:sz w:val="24"/>
          <w:szCs w:val="24"/>
          <w:lang w:val="en-US" w:eastAsia="zh-CN"/>
        </w:rPr>
        <w:t>；</w:t>
      </w:r>
      <w:r>
        <w:rPr>
          <w:rFonts w:hint="default"/>
          <w:sz w:val="24"/>
          <w:szCs w:val="24"/>
          <w:lang w:val="en-US" w:eastAsia="zh-CN"/>
        </w:rPr>
        <w:t>道路、通水、通电等费用支出是否真实、合法。</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2)调整概算和设计变更是否按规定程序审批，手续是否齐全</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3)工程价款结算、往来账款和财务报表是否真实、合法，有无偷工减料、高估冒算、虚报冒领工程款等问题。</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4)工程量是否真实，套项及价格是否合理，计取各项费用及执行文件(合同)、选用定额版本是否准确、合规。</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5)建设项目概预算最终执行情况如何。</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(2)对工程立项至竣工验收全过程各个环节的程序真实性、合理性、合规性、合法性进行的审核，提出审核评价意见。</w:t>
      </w:r>
    </w:p>
    <w:p>
      <w:pPr>
        <w:pStyle w:val="18"/>
        <w:pageBreakBefore w:val="0"/>
        <w:widowControl w:val="0"/>
        <w:kinsoku/>
        <w:wordWrap/>
        <w:overflowPunct/>
        <w:topLinePunct w:val="0"/>
        <w:bidi w:val="0"/>
        <w:spacing w:line="560" w:lineRule="exact"/>
        <w:textAlignment w:val="auto"/>
        <w:rPr>
          <w:rFonts w:hint="default"/>
          <w:sz w:val="24"/>
          <w:szCs w:val="24"/>
          <w:lang w:val="en-US" w:eastAsia="zh-CN"/>
        </w:rPr>
      </w:pPr>
      <w:r>
        <w:rPr>
          <w:rFonts w:hint="default"/>
          <w:sz w:val="24"/>
          <w:szCs w:val="24"/>
          <w:lang w:val="en-US" w:eastAsia="zh-CN"/>
        </w:rPr>
        <w:t>5.中标单位需完成工作不局限于上述工作，需满足招标人提出的各项与造价相关的工作，费用包含在报价费率中。</w:t>
      </w:r>
    </w:p>
    <w:p>
      <w:pPr>
        <w:pageBreakBefore w:val="0"/>
        <w:widowControl w:val="0"/>
        <w:kinsoku/>
        <w:wordWrap/>
        <w:overflowPunct/>
        <w:topLinePunct w:val="0"/>
        <w:autoSpaceDE w:val="0"/>
        <w:autoSpaceDN w:val="0"/>
        <w:bidi w:val="0"/>
        <w:adjustRightInd w:val="0"/>
        <w:spacing w:line="560" w:lineRule="exact"/>
        <w:ind w:firstLine="480" w:firstLineChars="200"/>
        <w:jc w:val="left"/>
        <w:textAlignment w:val="auto"/>
        <w:rPr>
          <w:rFonts w:asciiTheme="minorEastAsia" w:hAnsiTheme="minorEastAsia" w:eastAsiaTheme="minorEastAsia"/>
          <w:kern w:val="0"/>
          <w:sz w:val="24"/>
          <w:szCs w:val="24"/>
          <w:lang w:val="zh-CN"/>
        </w:rPr>
      </w:pPr>
      <w:r>
        <w:rPr>
          <w:rFonts w:hint="eastAsia" w:ascii="宋体" w:hAnsi="宋体" w:cs="宋体"/>
          <w:sz w:val="24"/>
          <w:szCs w:val="24"/>
          <w:lang w:val="en-US" w:eastAsia="zh-CN"/>
        </w:rPr>
        <w:t>2</w:t>
      </w:r>
      <w:r>
        <w:rPr>
          <w:rFonts w:ascii="宋体" w:hAnsi="宋体" w:cs="宋体"/>
          <w:sz w:val="24"/>
          <w:szCs w:val="24"/>
        </w:rPr>
        <w:t>.</w:t>
      </w:r>
      <w:r>
        <w:rPr>
          <w:rFonts w:hint="eastAsia" w:asciiTheme="minorEastAsia" w:hAnsiTheme="minorEastAsia" w:eastAsiaTheme="minorEastAsia"/>
          <w:kern w:val="0"/>
          <w:sz w:val="24"/>
          <w:szCs w:val="24"/>
          <w:lang w:val="zh-CN"/>
        </w:rPr>
        <w:t>结算初审</w:t>
      </w:r>
      <w:r>
        <w:rPr>
          <w:rFonts w:hint="eastAsia" w:ascii="宋体" w:hAnsi="宋体" w:cs="宋体"/>
          <w:sz w:val="24"/>
          <w:szCs w:val="24"/>
        </w:rPr>
        <w:t>服务内容如下：</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（1）审核结算资料是否真实和完整</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（2）落实审核范围，进行现场勘查</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（3）按工程量计算规则和经审定的施工图计算工程量是否准确，有无重算、漏算等问题</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（4）套用的定额是否与工程应执行的定额标准相符</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（5）取费系数及计算是否符合规定</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（6）设备、材料是否按招标文件、施工合同、国家定价或市场价计价</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（7）设计变更单、签证单、工程联系单、工程量确认单等资料是否真实、有效，数据是否准确，手续是否完备，有无重签、多签等问题</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（8）审核材料价格依据是否准确</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（9）审核综合单价组价是否准确</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（10）审核措施费、其他项目费及税金</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（11）审核变更签证手续是否完善，数据是否准确有效。有无重签、多签等问题。</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hint="eastAsia" w:asciiTheme="minorEastAsia" w:hAnsiTheme="minorEastAsia" w:eastAsiaTheme="minorEastAsia"/>
          <w:kern w:val="0"/>
          <w:sz w:val="24"/>
          <w:szCs w:val="24"/>
          <w:lang w:val="en-US" w:eastAsia="zh-CN"/>
        </w:rPr>
        <w:t>3</w:t>
      </w:r>
      <w:r>
        <w:rPr>
          <w:rFonts w:asciiTheme="minorEastAsia" w:hAnsiTheme="minorEastAsia" w:eastAsiaTheme="minorEastAsia"/>
          <w:kern w:val="0"/>
          <w:sz w:val="24"/>
          <w:szCs w:val="24"/>
          <w:lang w:val="zh-CN"/>
        </w:rPr>
        <w:t>.</w:t>
      </w:r>
      <w:r>
        <w:rPr>
          <w:rFonts w:hint="eastAsia" w:asciiTheme="minorEastAsia" w:hAnsiTheme="minorEastAsia" w:eastAsiaTheme="minorEastAsia"/>
          <w:kern w:val="0"/>
          <w:sz w:val="24"/>
          <w:szCs w:val="24"/>
          <w:lang w:val="zh-CN"/>
        </w:rPr>
        <w:t>结算初审</w:t>
      </w:r>
      <w:r>
        <w:rPr>
          <w:rFonts w:asciiTheme="minorEastAsia" w:hAnsiTheme="minorEastAsia" w:eastAsiaTheme="minorEastAsia"/>
          <w:kern w:val="0"/>
          <w:sz w:val="24"/>
          <w:szCs w:val="24"/>
          <w:lang w:val="zh-CN"/>
        </w:rPr>
        <w:t>相关要求</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（1）</w:t>
      </w:r>
      <w:r>
        <w:rPr>
          <w:rFonts w:hint="eastAsia" w:asciiTheme="minorEastAsia" w:hAnsiTheme="minorEastAsia" w:eastAsiaTheme="minorEastAsia"/>
          <w:kern w:val="0"/>
          <w:sz w:val="24"/>
          <w:szCs w:val="24"/>
          <w:lang w:val="zh-CN"/>
        </w:rPr>
        <w:t>中标人接到审核资料后检查资料的合法性与完整性3日内书面向建设单位反馈意见，</w:t>
      </w:r>
      <w:r>
        <w:rPr>
          <w:rFonts w:asciiTheme="minorEastAsia" w:hAnsiTheme="minorEastAsia" w:eastAsiaTheme="minorEastAsia"/>
          <w:kern w:val="0"/>
          <w:sz w:val="24"/>
          <w:szCs w:val="24"/>
          <w:lang w:val="zh-CN"/>
        </w:rPr>
        <w:t>书面</w:t>
      </w:r>
      <w:r>
        <w:rPr>
          <w:rFonts w:hint="eastAsia" w:asciiTheme="minorEastAsia" w:hAnsiTheme="minorEastAsia" w:eastAsiaTheme="minorEastAsia"/>
          <w:kern w:val="0"/>
          <w:sz w:val="24"/>
          <w:szCs w:val="24"/>
          <w:lang w:val="zh-CN"/>
        </w:rPr>
        <w:t>提出需要补充资料的详单。中标人接收审核资料后，3个工作日内组织现场勘察，5000万以下项目10个工作日内出具审核初稿，5000万及以上项目15个工作日内出具审核初稿。需对账的，建设单位负责3个工作日内组织与项目有关人员进行对账；需协调的，建设单位负责3个工作日内应组织与项目有关人员进行协调；对账结束后3个工作日内，造价咨询机构向建设单位、施工单位发放审核定案表征求意见。</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（2）造价单位对确需补充结算材料的施工项目，应以书面形式告知施工单位限期补齐材料。</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asciiTheme="minorEastAsia" w:hAnsiTheme="minorEastAsia" w:eastAsiaTheme="minorEastAsia"/>
          <w:kern w:val="0"/>
          <w:sz w:val="24"/>
          <w:szCs w:val="24"/>
          <w:lang w:val="zh-CN"/>
        </w:rPr>
      </w:pPr>
      <w:r>
        <w:rPr>
          <w:rFonts w:asciiTheme="minorEastAsia" w:hAnsiTheme="minorEastAsia" w:eastAsiaTheme="minorEastAsia"/>
          <w:kern w:val="0"/>
          <w:sz w:val="24"/>
          <w:szCs w:val="24"/>
          <w:lang w:val="zh-CN"/>
        </w:rPr>
        <w:t>（3）对未按期补充材料的单位，应出具停审意见书</w:t>
      </w:r>
      <w:r>
        <w:rPr>
          <w:rFonts w:hint="eastAsia" w:asciiTheme="minorEastAsia" w:hAnsiTheme="minorEastAsia" w:eastAsiaTheme="minorEastAsia"/>
          <w:kern w:val="0"/>
          <w:sz w:val="24"/>
          <w:szCs w:val="24"/>
          <w:lang w:val="zh-CN"/>
        </w:rPr>
        <w:t>，</w:t>
      </w:r>
      <w:r>
        <w:rPr>
          <w:rFonts w:asciiTheme="minorEastAsia" w:hAnsiTheme="minorEastAsia" w:eastAsiaTheme="minorEastAsia"/>
          <w:kern w:val="0"/>
          <w:sz w:val="24"/>
          <w:szCs w:val="24"/>
          <w:lang w:val="zh-CN"/>
        </w:rPr>
        <w:t>并及时告知建设单位。</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cs="Times New Roman" w:asciiTheme="minorEastAsia" w:hAnsiTheme="minorEastAsia" w:eastAsiaTheme="minorEastAsia"/>
          <w:kern w:val="0"/>
          <w:sz w:val="24"/>
          <w:szCs w:val="24"/>
          <w:lang w:val="en-US" w:eastAsia="zh-CN"/>
        </w:rPr>
      </w:pPr>
      <w:r>
        <w:rPr>
          <w:rFonts w:hint="eastAsia" w:cs="Times New Roman" w:asciiTheme="minorEastAsia" w:hAnsiTheme="minorEastAsia" w:eastAsiaTheme="minorEastAsia"/>
          <w:kern w:val="0"/>
          <w:sz w:val="24"/>
          <w:szCs w:val="24"/>
          <w:lang w:val="en-US" w:eastAsia="zh-CN"/>
        </w:rPr>
        <w:t>4.结算复审相关要求</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hint="eastAsia" w:ascii="宋体" w:hAnsi="宋体" w:cs="宋体"/>
          <w:sz w:val="24"/>
          <w:szCs w:val="24"/>
        </w:rPr>
        <w:t>100万以上项目，初审结束3个工作日内安排复核，工作流程及审核内容如下：</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（1）审核结算资料是否真实和完整</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（2）落实审核范围，进行现场勘查</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（3）按工程量计算规则和经审定的施工图计算工程量是否准确，有无重算、漏算等问题</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（4）套用的定额是否与工程应执行的定额标准相符</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（5）取费系数及计算是否符合规定</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（6）设备、材料是否按招标文件、施工合同、国家定价或市场价计价</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（7）设计变更单、签证单、工程联系单、工程量确认单等资料是否真实、有效，数据是否准确，手续是否完备，有无重签、多签等问题</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（8）审核材料价格依据是否准确</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（9）审核综合单价组价是否准确</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（10）审核措施费、其他项目费及税金</w:t>
      </w:r>
    </w:p>
    <w:p>
      <w:pPr>
        <w:pageBreakBefore w:val="0"/>
        <w:widowControl w:val="0"/>
        <w:kinsoku/>
        <w:wordWrap/>
        <w:overflowPunct/>
        <w:topLinePunct w:val="0"/>
        <w:autoSpaceDE w:val="0"/>
        <w:autoSpaceDN w:val="0"/>
        <w:bidi w:val="0"/>
        <w:adjustRightInd w:val="0"/>
        <w:spacing w:line="560" w:lineRule="exact"/>
        <w:ind w:firstLine="436" w:firstLineChars="182"/>
        <w:jc w:val="left"/>
        <w:textAlignment w:val="auto"/>
        <w:rPr>
          <w:rFonts w:ascii="宋体" w:hAnsi="宋体" w:cs="宋体"/>
          <w:sz w:val="24"/>
          <w:szCs w:val="24"/>
        </w:rPr>
      </w:pPr>
      <w:r>
        <w:rPr>
          <w:rFonts w:ascii="宋体" w:hAnsi="宋体" w:cs="宋体"/>
          <w:sz w:val="24"/>
          <w:szCs w:val="24"/>
        </w:rPr>
        <w:t>（11）审核变更签证手续是否完善，数据是否准确有效。有无重签、多签等问题。</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cs="宋体"/>
          <w:sz w:val="24"/>
          <w:szCs w:val="24"/>
        </w:rPr>
      </w:pPr>
      <w:r>
        <w:rPr>
          <w:rFonts w:hint="eastAsia" w:ascii="宋体" w:hAnsi="宋体" w:cs="宋体"/>
          <w:sz w:val="24"/>
          <w:szCs w:val="24"/>
        </w:rPr>
        <w:t>结算复审工作要求：复核单位机构接收资料后，3个工作日内安排看现场，10个工作日内出具审核初稿并联系初审造价咨询机构对账，无异议后安排施工单位与复核造价咨询机构对账，各方同意定案后，经建设、施工单位签字盖章后，复核造价咨询机构5日内出具最终的复核审核报告作为结算依据。</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b/>
          <w:bCs/>
          <w:sz w:val="24"/>
          <w:szCs w:val="24"/>
          <w:lang w:val="en-US" w:eastAsia="zh-CN"/>
        </w:rPr>
      </w:pPr>
      <w:r>
        <w:rPr>
          <w:rFonts w:hint="eastAsia"/>
          <w:b/>
          <w:bCs/>
          <w:sz w:val="24"/>
          <w:szCs w:val="24"/>
          <w:lang w:val="en-US" w:eastAsia="zh-CN"/>
        </w:rPr>
        <w:t>5.审计单位在承办复审审计业务时，有下列情形之一的，应当主动回避：</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b/>
          <w:bCs/>
          <w:sz w:val="24"/>
          <w:szCs w:val="24"/>
          <w:lang w:val="en-US" w:eastAsia="zh-CN"/>
        </w:rPr>
      </w:pPr>
      <w:r>
        <w:rPr>
          <w:rFonts w:hint="eastAsia"/>
          <w:b/>
          <w:bCs/>
          <w:sz w:val="24"/>
          <w:szCs w:val="24"/>
          <w:lang w:val="en-US" w:eastAsia="zh-CN"/>
        </w:rPr>
        <w:t>（1）参与审计项目的设计、监理、工程量清单及最高投标控制价编制的；</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b/>
          <w:bCs/>
          <w:sz w:val="24"/>
          <w:szCs w:val="24"/>
          <w:lang w:val="en-US" w:eastAsia="zh-CN"/>
        </w:rPr>
      </w:pPr>
      <w:r>
        <w:rPr>
          <w:rFonts w:hint="eastAsia"/>
          <w:b/>
          <w:bCs/>
          <w:sz w:val="24"/>
          <w:szCs w:val="24"/>
          <w:lang w:val="en-US" w:eastAsia="zh-CN"/>
        </w:rPr>
        <w:t>（2）参与审计项目跟踪审计（或全过程造价咨询）、结算初审工作的；</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b/>
          <w:bCs/>
          <w:sz w:val="24"/>
          <w:szCs w:val="24"/>
          <w:lang w:val="en-US" w:eastAsia="zh-CN"/>
        </w:rPr>
      </w:pPr>
      <w:r>
        <w:rPr>
          <w:rFonts w:hint="eastAsia"/>
          <w:b/>
          <w:bCs/>
          <w:sz w:val="24"/>
          <w:szCs w:val="24"/>
          <w:lang w:val="en-US" w:eastAsia="zh-CN"/>
        </w:rPr>
        <w:t>（3）与被审计单位或者审计事项有利害关系的；</w:t>
      </w:r>
    </w:p>
    <w:p>
      <w:pPr>
        <w:pStyle w:val="18"/>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b/>
          <w:bCs/>
          <w:sz w:val="24"/>
          <w:szCs w:val="24"/>
          <w:lang w:val="en-US" w:eastAsia="zh-CN"/>
        </w:rPr>
      </w:pPr>
      <w:r>
        <w:rPr>
          <w:rFonts w:hint="eastAsia"/>
          <w:b/>
          <w:bCs/>
          <w:sz w:val="24"/>
          <w:szCs w:val="24"/>
          <w:lang w:val="en-US" w:eastAsia="zh-CN"/>
        </w:rPr>
        <w:t>（4）其他影响审计公正事项的。</w:t>
      </w:r>
    </w:p>
    <w:p>
      <w:pPr>
        <w:pageBreakBefore w:val="0"/>
        <w:widowControl w:val="0"/>
        <w:kinsoku/>
        <w:wordWrap/>
        <w:overflowPunct/>
        <w:topLinePunct w:val="0"/>
        <w:autoSpaceDE w:val="0"/>
        <w:autoSpaceDN w:val="0"/>
        <w:bidi w:val="0"/>
        <w:adjustRightInd w:val="0"/>
        <w:spacing w:line="560" w:lineRule="exact"/>
        <w:ind w:firstLine="480" w:firstLineChars="200"/>
        <w:textAlignment w:val="auto"/>
        <w:rPr>
          <w:rFonts w:hint="eastAsia" w:cs="Times New Roman" w:asciiTheme="minorEastAsia" w:hAnsiTheme="minorEastAsia" w:eastAsiaTheme="minorEastAsia"/>
          <w:kern w:val="0"/>
          <w:sz w:val="24"/>
          <w:szCs w:val="24"/>
          <w:lang w:val="en-US" w:eastAsia="zh-CN"/>
        </w:rPr>
      </w:pPr>
      <w:r>
        <w:rPr>
          <w:rFonts w:hint="eastAsia" w:cs="Times New Roman" w:asciiTheme="minorEastAsia" w:hAnsiTheme="minorEastAsia" w:eastAsiaTheme="minorEastAsia"/>
          <w:kern w:val="0"/>
          <w:sz w:val="24"/>
          <w:szCs w:val="24"/>
          <w:lang w:val="en-US" w:eastAsia="zh-CN"/>
        </w:rPr>
        <w:t>6.其他相关要求</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eastAsia" w:ascii="Times New Roman" w:hAnsi="宋体" w:eastAsia="宋体" w:cs="宋体"/>
          <w:sz w:val="24"/>
          <w:szCs w:val="24"/>
          <w:highlight w:val="none"/>
          <w:lang w:val="en-US" w:eastAsia="zh-CN"/>
        </w:rPr>
        <w:t>1.</w:t>
      </w:r>
      <w:r>
        <w:rPr>
          <w:rFonts w:hint="default" w:ascii="Times New Roman" w:hAnsi="宋体" w:eastAsia="宋体" w:cs="宋体"/>
          <w:sz w:val="24"/>
          <w:szCs w:val="24"/>
          <w:highlight w:val="none"/>
          <w:lang w:val="en-US" w:eastAsia="zh-CN"/>
        </w:rPr>
        <w:t>中标人不得将承接项目分包、转包。</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eastAsia" w:ascii="Times New Roman" w:hAnsi="宋体" w:eastAsia="宋体" w:cs="宋体"/>
          <w:sz w:val="24"/>
          <w:szCs w:val="24"/>
          <w:highlight w:val="none"/>
          <w:lang w:val="en-US" w:eastAsia="zh-CN"/>
        </w:rPr>
        <w:t>2.</w:t>
      </w:r>
      <w:r>
        <w:rPr>
          <w:rFonts w:hint="default" w:ascii="Times New Roman" w:hAnsi="宋体" w:eastAsia="宋体" w:cs="宋体"/>
          <w:sz w:val="24"/>
          <w:szCs w:val="24"/>
          <w:highlight w:val="none"/>
          <w:lang w:val="en-US" w:eastAsia="zh-CN"/>
        </w:rPr>
        <w:t>中标供应商应及时认真地分析阅读施工图纸、设计变更、技术签证等相关文件资料，经常去施工现场勘察测量和了解实际情况并做好记录，中标供应商应根据建设单位(及监理公司)提供的有关审计资料在规定的工作日内完成审核工作，不得无故拖延时间。</w:t>
      </w:r>
    </w:p>
    <w:p>
      <w:pPr>
        <w:pageBreakBefore w:val="0"/>
        <w:widowControl w:val="0"/>
        <w:kinsoku/>
        <w:wordWrap/>
        <w:overflowPunct/>
        <w:topLinePunct w:val="0"/>
        <w:bidi w:val="0"/>
        <w:spacing w:line="560" w:lineRule="exact"/>
        <w:ind w:firstLine="480" w:firstLineChars="200"/>
        <w:textAlignment w:val="auto"/>
        <w:rPr>
          <w:rFonts w:hint="default" w:ascii="Times New Roman" w:hAnsi="宋体" w:eastAsia="宋体" w:cs="宋体"/>
          <w:sz w:val="24"/>
          <w:szCs w:val="24"/>
          <w:highlight w:val="none"/>
          <w:lang w:val="en-US" w:eastAsia="zh-CN"/>
        </w:rPr>
      </w:pPr>
      <w:r>
        <w:rPr>
          <w:rFonts w:hint="eastAsia" w:ascii="Times New Roman" w:hAnsi="宋体" w:eastAsia="宋体" w:cs="宋体"/>
          <w:sz w:val="24"/>
          <w:szCs w:val="24"/>
          <w:highlight w:val="none"/>
          <w:lang w:val="en-US" w:eastAsia="zh-CN"/>
        </w:rPr>
        <w:t>3.招标人</w:t>
      </w:r>
      <w:r>
        <w:rPr>
          <w:rFonts w:hint="default" w:ascii="Times New Roman" w:hAnsi="宋体" w:eastAsia="宋体" w:cs="宋体"/>
          <w:sz w:val="24"/>
          <w:szCs w:val="24"/>
          <w:highlight w:val="none"/>
          <w:lang w:val="en-US" w:eastAsia="zh-CN"/>
        </w:rPr>
        <w:t>可以进行必要的现场调查和监督，随时调阅有关资料和要求参与审查人员的答疑。若中标供应商未按委托协议完成业务或审查中出现严重差错，庐阳区审计局有权追究中标供应商法律和经济责任，并视情节扣减部分或全部委托费，直至终止委托关系。</w:t>
      </w:r>
    </w:p>
    <w:p>
      <w:pPr>
        <w:pageBreakBefore w:val="0"/>
        <w:widowControl w:val="0"/>
        <w:kinsoku/>
        <w:wordWrap/>
        <w:overflowPunct/>
        <w:topLinePunct w:val="0"/>
        <w:bidi w:val="0"/>
        <w:spacing w:line="560" w:lineRule="exact"/>
        <w:ind w:firstLine="480" w:firstLineChars="200"/>
        <w:textAlignment w:val="auto"/>
        <w:rPr>
          <w:rFonts w:hint="default"/>
          <w:sz w:val="24"/>
          <w:szCs w:val="24"/>
          <w:lang w:val="en-US" w:eastAsia="zh-CN"/>
        </w:rPr>
      </w:pPr>
      <w:r>
        <w:rPr>
          <w:rFonts w:hint="eastAsia" w:ascii="Times New Roman" w:hAnsi="宋体" w:eastAsia="宋体" w:cs="宋体"/>
          <w:sz w:val="24"/>
          <w:szCs w:val="24"/>
          <w:highlight w:val="none"/>
          <w:lang w:val="en-US" w:eastAsia="zh-CN"/>
        </w:rPr>
        <w:t>4.招标人</w:t>
      </w:r>
      <w:r>
        <w:rPr>
          <w:rFonts w:hint="default" w:ascii="Times New Roman" w:hAnsi="宋体" w:eastAsia="宋体" w:cs="宋体"/>
          <w:sz w:val="24"/>
          <w:szCs w:val="24"/>
          <w:highlight w:val="none"/>
          <w:lang w:val="en-US" w:eastAsia="zh-CN"/>
        </w:rPr>
        <w:t>监督合同的执行，协调和处理履约过程中的问题，同时对中标供应商协审服务进行考核评价。中标供应商应本着客观、公正、公平的原则，正确履行审核职责，同时承担相应的法律责任，对中标供应商违规违法行为按情节轻重给予处罚，并按有关规定吊销当事人的审核资格。情节严重，造成国家重大损失的，移送司法机关追究刑事责</w:t>
      </w:r>
      <w:r>
        <w:rPr>
          <w:rFonts w:hint="default"/>
          <w:sz w:val="24"/>
          <w:szCs w:val="24"/>
          <w:lang w:val="en-US" w:eastAsia="zh-CN"/>
        </w:rPr>
        <w:t>任。</w:t>
      </w:r>
    </w:p>
    <w:p>
      <w:pPr>
        <w:pageBreakBefore w:val="0"/>
        <w:widowControl w:val="0"/>
        <w:kinsoku/>
        <w:wordWrap/>
        <w:overflowPunct/>
        <w:topLinePunct w:val="0"/>
        <w:bidi w:val="0"/>
        <w:snapToGrid w:val="0"/>
        <w:spacing w:line="560" w:lineRule="exact"/>
        <w:ind w:firstLine="482" w:firstLineChars="200"/>
        <w:textAlignment w:val="auto"/>
        <w:rPr>
          <w:rFonts w:hint="eastAsia" w:hAnsi="宋体" w:cs="宋体"/>
          <w:b/>
          <w:bCs/>
          <w:sz w:val="24"/>
          <w:szCs w:val="24"/>
        </w:rPr>
      </w:pPr>
      <w:r>
        <w:rPr>
          <w:rFonts w:hint="eastAsia" w:hAnsi="宋体" w:cs="宋体"/>
          <w:b/>
          <w:bCs/>
          <w:sz w:val="24"/>
          <w:szCs w:val="24"/>
        </w:rPr>
        <w:t>五、服务期内的履约管理规定</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rPr>
      </w:pPr>
      <w:r>
        <w:rPr>
          <w:rFonts w:hint="eastAsia" w:hAnsi="宋体" w:cs="宋体"/>
          <w:sz w:val="24"/>
          <w:szCs w:val="24"/>
        </w:rPr>
        <w:t>1</w:t>
      </w:r>
      <w:r>
        <w:rPr>
          <w:rFonts w:hint="eastAsia" w:hAnsi="宋体" w:cs="宋体"/>
          <w:sz w:val="24"/>
          <w:szCs w:val="24"/>
          <w:lang w:val="en-US" w:eastAsia="zh-CN"/>
        </w:rPr>
        <w:t>.</w:t>
      </w:r>
      <w:r>
        <w:rPr>
          <w:rFonts w:hint="eastAsia" w:hAnsi="宋体" w:cs="宋体"/>
          <w:sz w:val="24"/>
          <w:szCs w:val="24"/>
        </w:rPr>
        <w:t>具体承接项目方式为：</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rPr>
      </w:pPr>
      <w:r>
        <w:rPr>
          <w:rFonts w:hint="eastAsia" w:hAnsi="宋体" w:cs="宋体"/>
          <w:sz w:val="24"/>
          <w:szCs w:val="24"/>
        </w:rPr>
        <w:t>原则上通过庐阳文旅集团派发工程项目审计委托单后开展项目工程</w:t>
      </w:r>
      <w:r>
        <w:rPr>
          <w:rFonts w:hint="eastAsia" w:hAnsi="宋体" w:cs="宋体"/>
          <w:sz w:val="24"/>
          <w:szCs w:val="24"/>
          <w:lang w:val="en-US" w:eastAsia="zh-CN"/>
        </w:rPr>
        <w:t>具体实施</w:t>
      </w:r>
      <w:r>
        <w:rPr>
          <w:rFonts w:hint="eastAsia" w:hAnsi="宋体" w:cs="宋体"/>
          <w:sz w:val="24"/>
          <w:szCs w:val="24"/>
        </w:rPr>
        <w:t>工作。</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rPr>
      </w:pPr>
      <w:r>
        <w:rPr>
          <w:rFonts w:hint="eastAsia" w:hAnsi="宋体" w:cs="宋体"/>
          <w:sz w:val="24"/>
          <w:szCs w:val="24"/>
        </w:rPr>
        <w:t>2</w:t>
      </w:r>
      <w:r>
        <w:rPr>
          <w:rFonts w:hint="eastAsia" w:hAnsi="宋体" w:cs="宋体"/>
          <w:sz w:val="24"/>
          <w:szCs w:val="24"/>
          <w:lang w:val="en-US" w:eastAsia="zh-CN"/>
        </w:rPr>
        <w:t>.</w:t>
      </w:r>
      <w:r>
        <w:rPr>
          <w:rFonts w:hint="eastAsia" w:hAnsi="宋体" w:cs="宋体"/>
          <w:sz w:val="24"/>
          <w:szCs w:val="24"/>
        </w:rPr>
        <w:t>庐阳文旅集团实行动态管理，对审计活动中出现的问题，造价咨询单位应及时向庐阳文旅集团反馈并提出建议，为业主提供高质量的审计成果文件。</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rPr>
      </w:pPr>
      <w:r>
        <w:rPr>
          <w:rFonts w:hint="eastAsia" w:hAnsi="宋体" w:cs="宋体"/>
          <w:sz w:val="24"/>
          <w:szCs w:val="24"/>
        </w:rPr>
        <w:t>3</w:t>
      </w:r>
      <w:r>
        <w:rPr>
          <w:rFonts w:hint="eastAsia" w:hAnsi="宋体" w:cs="宋体"/>
          <w:sz w:val="24"/>
          <w:szCs w:val="24"/>
          <w:lang w:val="en-US" w:eastAsia="zh-CN"/>
        </w:rPr>
        <w:t>.</w:t>
      </w:r>
      <w:r>
        <w:rPr>
          <w:rFonts w:hint="eastAsia" w:hAnsi="宋体" w:cs="宋体"/>
          <w:sz w:val="24"/>
          <w:szCs w:val="24"/>
        </w:rPr>
        <w:t>造价咨询单位派出人员出现资质造假、重大审计质量问题或廉政问题的，庐阳文旅集团将视具体情况作出立即停止业务委托，并报行业监督管理部门处理。</w:t>
      </w:r>
    </w:p>
    <w:p>
      <w:pPr>
        <w:pageBreakBefore w:val="0"/>
        <w:widowControl w:val="0"/>
        <w:kinsoku/>
        <w:wordWrap/>
        <w:overflowPunct/>
        <w:topLinePunct w:val="0"/>
        <w:bidi w:val="0"/>
        <w:snapToGrid w:val="0"/>
        <w:spacing w:line="560" w:lineRule="exact"/>
        <w:ind w:firstLine="482" w:firstLineChars="200"/>
        <w:textAlignment w:val="auto"/>
        <w:rPr>
          <w:rFonts w:hint="eastAsia" w:hAnsi="宋体" w:cs="宋体"/>
          <w:b/>
          <w:bCs/>
          <w:sz w:val="24"/>
          <w:szCs w:val="24"/>
        </w:rPr>
      </w:pPr>
      <w:r>
        <w:rPr>
          <w:rFonts w:hint="eastAsia" w:hAnsi="宋体" w:cs="宋体"/>
          <w:b/>
          <w:bCs/>
          <w:sz w:val="24"/>
          <w:szCs w:val="24"/>
        </w:rPr>
        <w:t>六、</w:t>
      </w:r>
      <w:r>
        <w:rPr>
          <w:rFonts w:hint="eastAsia" w:hAnsi="宋体" w:cs="宋体"/>
          <w:b/>
          <w:bCs/>
          <w:sz w:val="24"/>
          <w:szCs w:val="24"/>
          <w:lang w:val="en-US" w:eastAsia="zh-CN"/>
        </w:rPr>
        <w:t>其</w:t>
      </w:r>
      <w:r>
        <w:rPr>
          <w:rFonts w:hint="eastAsia" w:hAnsi="宋体" w:cs="宋体"/>
          <w:b/>
          <w:bCs/>
          <w:sz w:val="24"/>
          <w:szCs w:val="24"/>
        </w:rPr>
        <w:t>他说明</w:t>
      </w:r>
    </w:p>
    <w:p>
      <w:pPr>
        <w:pageBreakBefore w:val="0"/>
        <w:widowControl w:val="0"/>
        <w:kinsoku/>
        <w:wordWrap/>
        <w:overflowPunct/>
        <w:topLinePunct w:val="0"/>
        <w:bidi w:val="0"/>
        <w:spacing w:line="5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1、中标供应商须按本地建设主管部门相关规定开展业务。</w:t>
      </w:r>
    </w:p>
    <w:p>
      <w:pPr>
        <w:pageBreakBefore w:val="0"/>
        <w:widowControl w:val="0"/>
        <w:kinsoku/>
        <w:wordWrap/>
        <w:overflowPunct/>
        <w:topLinePunct w:val="0"/>
        <w:bidi w:val="0"/>
        <w:spacing w:line="56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2、中标供应商在审计过程中须接受庐阳文旅集团的日常业务管理。</w:t>
      </w:r>
    </w:p>
    <w:p>
      <w:pPr>
        <w:pageBreakBefore w:val="0"/>
        <w:widowControl w:val="0"/>
        <w:kinsoku/>
        <w:wordWrap/>
        <w:overflowPunct/>
        <w:topLinePunct w:val="0"/>
        <w:bidi w:val="0"/>
        <w:spacing w:line="560" w:lineRule="exact"/>
        <w:ind w:firstLine="480" w:firstLineChars="200"/>
        <w:textAlignment w:val="auto"/>
        <w:rPr>
          <w:rFonts w:hint="eastAsia" w:hAnsi="宋体" w:cs="宋体"/>
          <w:sz w:val="24"/>
          <w:szCs w:val="24"/>
        </w:rPr>
      </w:pPr>
      <w:r>
        <w:rPr>
          <w:rFonts w:hint="eastAsia" w:ascii="宋体" w:hAnsi="宋体" w:eastAsia="宋体" w:cs="宋体"/>
          <w:sz w:val="24"/>
          <w:szCs w:val="24"/>
          <w:highlight w:val="none"/>
        </w:rPr>
        <w:t>3、中标供应商在协审过程中必须接受庐阳区审计局的日常业务管理</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遵守《庐阳区政府投资建设项目审计管理办法》、《合肥市庐阳区审计局投资审计项目</w:t>
      </w:r>
      <w:r>
        <w:rPr>
          <w:rFonts w:hint="eastAsia" w:ascii="宋体" w:hAnsi="宋体" w:eastAsia="宋体" w:cs="宋体"/>
          <w:sz w:val="24"/>
          <w:szCs w:val="24"/>
        </w:rPr>
        <w:t>委托审计业务考核办法》、《合肥市庐阳区审计局关于协审机构参与政府投资建设项目工程价款结算审核操作办法》、《合</w:t>
      </w:r>
      <w:r>
        <w:rPr>
          <w:rFonts w:hint="eastAsia" w:hAnsi="宋体" w:cs="宋体"/>
          <w:sz w:val="24"/>
          <w:szCs w:val="24"/>
        </w:rPr>
        <w:t>肥市庐阳区审计局关于协审机构参与政府投资建设项目跟踪审计管理办法》等制度办法规定。</w:t>
      </w:r>
    </w:p>
    <w:p>
      <w:pPr>
        <w:pageBreakBefore w:val="0"/>
        <w:widowControl w:val="0"/>
        <w:kinsoku/>
        <w:wordWrap/>
        <w:overflowPunct/>
        <w:topLinePunct w:val="0"/>
        <w:bidi w:val="0"/>
        <w:spacing w:line="560" w:lineRule="exact"/>
        <w:ind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七、付款方式</w:t>
      </w:r>
    </w:p>
    <w:p>
      <w:pPr>
        <w:pageBreakBefore w:val="0"/>
        <w:widowControl w:val="0"/>
        <w:kinsoku/>
        <w:wordWrap/>
        <w:overflowPunct/>
        <w:topLinePunct w:val="0"/>
        <w:bidi w:val="0"/>
        <w:spacing w:line="560" w:lineRule="exact"/>
        <w:ind w:firstLine="480" w:firstLineChars="200"/>
        <w:textAlignment w:val="auto"/>
        <w:rPr>
          <w:rFonts w:hint="default" w:ascii="宋体" w:hAnsi="宋体" w:eastAsia="宋体" w:cs="宋体"/>
          <w:sz w:val="24"/>
          <w:szCs w:val="24"/>
          <w:highlight w:val="none"/>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4"/>
          <w:szCs w:val="24"/>
          <w:highlight w:val="none"/>
          <w:lang w:val="en-US" w:eastAsia="zh-CN"/>
        </w:rPr>
        <w:t>针对单个项目任务，造价咨询工作完成并出具合法有效的成果文件后付至该项目任务结算价80%，该项目竣工验收完成后付至结算价的95%，余款待结算复审(终审)审计报告出具后一次性无息付清。如零星或其他委托事项任务，出具合法有效的成果文件后一次性付清。</w:t>
      </w:r>
    </w:p>
    <w:p>
      <w:pPr>
        <w:rPr>
          <w:rFonts w:hint="eastAsia" w:ascii="黑体" w:hAnsi="黑体"/>
          <w:b w:val="0"/>
        </w:rPr>
      </w:pPr>
      <w:bookmarkStart w:id="41" w:name="_Toc38879335"/>
      <w:bookmarkStart w:id="42" w:name="_Toc63412030"/>
    </w:p>
    <w:p>
      <w:pPr>
        <w:pStyle w:val="3"/>
        <w:rPr>
          <w:b w:val="0"/>
          <w:szCs w:val="22"/>
        </w:rPr>
      </w:pPr>
      <w:bookmarkStart w:id="43" w:name="_Toc15541"/>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7"/>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1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414"/>
        <w:gridCol w:w="2182"/>
        <w:gridCol w:w="773"/>
        <w:gridCol w:w="2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8720" w:type="dxa"/>
            <w:gridSpan w:val="5"/>
            <w:vAlign w:val="center"/>
          </w:tcPr>
          <w:p>
            <w:pPr>
              <w:pStyle w:val="32"/>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2" w:type="dxa"/>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2414" w:type="dxa"/>
            <w:tcBorders>
              <w:bottom w:val="single" w:color="auto" w:sz="4" w:space="0"/>
            </w:tcBorders>
            <w:vAlign w:val="center"/>
          </w:tcPr>
          <w:p>
            <w:pPr>
              <w:pStyle w:val="32"/>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2182"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773"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2619"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32" w:type="dxa"/>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2414" w:type="dxa"/>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2182" w:type="dxa"/>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773" w:type="dxa"/>
            <w:tcBorders>
              <w:bottom w:val="single" w:color="auto" w:sz="4" w:space="0"/>
            </w:tcBorders>
            <w:vAlign w:val="center"/>
          </w:tcPr>
          <w:p>
            <w:pPr>
              <w:adjustRightInd w:val="0"/>
              <w:snapToGrid w:val="0"/>
              <w:spacing w:line="420" w:lineRule="exact"/>
              <w:ind w:right="-11"/>
              <w:jc w:val="center"/>
              <w:rPr>
                <w:rFonts w:hAnsi="宋体"/>
                <w:szCs w:val="24"/>
              </w:rPr>
            </w:pPr>
          </w:p>
        </w:tc>
        <w:tc>
          <w:tcPr>
            <w:tcW w:w="2619" w:type="dxa"/>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2" w:type="dxa"/>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2414" w:type="dxa"/>
            <w:vAlign w:val="center"/>
          </w:tcPr>
          <w:p>
            <w:pPr>
              <w:spacing w:line="420" w:lineRule="exact"/>
              <w:ind w:right="-11"/>
              <w:jc w:val="center"/>
              <w:rPr>
                <w:rFonts w:hAnsi="宋体"/>
                <w:szCs w:val="24"/>
              </w:rPr>
            </w:pPr>
            <w:r>
              <w:rPr>
                <w:rFonts w:hint="eastAsia" w:hAnsi="宋体"/>
                <w:szCs w:val="24"/>
              </w:rPr>
              <w:t>投标函</w:t>
            </w:r>
          </w:p>
        </w:tc>
        <w:tc>
          <w:tcPr>
            <w:tcW w:w="2182" w:type="dxa"/>
            <w:vAlign w:val="center"/>
          </w:tcPr>
          <w:p>
            <w:pPr>
              <w:spacing w:line="420" w:lineRule="exact"/>
              <w:ind w:right="-11"/>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2414" w:type="dxa"/>
            <w:vAlign w:val="center"/>
          </w:tcPr>
          <w:p>
            <w:pPr>
              <w:spacing w:line="420" w:lineRule="exact"/>
              <w:ind w:right="-11"/>
              <w:jc w:val="center"/>
              <w:rPr>
                <w:rFonts w:hAnsi="宋体"/>
                <w:szCs w:val="24"/>
              </w:rPr>
            </w:pPr>
            <w:r>
              <w:rPr>
                <w:rFonts w:hint="eastAsia" w:hAnsi="宋体"/>
                <w:szCs w:val="24"/>
              </w:rPr>
              <w:t>投标授权书</w:t>
            </w:r>
          </w:p>
        </w:tc>
        <w:tc>
          <w:tcPr>
            <w:tcW w:w="2182" w:type="dxa"/>
            <w:vAlign w:val="center"/>
          </w:tcPr>
          <w:p>
            <w:pPr>
              <w:spacing w:line="420" w:lineRule="exact"/>
              <w:ind w:right="-11"/>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4</w:t>
            </w:r>
          </w:p>
        </w:tc>
        <w:tc>
          <w:tcPr>
            <w:tcW w:w="2414" w:type="dxa"/>
            <w:vAlign w:val="center"/>
          </w:tcPr>
          <w:p>
            <w:pPr>
              <w:spacing w:after="50" w:line="360" w:lineRule="auto"/>
              <w:ind w:right="-10"/>
              <w:jc w:val="center"/>
              <w:rPr>
                <w:rFonts w:hAnsi="宋体"/>
                <w:szCs w:val="24"/>
              </w:rPr>
            </w:pPr>
            <w:r>
              <w:rPr>
                <w:rFonts w:hint="eastAsia" w:hAnsi="宋体"/>
                <w:szCs w:val="24"/>
              </w:rPr>
              <w:t>投标人信用承诺</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360" w:lineRule="auto"/>
              <w:ind w:right="-10"/>
              <w:jc w:val="center"/>
              <w:rPr>
                <w:rFonts w:hAnsi="宋体"/>
                <w:szCs w:val="24"/>
              </w:rPr>
            </w:pPr>
          </w:p>
        </w:tc>
        <w:tc>
          <w:tcPr>
            <w:tcW w:w="2619" w:type="dxa"/>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5</w:t>
            </w:r>
          </w:p>
        </w:tc>
        <w:tc>
          <w:tcPr>
            <w:tcW w:w="2414" w:type="dxa"/>
            <w:vAlign w:val="center"/>
          </w:tcPr>
          <w:p>
            <w:pPr>
              <w:spacing w:after="50" w:line="360" w:lineRule="auto"/>
              <w:ind w:right="-10"/>
              <w:jc w:val="center"/>
              <w:rPr>
                <w:rFonts w:hAnsi="宋体"/>
                <w:szCs w:val="24"/>
              </w:rPr>
            </w:pPr>
            <w:r>
              <w:rPr>
                <w:rFonts w:hint="eastAsia" w:hAnsi="宋体"/>
                <w:szCs w:val="24"/>
              </w:rPr>
              <w:t>开标一览表</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6</w:t>
            </w:r>
          </w:p>
        </w:tc>
        <w:tc>
          <w:tcPr>
            <w:tcW w:w="2414" w:type="dxa"/>
            <w:vAlign w:val="center"/>
          </w:tcPr>
          <w:p>
            <w:pPr>
              <w:spacing w:after="50" w:line="360" w:lineRule="auto"/>
              <w:ind w:right="-10"/>
              <w:jc w:val="center"/>
              <w:rPr>
                <w:rFonts w:hAnsi="宋体"/>
                <w:szCs w:val="24"/>
              </w:rPr>
            </w:pPr>
            <w:r>
              <w:rPr>
                <w:rFonts w:hint="eastAsia" w:hAnsi="宋体"/>
                <w:szCs w:val="24"/>
              </w:rPr>
              <w:t>投标报价</w:t>
            </w:r>
          </w:p>
        </w:tc>
        <w:tc>
          <w:tcPr>
            <w:tcW w:w="2182" w:type="dxa"/>
            <w:vAlign w:val="center"/>
          </w:tcPr>
          <w:p>
            <w:pPr>
              <w:spacing w:after="50" w:line="360" w:lineRule="auto"/>
              <w:ind w:right="-10"/>
              <w:jc w:val="center"/>
              <w:rPr>
                <w:rFonts w:hAnsi="宋体"/>
                <w:szCs w:val="24"/>
              </w:rPr>
            </w:pPr>
            <w:r>
              <w:rPr>
                <w:rFonts w:hint="eastAsia" w:hAnsi="宋体"/>
                <w:szCs w:val="24"/>
              </w:rPr>
              <w:t>符合磋商文件要求</w:t>
            </w:r>
          </w:p>
        </w:tc>
        <w:tc>
          <w:tcPr>
            <w:tcW w:w="773" w:type="dxa"/>
            <w:vAlign w:val="center"/>
          </w:tcPr>
          <w:p>
            <w:pPr>
              <w:adjustRightInd w:val="0"/>
              <w:snapToGrid w:val="0"/>
              <w:spacing w:line="420" w:lineRule="exact"/>
              <w:ind w:right="-11"/>
              <w:jc w:val="center"/>
              <w:rPr>
                <w:rFonts w:hAnsi="宋体"/>
                <w:szCs w:val="24"/>
              </w:rPr>
            </w:pPr>
          </w:p>
        </w:tc>
        <w:tc>
          <w:tcPr>
            <w:tcW w:w="2619" w:type="dxa"/>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7</w:t>
            </w:r>
          </w:p>
        </w:tc>
        <w:tc>
          <w:tcPr>
            <w:tcW w:w="2414" w:type="dxa"/>
            <w:vAlign w:val="center"/>
          </w:tcPr>
          <w:p>
            <w:pPr>
              <w:spacing w:line="420" w:lineRule="exact"/>
              <w:ind w:right="-11"/>
              <w:jc w:val="center"/>
              <w:rPr>
                <w:rFonts w:hAnsi="宋体"/>
                <w:kern w:val="2"/>
                <w:szCs w:val="24"/>
              </w:rPr>
            </w:pPr>
            <w:r>
              <w:rPr>
                <w:rFonts w:hint="eastAsia" w:hAnsi="宋体"/>
                <w:szCs w:val="24"/>
              </w:rPr>
              <w:t>标书响应情况</w:t>
            </w:r>
          </w:p>
        </w:tc>
        <w:tc>
          <w:tcPr>
            <w:tcW w:w="2182" w:type="dxa"/>
            <w:vAlign w:val="center"/>
          </w:tcPr>
          <w:p>
            <w:pPr>
              <w:spacing w:line="420" w:lineRule="exact"/>
              <w:ind w:right="-11"/>
              <w:jc w:val="center"/>
              <w:rPr>
                <w:rFonts w:hAnsi="宋体"/>
                <w:kern w:val="2"/>
                <w:szCs w:val="24"/>
              </w:rPr>
            </w:pPr>
            <w:r>
              <w:rPr>
                <w:rFonts w:hint="eastAsia" w:hAnsi="宋体"/>
                <w:szCs w:val="24"/>
              </w:rPr>
              <w:t>质量响应、工期响应</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8</w:t>
            </w:r>
          </w:p>
        </w:tc>
        <w:tc>
          <w:tcPr>
            <w:tcW w:w="2414" w:type="dxa"/>
            <w:vAlign w:val="center"/>
          </w:tcPr>
          <w:p>
            <w:pPr>
              <w:spacing w:line="420" w:lineRule="exact"/>
              <w:ind w:right="-11"/>
              <w:jc w:val="center"/>
              <w:rPr>
                <w:rFonts w:hAnsi="宋体"/>
                <w:kern w:val="2"/>
                <w:szCs w:val="24"/>
              </w:rPr>
            </w:pPr>
            <w:r>
              <w:rPr>
                <w:rFonts w:hint="eastAsia" w:hAnsi="宋体"/>
                <w:szCs w:val="24"/>
              </w:rPr>
              <w:t>标书规范性</w:t>
            </w:r>
          </w:p>
        </w:tc>
        <w:tc>
          <w:tcPr>
            <w:tcW w:w="2182" w:type="dxa"/>
            <w:vAlign w:val="center"/>
          </w:tcPr>
          <w:p>
            <w:pPr>
              <w:pStyle w:val="32"/>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32" w:type="dxa"/>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rPr>
              <w:t>9</w:t>
            </w:r>
          </w:p>
        </w:tc>
        <w:tc>
          <w:tcPr>
            <w:tcW w:w="2414" w:type="dxa"/>
            <w:vAlign w:val="center"/>
          </w:tcPr>
          <w:p>
            <w:pPr>
              <w:spacing w:line="420" w:lineRule="exact"/>
              <w:ind w:right="-11"/>
              <w:jc w:val="center"/>
              <w:rPr>
                <w:rFonts w:hAnsi="宋体"/>
                <w:kern w:val="2"/>
                <w:szCs w:val="24"/>
              </w:rPr>
            </w:pPr>
            <w:r>
              <w:rPr>
                <w:rFonts w:hint="eastAsia" w:hAnsi="宋体"/>
                <w:szCs w:val="24"/>
              </w:rPr>
              <w:t>其他要求</w:t>
            </w:r>
          </w:p>
        </w:tc>
        <w:tc>
          <w:tcPr>
            <w:tcW w:w="2182" w:type="dxa"/>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773" w:type="dxa"/>
            <w:vAlign w:val="center"/>
          </w:tcPr>
          <w:p>
            <w:pPr>
              <w:adjustRightInd w:val="0"/>
              <w:snapToGrid w:val="0"/>
              <w:spacing w:line="420" w:lineRule="exact"/>
              <w:ind w:right="-11"/>
              <w:jc w:val="center"/>
              <w:rPr>
                <w:rFonts w:hAnsi="宋体"/>
                <w:kern w:val="2"/>
                <w:szCs w:val="24"/>
              </w:rPr>
            </w:pPr>
          </w:p>
        </w:tc>
        <w:tc>
          <w:tcPr>
            <w:tcW w:w="2619" w:type="dxa"/>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0" w:type="dxa"/>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90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10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1"/>
        <w:gridCol w:w="5925"/>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评分内容</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评分标准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default"/>
                <w:sz w:val="24"/>
                <w:szCs w:val="24"/>
                <w:vertAlign w:val="baseline"/>
                <w:lang w:val="en-US" w:eastAsia="zh-CN"/>
              </w:rPr>
            </w:pPr>
            <w:r>
              <w:rPr>
                <w:rFonts w:hint="default"/>
                <w:sz w:val="24"/>
                <w:szCs w:val="24"/>
                <w:vertAlign w:val="baseline"/>
                <w:lang w:val="en-US" w:eastAsia="zh-CN"/>
              </w:rPr>
              <w:t>管理体系</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sz w:val="24"/>
                <w:szCs w:val="24"/>
                <w:vertAlign w:val="baseline"/>
                <w:lang w:val="en-US" w:eastAsia="zh-CN"/>
              </w:rPr>
            </w:pPr>
            <w:r>
              <w:rPr>
                <w:rFonts w:hint="default"/>
                <w:sz w:val="24"/>
                <w:szCs w:val="24"/>
                <w:vertAlign w:val="baseline"/>
                <w:lang w:val="en-US" w:eastAsia="zh-CN"/>
              </w:rPr>
              <w:t>投标人具有经中国国家认证认可监督管理委员会认证机构颁发有效的质量管理体系认证的，得 5 分；</w:t>
            </w:r>
          </w:p>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sz w:val="24"/>
                <w:szCs w:val="24"/>
                <w:vertAlign w:val="baseline"/>
                <w:lang w:val="en-US" w:eastAsia="zh-CN"/>
              </w:rPr>
            </w:pPr>
            <w:r>
              <w:rPr>
                <w:rFonts w:hint="default"/>
                <w:b/>
                <w:bCs/>
                <w:sz w:val="24"/>
                <w:szCs w:val="24"/>
                <w:vertAlign w:val="baseline"/>
                <w:lang w:val="en-US" w:eastAsia="zh-CN"/>
              </w:rPr>
              <w:t>注：投标文件中须提供上述证书扫描件或影印件，以及全国认证认可信息公共服务平台官网证书信息查询截图，否则不得分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sz w:val="24"/>
                <w:szCs w:val="24"/>
                <w:vertAlign w:val="baseline"/>
                <w:lang w:val="en-US" w:eastAsia="zh-CN"/>
              </w:rPr>
            </w:pPr>
            <w:r>
              <w:rPr>
                <w:rFonts w:hint="eastAsia"/>
                <w:sz w:val="24"/>
                <w:szCs w:val="24"/>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eastAsia"/>
                <w:sz w:val="24"/>
                <w:szCs w:val="24"/>
                <w:vertAlign w:val="baseline"/>
                <w:lang w:val="en-US" w:eastAsia="zh-CN"/>
              </w:rPr>
              <w:t>信用评价</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201</w:t>
            </w:r>
            <w:r>
              <w:rPr>
                <w:rFonts w:hint="eastAsia"/>
                <w:sz w:val="24"/>
                <w:szCs w:val="24"/>
                <w:vertAlign w:val="baseline"/>
                <w:lang w:val="en-US" w:eastAsia="zh-CN"/>
              </w:rPr>
              <w:t>9</w:t>
            </w:r>
            <w:r>
              <w:rPr>
                <w:rFonts w:hint="default"/>
                <w:sz w:val="24"/>
                <w:szCs w:val="24"/>
                <w:vertAlign w:val="baseline"/>
                <w:lang w:val="en-US" w:eastAsia="zh-CN"/>
              </w:rPr>
              <w:t>年1月1日以来(以颁奖时间为准)，投标人获得省级及以上工程造价咨询企业信用等级评价 AAA 级的，得5分。</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b/>
                <w:bCs/>
                <w:sz w:val="24"/>
                <w:szCs w:val="24"/>
                <w:vertAlign w:val="baseline"/>
                <w:lang w:val="en-US" w:eastAsia="zh-CN"/>
              </w:rPr>
              <w:t>注:投标文件中须提供获奖证书、批复、颁奖单位颁奖文件、网上公示截图(具有其中之一即可)等证明材料。以上材料提供扫描件或影印件，须能体现投标人名称，如无法体现，须另附颁奖单位的相关证明材料，未提供或提供不全的不得分</w:t>
            </w:r>
            <w:r>
              <w:rPr>
                <w:rFonts w:hint="default"/>
                <w:sz w:val="24"/>
                <w:szCs w:val="24"/>
                <w:vertAlign w:val="baseline"/>
                <w:lang w:val="en-US" w:eastAsia="zh-CN"/>
              </w:rPr>
              <w:t>。</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5" w:hRule="atLeast"/>
        </w:trPr>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投标人荣誉</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自2019年1月1日以来(以颁奖时间为准)，投标人获得过地市级及以上行政主管部门或国内依法登记注册的协会(学会)颁发的:优秀企业或先进企业(如先进造价咨询企业、先进审计企业等)荣誉的，每个荣誉得</w:t>
            </w:r>
            <w:r>
              <w:rPr>
                <w:rFonts w:hint="eastAsia"/>
                <w:sz w:val="24"/>
                <w:szCs w:val="24"/>
                <w:vertAlign w:val="baseline"/>
                <w:lang w:val="en-US" w:eastAsia="zh-CN"/>
              </w:rPr>
              <w:t>6</w:t>
            </w:r>
            <w:r>
              <w:rPr>
                <w:rFonts w:hint="default"/>
                <w:sz w:val="24"/>
                <w:szCs w:val="24"/>
                <w:vertAlign w:val="baseline"/>
                <w:lang w:val="en-US" w:eastAsia="zh-CN"/>
              </w:rPr>
              <w:t>分，本小项满分6分。</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注:(1)投标文件中须提供颁奖单位的颁奖文件或颁奖单位官网文件截图(颁奖文件不含荣誉证书、奖杯、奖牌、奖状)。;</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(2)“国内依法登记注册”以全国社会组织信用信息公示平台查询结果为准。投标文件中须提供该协会(学会在全国 社会组织信用信息公示平台查询结果截图。</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(3)民政部公布的“离岸社团”“山寨社团”或全国社会组织信用信息公示平台公示的“涉嫌非法社会组织”颁发的荣誉、奖励均无效。</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(3)奖项的级别以国家行政区划为界定，如:地级市、自治州、地区、盟行政主管部门或协会(学会)颁发的视为地市级，以此类推。</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b/>
                <w:bCs/>
                <w:sz w:val="24"/>
                <w:szCs w:val="24"/>
                <w:vertAlign w:val="baseline"/>
                <w:lang w:val="en-US" w:eastAsia="zh-CN"/>
              </w:rPr>
              <w:t>提供的上述材料须体现投标人名称，如无法体现，须另附颁奖单位的相关证明材料，未提供或提供不全的不得分。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人员奖项、</w:t>
            </w:r>
          </w:p>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荣誉</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自2019年1月1日以来(以颁奖时间为准)以来，投标人拟为本项目配备的项目组成员所参与的项目获得行政主管部门或国内依法登记的行业协会颁发的工程造价咨询成果奖项(或荣誉)的:地市级及以上的，每提供1个奖项得</w:t>
            </w:r>
            <w:r>
              <w:rPr>
                <w:rFonts w:hint="eastAsia"/>
                <w:sz w:val="24"/>
                <w:szCs w:val="24"/>
                <w:vertAlign w:val="baseline"/>
                <w:lang w:val="en-US" w:eastAsia="zh-CN"/>
              </w:rPr>
              <w:t>4</w:t>
            </w:r>
            <w:r>
              <w:rPr>
                <w:rFonts w:hint="default"/>
                <w:sz w:val="24"/>
                <w:szCs w:val="24"/>
                <w:vertAlign w:val="baseline"/>
                <w:lang w:val="en-US" w:eastAsia="zh-CN"/>
              </w:rPr>
              <w:t>分，满分</w:t>
            </w:r>
            <w:r>
              <w:rPr>
                <w:rFonts w:hint="eastAsia"/>
                <w:sz w:val="24"/>
                <w:szCs w:val="24"/>
                <w:vertAlign w:val="baseline"/>
                <w:lang w:val="en-US" w:eastAsia="zh-CN"/>
              </w:rPr>
              <w:t>8</w:t>
            </w:r>
            <w:r>
              <w:rPr>
                <w:rFonts w:hint="default"/>
                <w:sz w:val="24"/>
                <w:szCs w:val="24"/>
                <w:vertAlign w:val="baseline"/>
                <w:lang w:val="en-US" w:eastAsia="zh-CN"/>
              </w:rPr>
              <w:t>分。</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注:(1)投标文件中须提供颁奖单位的颁奖文件或颁奖单位官网文件截图(颁奖文件不含荣誉证书、奖杯、奖牌、奖状)。;</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(2)“国内依法登记注册”以全国社会组织信用信息公示平台查询结果为准。投标文件中须提供该协会(学会在全国 社会组织信用信息公示平台查询结果截图。</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(3)民政部公布的“离岸社团”“山寨社团”或全国社会组织信用信息公示平台公示的“涉嫌非法社会组织”颁发的荣誉、奖励均无效。</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b/>
                <w:bCs/>
                <w:sz w:val="24"/>
                <w:szCs w:val="24"/>
                <w:vertAlign w:val="baseline"/>
                <w:lang w:val="en-US" w:eastAsia="zh-CN"/>
              </w:rPr>
            </w:pPr>
            <w:r>
              <w:rPr>
                <w:rFonts w:hint="default"/>
                <w:b/>
                <w:bCs/>
                <w:sz w:val="24"/>
                <w:szCs w:val="24"/>
                <w:vertAlign w:val="baseline"/>
                <w:lang w:val="en-US" w:eastAsia="zh-CN"/>
              </w:rPr>
              <w:t>(3)奖项的级别以国家行政区划为界定，如:地级市、自治州、地区、盟行政主管部门或协会(学会)颁发的视为地市级，以此类推。</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b/>
                <w:bCs/>
                <w:sz w:val="24"/>
                <w:szCs w:val="24"/>
                <w:vertAlign w:val="baseline"/>
                <w:lang w:val="en-US" w:eastAsia="zh-CN"/>
              </w:rPr>
              <w:t>提供的上述材料须体现投标人名称，如无法体现，须另附颁奖单位的相关证明材料，未提供或提供不全的不得分。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投标人业绩</w:t>
            </w:r>
          </w:p>
        </w:tc>
        <w:tc>
          <w:tcPr>
            <w:tcW w:w="5925" w:type="dxa"/>
          </w:tcPr>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default"/>
                <w:sz w:val="24"/>
                <w:szCs w:val="24"/>
                <w:vertAlign w:val="baseline"/>
                <w:lang w:val="en-US" w:eastAsia="zh-CN"/>
              </w:rPr>
              <w:t>自 20</w:t>
            </w:r>
            <w:r>
              <w:rPr>
                <w:rFonts w:hint="eastAsia"/>
                <w:sz w:val="24"/>
                <w:szCs w:val="24"/>
                <w:vertAlign w:val="baseline"/>
                <w:lang w:val="en-US" w:eastAsia="zh-CN"/>
              </w:rPr>
              <w:t>19</w:t>
            </w:r>
            <w:r>
              <w:rPr>
                <w:rFonts w:hint="default"/>
                <w:sz w:val="24"/>
                <w:szCs w:val="24"/>
                <w:vertAlign w:val="baseline"/>
                <w:lang w:val="en-US" w:eastAsia="zh-CN"/>
              </w:rPr>
              <w:t>年1月1日以来(以合同签订时间为准)，投标人具有房屋建筑工程竣工结算审计(或复审或跟踪审计)业绩，且满足下列条件之一:</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eastAsia"/>
                <w:sz w:val="24"/>
                <w:szCs w:val="24"/>
                <w:vertAlign w:val="baseline"/>
                <w:lang w:val="en-US" w:eastAsia="zh-CN"/>
              </w:rPr>
              <w:t>（1）</w:t>
            </w:r>
            <w:r>
              <w:rPr>
                <w:rFonts w:hint="default"/>
                <w:sz w:val="24"/>
                <w:szCs w:val="24"/>
                <w:vertAlign w:val="baseline"/>
                <w:lang w:val="en-US" w:eastAsia="zh-CN"/>
              </w:rPr>
              <w:t>单个合同工程总投资额不少于</w:t>
            </w:r>
            <w:r>
              <w:rPr>
                <w:rFonts w:hint="eastAsia"/>
                <w:sz w:val="24"/>
                <w:szCs w:val="24"/>
                <w:vertAlign w:val="baseline"/>
                <w:lang w:val="en-US" w:eastAsia="zh-CN"/>
              </w:rPr>
              <w:t>5000万</w:t>
            </w:r>
            <w:r>
              <w:rPr>
                <w:rFonts w:hint="default"/>
                <w:sz w:val="24"/>
                <w:szCs w:val="24"/>
                <w:vertAlign w:val="baseline"/>
                <w:lang w:val="en-US" w:eastAsia="zh-CN"/>
              </w:rPr>
              <w:t>元，每个业绩得</w:t>
            </w:r>
            <w:r>
              <w:rPr>
                <w:rFonts w:hint="eastAsia"/>
                <w:sz w:val="24"/>
                <w:szCs w:val="24"/>
                <w:vertAlign w:val="baseline"/>
                <w:lang w:val="en-US" w:eastAsia="zh-CN"/>
              </w:rPr>
              <w:t>2</w:t>
            </w:r>
            <w:r>
              <w:rPr>
                <w:rFonts w:hint="default"/>
                <w:sz w:val="24"/>
                <w:szCs w:val="24"/>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eastAsia"/>
                <w:sz w:val="24"/>
                <w:szCs w:val="24"/>
                <w:vertAlign w:val="baseline"/>
                <w:lang w:val="en-US" w:eastAsia="zh-CN"/>
              </w:rPr>
              <w:t>（</w:t>
            </w:r>
            <w:r>
              <w:rPr>
                <w:rFonts w:hint="default"/>
                <w:sz w:val="24"/>
                <w:szCs w:val="24"/>
                <w:vertAlign w:val="baseline"/>
                <w:lang w:val="en-US" w:eastAsia="zh-CN"/>
              </w:rPr>
              <w:t>2</w:t>
            </w:r>
            <w:r>
              <w:rPr>
                <w:rFonts w:hint="eastAsia"/>
                <w:sz w:val="24"/>
                <w:szCs w:val="24"/>
                <w:vertAlign w:val="baseline"/>
                <w:lang w:val="en-US" w:eastAsia="zh-CN"/>
              </w:rPr>
              <w:t>）</w:t>
            </w:r>
            <w:r>
              <w:rPr>
                <w:rFonts w:hint="default"/>
                <w:sz w:val="24"/>
                <w:szCs w:val="24"/>
                <w:vertAlign w:val="baseline"/>
                <w:lang w:val="en-US" w:eastAsia="zh-CN"/>
              </w:rPr>
              <w:t>单个合同工程总投资额不少于</w:t>
            </w:r>
            <w:r>
              <w:rPr>
                <w:rFonts w:hint="eastAsia"/>
                <w:sz w:val="24"/>
                <w:szCs w:val="24"/>
                <w:vertAlign w:val="baseline"/>
                <w:lang w:val="en-US" w:eastAsia="zh-CN"/>
              </w:rPr>
              <w:t>1</w:t>
            </w:r>
            <w:r>
              <w:rPr>
                <w:rFonts w:hint="default"/>
                <w:sz w:val="24"/>
                <w:szCs w:val="24"/>
                <w:vertAlign w:val="baseline"/>
                <w:lang w:val="en-US" w:eastAsia="zh-CN"/>
              </w:rPr>
              <w:t>亿元的，每个业绩得</w:t>
            </w:r>
            <w:r>
              <w:rPr>
                <w:rFonts w:hint="eastAsia"/>
                <w:sz w:val="24"/>
                <w:szCs w:val="24"/>
                <w:vertAlign w:val="baseline"/>
                <w:lang w:val="en-US" w:eastAsia="zh-CN"/>
              </w:rPr>
              <w:t>3</w:t>
            </w:r>
            <w:r>
              <w:rPr>
                <w:rFonts w:hint="default"/>
                <w:sz w:val="24"/>
                <w:szCs w:val="24"/>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eastAsia"/>
                <w:sz w:val="24"/>
                <w:szCs w:val="24"/>
                <w:vertAlign w:val="baseline"/>
                <w:lang w:val="en-US" w:eastAsia="zh-CN"/>
              </w:rPr>
              <w:t>（3）</w:t>
            </w:r>
            <w:r>
              <w:rPr>
                <w:rFonts w:hint="default"/>
                <w:sz w:val="24"/>
                <w:szCs w:val="24"/>
                <w:vertAlign w:val="baseline"/>
                <w:lang w:val="en-US" w:eastAsia="zh-CN"/>
              </w:rPr>
              <w:t>单个合同工程总投资额不少于</w:t>
            </w:r>
            <w:r>
              <w:rPr>
                <w:rFonts w:hint="eastAsia"/>
                <w:sz w:val="24"/>
                <w:szCs w:val="24"/>
                <w:vertAlign w:val="baseline"/>
                <w:lang w:val="en-US" w:eastAsia="zh-CN"/>
              </w:rPr>
              <w:t>2</w:t>
            </w:r>
            <w:r>
              <w:rPr>
                <w:rFonts w:hint="default"/>
                <w:sz w:val="24"/>
                <w:szCs w:val="24"/>
                <w:vertAlign w:val="baseline"/>
                <w:lang w:val="en-US" w:eastAsia="zh-CN"/>
              </w:rPr>
              <w:t>亿元的，每个业绩得</w:t>
            </w:r>
            <w:r>
              <w:rPr>
                <w:rFonts w:hint="eastAsia"/>
                <w:sz w:val="24"/>
                <w:szCs w:val="24"/>
                <w:vertAlign w:val="baseline"/>
                <w:lang w:val="en-US" w:eastAsia="zh-CN"/>
              </w:rPr>
              <w:t>6</w:t>
            </w:r>
            <w:r>
              <w:rPr>
                <w:rFonts w:hint="default"/>
                <w:sz w:val="24"/>
                <w:szCs w:val="24"/>
                <w:vertAlign w:val="baseline"/>
                <w:lang w:val="en-US" w:eastAsia="zh-CN"/>
              </w:rPr>
              <w:t>分。</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eastAsia"/>
                <w:sz w:val="24"/>
                <w:szCs w:val="24"/>
                <w:vertAlign w:val="baseline"/>
                <w:lang w:val="en-US" w:eastAsia="zh-CN"/>
              </w:rPr>
            </w:pPr>
            <w:r>
              <w:rPr>
                <w:rFonts w:hint="eastAsia"/>
                <w:b/>
                <w:bCs/>
                <w:sz w:val="24"/>
                <w:szCs w:val="24"/>
                <w:vertAlign w:val="baseline"/>
                <w:lang w:val="en-US" w:eastAsia="zh-CN"/>
              </w:rPr>
              <w:t>注：投标文件中须提供具体工程项目审计合同、委托单或定案表；跟踪审计、预算评审须提供项目合同扫描件或业主（合同甲方）的相关证明材料,证明材料需体现委托时间、评审金额、项目类型等评审要素。各项目为单个合同工程造价，具体金额以送审金额为准。时间以合同签订时间为准，如跟踪审计、预算评审合同中无法体现造价金额，须另提供项目业主单位出具的证明材料或其他有效的证明材料加以证明。</w:t>
            </w:r>
          </w:p>
          <w:p>
            <w:pPr>
              <w:pStyle w:val="2"/>
              <w:keepNext w:val="0"/>
              <w:keepLines w:val="0"/>
              <w:pageBreakBefore w:val="0"/>
              <w:widowControl w:val="0"/>
              <w:numPr>
                <w:ilvl w:val="0"/>
                <w:numId w:val="0"/>
              </w:numPr>
              <w:kinsoku/>
              <w:wordWrap/>
              <w:overflowPunct/>
              <w:topLinePunct w:val="0"/>
              <w:autoSpaceDE/>
              <w:autoSpaceDN/>
              <w:bidi w:val="0"/>
              <w:adjustRightInd/>
              <w:snapToGrid/>
              <w:textAlignment w:val="auto"/>
              <w:rPr>
                <w:rFonts w:hint="default"/>
                <w:sz w:val="24"/>
                <w:szCs w:val="24"/>
                <w:vertAlign w:val="baseline"/>
                <w:lang w:val="en-US" w:eastAsia="zh-CN"/>
              </w:rPr>
            </w:pPr>
            <w:r>
              <w:rPr>
                <w:rFonts w:hint="eastAsia"/>
                <w:b/>
                <w:bCs/>
                <w:color w:val="auto"/>
                <w:sz w:val="24"/>
                <w:szCs w:val="24"/>
                <w:vertAlign w:val="baseline"/>
                <w:lang w:val="en-US" w:eastAsia="zh-CN"/>
              </w:rPr>
              <w:t>此项共计取2个业绩，满分12分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eastAsia"/>
                <w:sz w:val="24"/>
                <w:szCs w:val="24"/>
                <w:vertAlign w:val="baseline"/>
                <w:lang w:val="en-US" w:eastAsia="zh-CN"/>
              </w:rPr>
              <w:t>人员配备</w:t>
            </w:r>
          </w:p>
        </w:tc>
        <w:tc>
          <w:tcPr>
            <w:tcW w:w="5925" w:type="dxa"/>
          </w:tcPr>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、拟派项目负责人（</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人）具有高级及以上工程师职称的，得 </w:t>
            </w:r>
            <w:r>
              <w:rPr>
                <w:rFonts w:hint="eastAsia" w:ascii="Times New Roman" w:hAnsi="Times New Roman" w:eastAsia="宋体" w:cs="Times New Roman"/>
                <w:color w:val="000000"/>
                <w:kern w:val="0"/>
                <w:sz w:val="24"/>
                <w:szCs w:val="24"/>
                <w:lang w:val="en-US" w:eastAsia="zh-CN" w:bidi="ar"/>
              </w:rPr>
              <w:t>5</w:t>
            </w:r>
            <w:r>
              <w:rPr>
                <w:rFonts w:hint="default" w:ascii="Times New Roman" w:hAnsi="Times New Roman" w:eastAsia="宋体" w:cs="Times New Roman"/>
                <w:color w:val="000000"/>
                <w:kern w:val="0"/>
                <w:sz w:val="24"/>
                <w:szCs w:val="24"/>
                <w:lang w:val="en-US" w:eastAsia="zh-CN" w:bidi="ar"/>
              </w:rPr>
              <w:t xml:space="preserve">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pP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、其他审计人员（不包含项目负责人）在满足招标文件最低人员配备的基础上：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1</w:t>
            </w:r>
            <w:r>
              <w:rPr>
                <w:rFonts w:hint="eastAsia" w:ascii="宋体" w:hAnsi="宋体" w:eastAsia="宋体" w:cs="宋体"/>
                <w:color w:val="000000"/>
                <w:kern w:val="0"/>
                <w:sz w:val="24"/>
                <w:szCs w:val="24"/>
                <w:lang w:val="en-US" w:eastAsia="zh-CN" w:bidi="ar"/>
              </w:rPr>
              <w:t xml:space="preserve">）每增加 </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名一级注册造价工程师（或国家注册造价工程师）得3分；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）每增加 </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名二级注册造价工程师得 </w:t>
            </w:r>
            <w:r>
              <w:rPr>
                <w:rFonts w:hint="default" w:ascii="Times New Roman" w:hAnsi="Times New Roman" w:eastAsia="宋体" w:cs="Times New Roman"/>
                <w:color w:val="000000"/>
                <w:kern w:val="0"/>
                <w:sz w:val="24"/>
                <w:szCs w:val="24"/>
                <w:lang w:val="en-US" w:eastAsia="zh-CN" w:bidi="ar"/>
              </w:rPr>
              <w:t xml:space="preserve">1 </w:t>
            </w:r>
            <w:r>
              <w:rPr>
                <w:rFonts w:hint="eastAsia" w:ascii="宋体" w:hAnsi="宋体" w:eastAsia="宋体" w:cs="宋体"/>
                <w:color w:val="000000"/>
                <w:kern w:val="0"/>
                <w:sz w:val="24"/>
                <w:szCs w:val="24"/>
                <w:lang w:val="en-US" w:eastAsia="zh-CN" w:bidi="ar"/>
              </w:rPr>
              <w:t xml:space="preserve">分。 </w:t>
            </w:r>
          </w:p>
          <w:p>
            <w:pPr>
              <w:keepNext w:val="0"/>
              <w:keepLines w:val="0"/>
              <w:widowControl/>
              <w:suppressLineNumbers w:val="0"/>
              <w:jc w:val="left"/>
              <w:rPr>
                <w:b/>
                <w:bCs/>
              </w:rPr>
            </w:pPr>
            <w:r>
              <w:rPr>
                <w:rFonts w:hint="eastAsia" w:ascii="宋体" w:hAnsi="宋体" w:eastAsia="宋体" w:cs="宋体"/>
                <w:b/>
                <w:bCs/>
                <w:color w:val="000000"/>
                <w:kern w:val="0"/>
                <w:sz w:val="24"/>
                <w:szCs w:val="24"/>
                <w:lang w:val="en-US" w:eastAsia="zh-CN" w:bidi="ar"/>
              </w:rPr>
              <w:t xml:space="preserve">注： </w:t>
            </w:r>
          </w:p>
          <w:p>
            <w:pPr>
              <w:keepNext w:val="0"/>
              <w:keepLines w:val="0"/>
              <w:widowControl/>
              <w:numPr>
                <w:ilvl w:val="0"/>
                <w:numId w:val="8"/>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项目负责人：投标文件中提供职称证书扫描件或电子证书；提供项目负责人近三个月任意一个月社保证明材料。</w:t>
            </w:r>
          </w:p>
          <w:p>
            <w:pPr>
              <w:keepNext w:val="0"/>
              <w:keepLines w:val="0"/>
              <w:widowControl/>
              <w:numPr>
                <w:ilvl w:val="0"/>
                <w:numId w:val="8"/>
              </w:numPr>
              <w:suppressLineNumbers w:val="0"/>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其他审计人员（不包含项目负责人）：投标人应提供上述人员的证书扫描件和社保证明材料。</w:t>
            </w:r>
          </w:p>
          <w:p>
            <w:pPr>
              <w:keepNext w:val="0"/>
              <w:keepLines w:val="0"/>
              <w:widowControl/>
              <w:suppressLineNumbers w:val="0"/>
              <w:jc w:val="left"/>
              <w:rPr>
                <w:rFonts w:hint="default"/>
                <w:sz w:val="24"/>
                <w:szCs w:val="24"/>
                <w:vertAlign w:val="baseline"/>
                <w:lang w:val="en-US" w:eastAsia="zh-CN"/>
              </w:rPr>
            </w:pPr>
            <w:r>
              <w:rPr>
                <w:rFonts w:hint="eastAsia" w:ascii="宋体" w:hAnsi="宋体" w:eastAsia="宋体" w:cs="宋体"/>
                <w:b/>
                <w:bCs/>
                <w:color w:val="000000"/>
                <w:kern w:val="0"/>
                <w:sz w:val="24"/>
                <w:szCs w:val="24"/>
                <w:lang w:val="en-US" w:eastAsia="zh-CN" w:bidi="ar"/>
              </w:rPr>
              <w:t>社保要求：提供投标人所属社保机构出具的上述其他审计人员近三个月任意一个月的社保缴费证明（或其他能够证明上述其他审计人员参加社保的有效证明）材料，上述其他审计人员的社保缴纳单位应当是投标人或者投标人不具备独立法人资格的分支机构。（社保缴费证明或社保的有效证明材料至少含养老保险）本小项最多得9分。本小项最多仅计取3个证书得分，同一人员具有多个证书的仅计分一次。</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eastAsia"/>
                <w:sz w:val="24"/>
                <w:szCs w:val="24"/>
                <w:vertAlign w:val="baseline"/>
                <w:lang w:val="en-US" w:eastAsia="zh-CN"/>
              </w:rPr>
              <w:t>审计方案</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根据投标人提供方案中的5项要点 1、审计程序;2、审计方法;3、关键环节控制;4、审计质量保证措施;5、审计进度保证措施，由评委会进行综合评审:</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优秀的，得 8≤F≤10 分,良好的，得</w:t>
            </w:r>
            <w:r>
              <w:rPr>
                <w:rFonts w:hint="eastAsia"/>
                <w:sz w:val="24"/>
                <w:szCs w:val="24"/>
                <w:vertAlign w:val="baseline"/>
                <w:lang w:val="en-US" w:eastAsia="zh-CN"/>
              </w:rPr>
              <w:t>4</w:t>
            </w:r>
            <w:r>
              <w:rPr>
                <w:rFonts w:hint="default"/>
                <w:sz w:val="24"/>
                <w:szCs w:val="24"/>
                <w:vertAlign w:val="baseline"/>
                <w:lang w:val="en-US" w:eastAsia="zh-CN"/>
              </w:rPr>
              <w:t>&lt;F&lt;8 分，一般的，得 0&lt;F≤</w:t>
            </w:r>
            <w:r>
              <w:rPr>
                <w:rFonts w:hint="eastAsia"/>
                <w:sz w:val="24"/>
                <w:szCs w:val="24"/>
                <w:vertAlign w:val="baseline"/>
                <w:lang w:val="en-US" w:eastAsia="zh-CN"/>
              </w:rPr>
              <w:t>4</w:t>
            </w:r>
            <w:r>
              <w:rPr>
                <w:rFonts w:hint="default"/>
                <w:sz w:val="24"/>
                <w:szCs w:val="24"/>
                <w:vertAlign w:val="baseline"/>
                <w:lang w:val="en-US" w:eastAsia="zh-CN"/>
              </w:rPr>
              <w:t>分，未提供的不得分。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内部控制管理制度</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根据投标人提供的质量控制制度、档案管理制度、审计项目复核管理制度、廉政监管制度等方面，由评委会从针对性、可操作性进行综合评审:</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优秀的，得 8≤F≤10 分,良好的，得</w:t>
            </w:r>
            <w:r>
              <w:rPr>
                <w:rFonts w:hint="eastAsia"/>
                <w:sz w:val="24"/>
                <w:szCs w:val="24"/>
                <w:vertAlign w:val="baseline"/>
                <w:lang w:val="en-US" w:eastAsia="zh-CN"/>
              </w:rPr>
              <w:t>4</w:t>
            </w:r>
            <w:r>
              <w:rPr>
                <w:rFonts w:hint="default"/>
                <w:sz w:val="24"/>
                <w:szCs w:val="24"/>
                <w:vertAlign w:val="baseline"/>
                <w:lang w:val="en-US" w:eastAsia="zh-CN"/>
              </w:rPr>
              <w:t>&lt;F&lt;8 分，一般的，得 0&lt;F≤</w:t>
            </w:r>
            <w:r>
              <w:rPr>
                <w:rFonts w:hint="eastAsia"/>
                <w:sz w:val="24"/>
                <w:szCs w:val="24"/>
                <w:vertAlign w:val="baseline"/>
                <w:lang w:val="en-US" w:eastAsia="zh-CN"/>
              </w:rPr>
              <w:t>4</w:t>
            </w:r>
            <w:r>
              <w:rPr>
                <w:rFonts w:hint="default"/>
                <w:sz w:val="24"/>
                <w:szCs w:val="24"/>
                <w:vertAlign w:val="baseline"/>
                <w:lang w:val="en-US" w:eastAsia="zh-CN"/>
              </w:rPr>
              <w:t>分，未提供的不得分。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default"/>
                <w:sz w:val="24"/>
                <w:szCs w:val="24"/>
                <w:vertAlign w:val="baseline"/>
                <w:lang w:val="en-US" w:eastAsia="zh-CN"/>
              </w:rPr>
              <w:t>便民化服务方案</w:t>
            </w:r>
          </w:p>
        </w:tc>
        <w:tc>
          <w:tcPr>
            <w:tcW w:w="5925"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根据投标人对便利化服务方案的完善性、可操作性、响应及时性以及便利化服务人员的技术能力等方面，由评委会进行综合评审:</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优秀的，得 8≤F≤10 分,良好的，得</w:t>
            </w:r>
            <w:r>
              <w:rPr>
                <w:rFonts w:hint="eastAsia"/>
                <w:sz w:val="24"/>
                <w:szCs w:val="24"/>
                <w:vertAlign w:val="baseline"/>
                <w:lang w:val="en-US" w:eastAsia="zh-CN"/>
              </w:rPr>
              <w:t>4</w:t>
            </w:r>
            <w:r>
              <w:rPr>
                <w:rFonts w:hint="default"/>
                <w:sz w:val="24"/>
                <w:szCs w:val="24"/>
                <w:vertAlign w:val="baseline"/>
                <w:lang w:val="en-US" w:eastAsia="zh-CN"/>
              </w:rPr>
              <w:t>&lt;F&lt;8 分，一般的，得 0&lt;F≤</w:t>
            </w:r>
            <w:r>
              <w:rPr>
                <w:rFonts w:hint="eastAsia"/>
                <w:sz w:val="24"/>
                <w:szCs w:val="24"/>
                <w:vertAlign w:val="baseline"/>
                <w:lang w:val="en-US" w:eastAsia="zh-CN"/>
              </w:rPr>
              <w:t>4</w:t>
            </w:r>
            <w:r>
              <w:rPr>
                <w:rFonts w:hint="default"/>
                <w:sz w:val="24"/>
                <w:szCs w:val="24"/>
                <w:vertAlign w:val="baseline"/>
                <w:lang w:val="en-US" w:eastAsia="zh-CN"/>
              </w:rPr>
              <w:t>分，未提供的不得分。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1" w:type="dxa"/>
            <w:vAlign w:val="center"/>
          </w:tcPr>
          <w:p>
            <w:pPr>
              <w:pStyle w:val="2"/>
              <w:keepNext w:val="0"/>
              <w:keepLines w:val="0"/>
              <w:pageBreakBefore w:val="0"/>
              <w:widowControl w:val="0"/>
              <w:kinsoku/>
              <w:wordWrap/>
              <w:overflowPunct/>
              <w:topLinePunct w:val="0"/>
              <w:autoSpaceDE/>
              <w:autoSpaceDN/>
              <w:bidi w:val="0"/>
              <w:adjustRightInd/>
              <w:snapToGrid/>
              <w:ind w:left="0"/>
              <w:jc w:val="center"/>
              <w:textAlignment w:val="auto"/>
              <w:rPr>
                <w:rFonts w:hint="default"/>
                <w:sz w:val="24"/>
                <w:szCs w:val="24"/>
                <w:vertAlign w:val="baseline"/>
                <w:lang w:val="en-US" w:eastAsia="zh-CN"/>
              </w:rPr>
            </w:pPr>
            <w:r>
              <w:rPr>
                <w:rFonts w:hint="eastAsia"/>
                <w:sz w:val="24"/>
                <w:szCs w:val="24"/>
                <w:vertAlign w:val="baseline"/>
                <w:lang w:val="en-US" w:eastAsia="zh-CN"/>
              </w:rPr>
              <w:t>人员分工</w:t>
            </w:r>
          </w:p>
        </w:tc>
        <w:tc>
          <w:tcPr>
            <w:tcW w:w="5925" w:type="dxa"/>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人员分工及责任划分分析，分析透彻、清晰到位，能够提供 符合现状的调研和痛点分析得</w:t>
            </w:r>
          </w:p>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default"/>
                <w:sz w:val="24"/>
                <w:szCs w:val="24"/>
                <w:vertAlign w:val="baseline"/>
                <w:lang w:val="en-US" w:eastAsia="zh-CN"/>
              </w:rPr>
              <w:t>优秀的，得 8≤F≤10 分,良好的，得</w:t>
            </w:r>
            <w:r>
              <w:rPr>
                <w:rFonts w:hint="eastAsia"/>
                <w:sz w:val="24"/>
                <w:szCs w:val="24"/>
                <w:vertAlign w:val="baseline"/>
                <w:lang w:val="en-US" w:eastAsia="zh-CN"/>
              </w:rPr>
              <w:t>4</w:t>
            </w:r>
            <w:r>
              <w:rPr>
                <w:rFonts w:hint="default"/>
                <w:sz w:val="24"/>
                <w:szCs w:val="24"/>
                <w:vertAlign w:val="baseline"/>
                <w:lang w:val="en-US" w:eastAsia="zh-CN"/>
              </w:rPr>
              <w:t>&lt;F&lt;8 分，一般的，得 0&lt;F≤</w:t>
            </w:r>
            <w:r>
              <w:rPr>
                <w:rFonts w:hint="eastAsia"/>
                <w:sz w:val="24"/>
                <w:szCs w:val="24"/>
                <w:vertAlign w:val="baseline"/>
                <w:lang w:val="en-US" w:eastAsia="zh-CN"/>
              </w:rPr>
              <w:t>4</w:t>
            </w:r>
            <w:r>
              <w:rPr>
                <w:rFonts w:hint="default"/>
                <w:sz w:val="24"/>
                <w:szCs w:val="24"/>
                <w:vertAlign w:val="baseline"/>
                <w:lang w:val="en-US" w:eastAsia="zh-CN"/>
              </w:rPr>
              <w:t>分，未提供的不得分。</w:t>
            </w:r>
          </w:p>
        </w:tc>
        <w:tc>
          <w:tcPr>
            <w:tcW w:w="1216" w:type="dxa"/>
          </w:tcPr>
          <w:p>
            <w:pPr>
              <w:pStyle w:val="2"/>
              <w:keepNext w:val="0"/>
              <w:keepLines w:val="0"/>
              <w:pageBreakBefore w:val="0"/>
              <w:widowControl w:val="0"/>
              <w:kinsoku/>
              <w:wordWrap/>
              <w:overflowPunct/>
              <w:topLinePunct w:val="0"/>
              <w:autoSpaceDE/>
              <w:autoSpaceDN/>
              <w:bidi w:val="0"/>
              <w:adjustRightInd/>
              <w:snapToGrid/>
              <w:ind w:left="0"/>
              <w:textAlignment w:val="auto"/>
              <w:rPr>
                <w:rFonts w:hint="default"/>
                <w:sz w:val="24"/>
                <w:szCs w:val="24"/>
                <w:vertAlign w:val="baseline"/>
                <w:lang w:val="en-US" w:eastAsia="zh-CN"/>
              </w:rPr>
            </w:pPr>
            <w:r>
              <w:rPr>
                <w:rFonts w:hint="eastAsia"/>
                <w:sz w:val="24"/>
                <w:szCs w:val="24"/>
                <w:vertAlign w:val="baseline"/>
                <w:lang w:val="en-US" w:eastAsia="zh-CN"/>
              </w:rPr>
              <w:t>0-10分</w:t>
            </w:r>
          </w:p>
        </w:tc>
      </w:tr>
    </w:tbl>
    <w:p>
      <w:pPr>
        <w:pStyle w:val="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19"/>
        <w:tblW w:w="8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85" w:type="dxa"/>
            <w:vAlign w:val="center"/>
          </w:tcPr>
          <w:p>
            <w:pPr>
              <w:spacing w:line="0" w:lineRule="atLeast"/>
              <w:rPr>
                <w:rFonts w:hAnsi="宋体"/>
                <w:b/>
                <w:sz w:val="22"/>
                <w:szCs w:val="22"/>
              </w:rPr>
            </w:pPr>
            <w:r>
              <w:rPr>
                <w:rFonts w:hint="eastAsia" w:hAnsi="宋体"/>
                <w:b/>
                <w:sz w:val="22"/>
                <w:szCs w:val="22"/>
              </w:rPr>
              <w:t>价格分</w:t>
            </w:r>
          </w:p>
        </w:tc>
        <w:tc>
          <w:tcPr>
            <w:tcW w:w="7157" w:type="dxa"/>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％×100</w:t>
            </w:r>
          </w:p>
        </w:tc>
        <w:tc>
          <w:tcPr>
            <w:tcW w:w="838" w:type="dxa"/>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1</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9"/>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9"/>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3"/>
        <w:rPr>
          <w:rFonts w:hAnsi="Times New Roman" w:eastAsia="宋体"/>
          <w:bCs/>
        </w:rPr>
      </w:pPr>
      <w:bookmarkStart w:id="47" w:name="_Toc23189"/>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8"/>
        <w:ind w:left="240" w:firstLine="480"/>
        <w:rPr>
          <w:b/>
          <w:color w:val="000000"/>
        </w:rPr>
      </w:pPr>
    </w:p>
    <w:p>
      <w:pPr>
        <w:pStyle w:val="28"/>
        <w:ind w:left="240" w:firstLine="480"/>
        <w:rPr>
          <w:b/>
          <w:color w:val="000000"/>
        </w:rPr>
      </w:pPr>
    </w:p>
    <w:p>
      <w:pPr>
        <w:pStyle w:val="3"/>
        <w:rPr>
          <w:rFonts w:hAnsi="Times New Roman" w:eastAsia="宋体"/>
          <w:bCs/>
        </w:rPr>
      </w:pPr>
      <w:r>
        <w:rPr>
          <w:rFonts w:hint="eastAsia" w:hAnsi="Times New Roman" w:eastAsia="宋体"/>
          <w:bCs/>
        </w:rPr>
        <w:br w:type="page"/>
      </w:r>
      <w:bookmarkStart w:id="48" w:name="_Toc1616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6"/>
        <w:jc w:val="center"/>
        <w:rPr>
          <w:rFonts w:ascii="黑体" w:hAnsi="黑体" w:eastAsia="黑体"/>
          <w:b w:val="0"/>
          <w:sz w:val="44"/>
          <w:szCs w:val="44"/>
        </w:rPr>
      </w:pPr>
      <w:bookmarkStart w:id="49" w:name="_Toc1459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6"/>
        <w:spacing w:before="120" w:after="120" w:line="400" w:lineRule="exact"/>
        <w:jc w:val="center"/>
        <w:rPr>
          <w:rFonts w:ascii="黑体" w:eastAsia="黑体"/>
          <w:sz w:val="28"/>
          <w:szCs w:val="28"/>
        </w:rPr>
      </w:pPr>
      <w:r>
        <w:rPr>
          <w:rFonts w:ascii="黑体" w:eastAsia="黑体"/>
          <w:sz w:val="28"/>
          <w:szCs w:val="28"/>
        </w:rPr>
        <w:br w:type="page"/>
      </w:r>
      <w:bookmarkStart w:id="51" w:name="_Toc28190"/>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18"/>
        <w:ind w:firstLine="480"/>
        <w:rPr>
          <w:rFonts w:hAnsi="Times New Roman"/>
          <w:bCs w:val="0"/>
          <w:sz w:val="24"/>
        </w:rPr>
      </w:pPr>
    </w:p>
    <w:p/>
    <w:p>
      <w:pPr>
        <w:jc w:val="center"/>
        <w:outlineLvl w:val="1"/>
      </w:pPr>
      <w:bookmarkStart w:id="53" w:name="_Toc23172"/>
      <w:r>
        <w:rPr>
          <w:rFonts w:hint="eastAsia"/>
        </w:rPr>
        <w:t>一、开标一览表</w:t>
      </w:r>
      <w:bookmarkEnd w:id="53"/>
    </w:p>
    <w:tbl>
      <w:tblPr>
        <w:tblStyle w:val="19"/>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rPr>
                <w:rFonts w:hint="eastAsia" w:eastAsia="宋体"/>
                <w:lang w:val="en-US" w:eastAsia="zh-CN"/>
              </w:rPr>
            </w:pPr>
            <w:r>
              <w:rPr>
                <w:rFonts w:hint="eastAsia"/>
                <w:lang w:val="en-US" w:eastAsia="zh-CN"/>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18"/>
            </w:pPr>
          </w:p>
          <w:p>
            <w:pPr>
              <w:pStyle w:val="18"/>
              <w:ind w:left="0" w:leftChars="0" w:firstLine="0" w:firstLineChars="0"/>
              <w:rPr>
                <w:rFonts w:hint="eastAsia" w:ascii="宋体" w:hAnsi="Times New Roman" w:eastAsia="宋体" w:cs="Times New Roman"/>
                <w:sz w:val="24"/>
                <w:u w:val="single"/>
                <w:lang w:val="en-US" w:eastAsia="zh-CN" w:bidi="ar-SA"/>
              </w:rPr>
            </w:pPr>
            <w:r>
              <w:rPr>
                <w:rFonts w:hint="eastAsia" w:ascii="宋体" w:hAnsi="Times New Roman" w:eastAsia="宋体" w:cs="Times New Roman"/>
                <w:sz w:val="24"/>
                <w:lang w:val="en-US" w:eastAsia="zh-CN" w:bidi="ar-SA"/>
              </w:rPr>
              <w:t>全过程造价咨询服务费费率:</w:t>
            </w:r>
            <w:r>
              <w:rPr>
                <w:rFonts w:hint="eastAsia" w:ascii="宋体" w:hAnsi="Times New Roman" w:eastAsia="宋体" w:cs="Times New Roman"/>
                <w:sz w:val="24"/>
                <w:u w:val="single"/>
                <w:lang w:val="en-US" w:eastAsia="zh-CN" w:bidi="ar-SA"/>
              </w:rPr>
              <w:t xml:space="preserve">       %</w:t>
            </w:r>
          </w:p>
          <w:p>
            <w:pPr>
              <w:pStyle w:val="18"/>
              <w:ind w:left="0" w:leftChars="0" w:firstLine="0" w:firstLineChars="0"/>
              <w:rPr>
                <w:rFonts w:hint="eastAsia" w:ascii="宋体" w:hAnsi="Times New Roman" w:eastAsia="宋体" w:cs="Times New Roman"/>
                <w:sz w:val="24"/>
                <w:u w:val="none"/>
                <w:lang w:val="en-US" w:eastAsia="zh-CN" w:bidi="ar-SA"/>
              </w:rPr>
            </w:pPr>
            <w:r>
              <w:rPr>
                <w:rFonts w:hint="eastAsia" w:ascii="宋体" w:hAnsi="Times New Roman" w:eastAsia="宋体" w:cs="Times New Roman"/>
                <w:sz w:val="24"/>
                <w:u w:val="none"/>
                <w:lang w:val="en-US" w:eastAsia="zh-CN" w:bidi="ar-SA"/>
              </w:rPr>
              <w:t>其他委托事项费率：</w:t>
            </w:r>
            <w:r>
              <w:rPr>
                <w:rFonts w:hint="eastAsia" w:ascii="宋体" w:hAnsi="Times New Roman" w:eastAsia="宋体" w:cs="Times New Roman"/>
                <w:sz w:val="24"/>
                <w:u w:val="single"/>
                <w:lang w:val="en-US" w:eastAsia="zh-CN" w:bidi="ar-SA"/>
              </w:rPr>
              <w:t xml:space="preserve">   </w:t>
            </w:r>
            <w:r>
              <w:rPr>
                <w:rFonts w:hint="eastAsia" w:ascii="宋体" w:hAnsi="Times New Roman" w:eastAsia="宋体" w:cs="Times New Roman"/>
                <w:i w:val="0"/>
                <w:iCs w:val="0"/>
                <w:sz w:val="24"/>
                <w:u w:val="single"/>
                <w:lang w:val="en-US" w:eastAsia="zh-CN" w:bidi="ar-SA"/>
              </w:rPr>
              <w:t xml:space="preserve"> </w:t>
            </w:r>
            <w:r>
              <w:rPr>
                <w:rFonts w:hint="eastAsia" w:ascii="宋体" w:hAnsi="Times New Roman" w:eastAsia="宋体" w:cs="Times New Roman"/>
                <w:i w:val="0"/>
                <w:iCs w:val="0"/>
                <w:sz w:val="24"/>
                <w:u w:val="single"/>
                <w:lang w:val="en-US" w:eastAsia="zh-CN" w:bidi="ar-SA"/>
              </w:rPr>
              <w:t xml:space="preserve">          </w:t>
            </w:r>
            <w:r>
              <w:rPr>
                <w:rFonts w:hint="eastAsia" w:ascii="宋体" w:hAnsi="Times New Roman" w:eastAsia="宋体" w:cs="Times New Roman"/>
                <w:sz w:val="24"/>
                <w:u w:val="none"/>
                <w:lang w:val="en-US" w:eastAsia="zh-CN" w:bidi="ar-SA"/>
              </w:rPr>
              <w:t>%</w:t>
            </w:r>
          </w:p>
          <w:p>
            <w:pPr>
              <w:pStyle w:val="18"/>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18"/>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22308"/>
      <w:r>
        <w:rPr>
          <w:rFonts w:hint="eastAsia"/>
        </w:rPr>
        <w:t>二、投标人基本情况表</w:t>
      </w:r>
      <w:bookmarkEnd w:id="54"/>
    </w:p>
    <w:tbl>
      <w:tblPr>
        <w:tblStyle w:val="19"/>
        <w:tblW w:w="8568" w:type="dxa"/>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7"/>
        <w:jc w:val="center"/>
        <w:rPr>
          <w:rFonts w:ascii="宋体" w:hAnsi="Times New Roman" w:eastAsia="宋体"/>
          <w:bCs w:val="0"/>
        </w:rPr>
      </w:pPr>
      <w:bookmarkStart w:id="55" w:name="_Toc224103496"/>
      <w:bookmarkStart w:id="56" w:name="_Toc460227108"/>
      <w:bookmarkStart w:id="57" w:name="_Toc460660223"/>
      <w:bookmarkStart w:id="58" w:name="_Toc421917001"/>
      <w:bookmarkStart w:id="59" w:name="_Toc390411621"/>
      <w:r>
        <w:rPr>
          <w:rFonts w:hint="eastAsia" w:ascii="宋体" w:hAnsi="Times New Roman" w:eastAsia="宋体"/>
          <w:bCs w:val="0"/>
        </w:rPr>
        <w:t>三、投标函</w:t>
      </w:r>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5"/>
      <w:bookmarkEnd w:id="56"/>
      <w:bookmarkEnd w:id="57"/>
      <w:bookmarkEnd w:id="58"/>
      <w:bookmarkEnd w:id="59"/>
      <w:bookmarkStart w:id="60" w:name="_Toc460660225"/>
      <w:bookmarkStart w:id="61"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2" w:name="_Toc535241227"/>
      <w:bookmarkStart w:id="63" w:name="_Toc535241084"/>
      <w:bookmarkStart w:id="64" w:name="_Toc535241130"/>
      <w:bookmarkStart w:id="65" w:name="_Toc224103497"/>
      <w:bookmarkStart w:id="66" w:name="_Toc224103498"/>
      <w:r>
        <w:rPr>
          <w:sz w:val="32"/>
          <w:szCs w:val="32"/>
        </w:rPr>
        <w:br w:type="page"/>
      </w:r>
      <w:r>
        <w:rPr>
          <w:rFonts w:hint="eastAsia" w:ascii="黑体" w:hAnsi="黑体" w:eastAsia="黑体"/>
          <w:bCs/>
        </w:rPr>
        <w:t>授权委托书</w:t>
      </w:r>
      <w:bookmarkEnd w:id="62"/>
      <w:bookmarkEnd w:id="63"/>
      <w:bookmarkEnd w:id="64"/>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3"/>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3"/>
          <w:rFonts w:hint="default"/>
          <w:b/>
          <w:bCs/>
          <w:color w:val="auto"/>
        </w:rPr>
        <w:t>法定代表人身份证明</w:t>
      </w:r>
    </w:p>
    <w:p>
      <w:pPr>
        <w:pStyle w:val="18"/>
        <w:rPr>
          <w:rStyle w:val="33"/>
          <w:rFonts w:hint="default"/>
          <w:b/>
          <w:bCs/>
          <w:color w:val="auto"/>
        </w:rPr>
      </w:pPr>
    </w:p>
    <w:p>
      <w:pPr>
        <w:pStyle w:val="18"/>
        <w:rPr>
          <w:rStyle w:val="33"/>
          <w:rFonts w:hint="default"/>
          <w:b/>
          <w:bCs/>
          <w:color w:val="auto"/>
        </w:rPr>
      </w:pPr>
    </w:p>
    <w:p>
      <w:pPr>
        <w:pStyle w:val="18"/>
        <w:rPr>
          <w:rStyle w:val="33"/>
          <w:rFonts w:hint="default"/>
          <w:b/>
          <w:bCs/>
          <w:color w:val="auto"/>
        </w:rPr>
      </w:pPr>
    </w:p>
    <w:p>
      <w:pPr>
        <w:pStyle w:val="18"/>
        <w:rPr>
          <w:rStyle w:val="33"/>
          <w:rFonts w:hint="default"/>
          <w:b/>
          <w:bCs/>
          <w:color w:val="auto"/>
        </w:rPr>
      </w:pPr>
    </w:p>
    <w:p>
      <w:pPr>
        <w:pStyle w:val="18"/>
        <w:rPr>
          <w:rStyle w:val="33"/>
          <w:rFonts w:hint="default"/>
          <w:b/>
          <w:bCs/>
          <w:color w:val="auto"/>
        </w:rPr>
      </w:pPr>
    </w:p>
    <w:p>
      <w:pPr>
        <w:rPr>
          <w:rStyle w:val="33"/>
          <w:rFonts w:hint="default"/>
          <w:b/>
          <w:bCs/>
          <w:color w:val="auto"/>
        </w:rPr>
      </w:pPr>
    </w:p>
    <w:p>
      <w:pPr>
        <w:pStyle w:val="18"/>
        <w:rPr>
          <w:rStyle w:val="33"/>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18"/>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18"/>
        <w:rPr>
          <w:rFonts w:hint="eastAsia" w:hAnsi="宋体"/>
          <w:b/>
          <w:bCs/>
          <w:szCs w:val="21"/>
        </w:rPr>
      </w:pPr>
    </w:p>
    <w:p>
      <w:pPr>
        <w:rPr>
          <w:rFonts w:hint="eastAsia" w:hAnsi="宋体"/>
          <w:b/>
          <w:bCs/>
          <w:szCs w:val="21"/>
        </w:rPr>
      </w:pPr>
    </w:p>
    <w:p>
      <w:pPr>
        <w:pStyle w:val="18"/>
        <w:rPr>
          <w:rFonts w:hint="eastAsia" w:hAnsi="宋体"/>
          <w:b/>
          <w:bCs/>
          <w:szCs w:val="21"/>
        </w:rPr>
      </w:pPr>
    </w:p>
    <w:p>
      <w:pPr>
        <w:pStyle w:val="18"/>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5"/>
      <w:bookmarkEnd w:id="66"/>
    </w:p>
    <w:p>
      <w:pPr>
        <w:rPr>
          <w:rFonts w:eastAsia="黑体"/>
        </w:rPr>
      </w:pPr>
    </w:p>
    <w:p>
      <w:pPr>
        <w:spacing w:before="240" w:beforeLines="100" w:line="510" w:lineRule="exact"/>
        <w:jc w:val="center"/>
        <w:outlineLvl w:val="1"/>
      </w:pPr>
      <w:bookmarkStart w:id="67" w:name="_Toc11517"/>
      <w:bookmarkStart w:id="68" w:name="_Toc535241089"/>
      <w:bookmarkStart w:id="69" w:name="_Toc535241135"/>
      <w:bookmarkStart w:id="70" w:name="_Toc535241232"/>
      <w:bookmarkStart w:id="71" w:name="_Toc535241132"/>
      <w:bookmarkStart w:id="72" w:name="_Toc535241086"/>
      <w:bookmarkStart w:id="73" w:name="_Toc535241229"/>
      <w:r>
        <w:rPr>
          <w:rFonts w:hint="eastAsia"/>
        </w:rPr>
        <w:t>五、投标人信用承诺</w:t>
      </w:r>
      <w:bookmarkEnd w:id="67"/>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4" w:name="_Toc21687"/>
      <w:r>
        <w:rPr>
          <w:rFonts w:hint="eastAsia"/>
        </w:rPr>
        <w:t>六、投标人业绩</w:t>
      </w:r>
      <w:bookmarkEnd w:id="74"/>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19"/>
        <w:tblW w:w="9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590" w:type="dxa"/>
            <w:vAlign w:val="center"/>
          </w:tcPr>
          <w:p>
            <w:pPr>
              <w:spacing w:line="360" w:lineRule="auto"/>
              <w:jc w:val="center"/>
              <w:rPr>
                <w:rFonts w:hAnsi="宋体"/>
                <w:sz w:val="22"/>
                <w:szCs w:val="22"/>
              </w:rPr>
            </w:pPr>
            <w:r>
              <w:rPr>
                <w:rFonts w:hint="eastAsia" w:hAnsi="宋体"/>
                <w:sz w:val="22"/>
                <w:szCs w:val="22"/>
              </w:rPr>
              <w:t>序号</w:t>
            </w:r>
          </w:p>
        </w:tc>
        <w:tc>
          <w:tcPr>
            <w:tcW w:w="1202" w:type="dxa"/>
            <w:vAlign w:val="center"/>
          </w:tcPr>
          <w:p>
            <w:pPr>
              <w:spacing w:line="360" w:lineRule="auto"/>
              <w:jc w:val="center"/>
              <w:rPr>
                <w:rFonts w:hAnsi="宋体"/>
                <w:sz w:val="22"/>
                <w:szCs w:val="22"/>
              </w:rPr>
            </w:pPr>
            <w:r>
              <w:rPr>
                <w:rFonts w:hint="eastAsia" w:hAnsi="宋体"/>
                <w:sz w:val="22"/>
                <w:szCs w:val="22"/>
              </w:rPr>
              <w:t>项目名称</w:t>
            </w:r>
          </w:p>
        </w:tc>
        <w:tc>
          <w:tcPr>
            <w:tcW w:w="1228" w:type="dxa"/>
            <w:vAlign w:val="center"/>
          </w:tcPr>
          <w:p>
            <w:pPr>
              <w:widowControl/>
              <w:jc w:val="center"/>
              <w:rPr>
                <w:rFonts w:hAnsi="宋体"/>
                <w:sz w:val="22"/>
                <w:szCs w:val="22"/>
              </w:rPr>
            </w:pPr>
            <w:r>
              <w:rPr>
                <w:rFonts w:hint="eastAsia" w:hAnsi="宋体"/>
                <w:sz w:val="22"/>
                <w:szCs w:val="22"/>
              </w:rPr>
              <w:t>合同签订时间</w:t>
            </w:r>
          </w:p>
        </w:tc>
        <w:tc>
          <w:tcPr>
            <w:tcW w:w="1378" w:type="dxa"/>
            <w:vAlign w:val="center"/>
          </w:tcPr>
          <w:p>
            <w:pPr>
              <w:spacing w:line="360" w:lineRule="auto"/>
              <w:jc w:val="center"/>
              <w:rPr>
                <w:rFonts w:hAnsi="宋体"/>
                <w:sz w:val="22"/>
                <w:szCs w:val="22"/>
              </w:rPr>
            </w:pPr>
            <w:r>
              <w:rPr>
                <w:rFonts w:hint="eastAsia" w:hAnsi="宋体"/>
                <w:sz w:val="22"/>
                <w:szCs w:val="22"/>
              </w:rPr>
              <w:t>合同金额</w:t>
            </w:r>
          </w:p>
        </w:tc>
        <w:tc>
          <w:tcPr>
            <w:tcW w:w="1311" w:type="dxa"/>
            <w:vAlign w:val="center"/>
          </w:tcPr>
          <w:p>
            <w:pPr>
              <w:spacing w:line="360" w:lineRule="auto"/>
              <w:jc w:val="center"/>
              <w:rPr>
                <w:rFonts w:hAnsi="宋体"/>
                <w:sz w:val="22"/>
                <w:szCs w:val="22"/>
              </w:rPr>
            </w:pPr>
            <w:r>
              <w:rPr>
                <w:rFonts w:hint="eastAsia" w:hAnsi="宋体"/>
                <w:sz w:val="22"/>
                <w:szCs w:val="22"/>
              </w:rPr>
              <w:t>合同内容</w:t>
            </w:r>
          </w:p>
        </w:tc>
        <w:tc>
          <w:tcPr>
            <w:tcW w:w="1132" w:type="dxa"/>
            <w:vAlign w:val="center"/>
          </w:tcPr>
          <w:p>
            <w:pPr>
              <w:spacing w:line="360" w:lineRule="auto"/>
              <w:jc w:val="center"/>
              <w:rPr>
                <w:rFonts w:hAnsi="宋体"/>
                <w:sz w:val="22"/>
                <w:szCs w:val="22"/>
              </w:rPr>
            </w:pPr>
            <w:r>
              <w:rPr>
                <w:rFonts w:hint="eastAsia" w:hAnsi="宋体"/>
                <w:sz w:val="22"/>
                <w:szCs w:val="22"/>
              </w:rPr>
              <w:t>项目所在地</w:t>
            </w:r>
          </w:p>
        </w:tc>
        <w:tc>
          <w:tcPr>
            <w:tcW w:w="1992" w:type="dxa"/>
            <w:vAlign w:val="center"/>
          </w:tcPr>
          <w:p>
            <w:pPr>
              <w:spacing w:line="360" w:lineRule="auto"/>
              <w:jc w:val="center"/>
              <w:rPr>
                <w:rFonts w:hAnsi="宋体"/>
                <w:sz w:val="22"/>
                <w:szCs w:val="22"/>
              </w:rPr>
            </w:pPr>
            <w:r>
              <w:rPr>
                <w:rFonts w:hint="eastAsia" w:hAnsi="宋体"/>
                <w:sz w:val="22"/>
                <w:szCs w:val="22"/>
              </w:rPr>
              <w:t>业绩合同甲方及联系电话</w:t>
            </w:r>
          </w:p>
        </w:tc>
        <w:tc>
          <w:tcPr>
            <w:tcW w:w="762" w:type="dxa"/>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590" w:type="dxa"/>
            <w:vAlign w:val="center"/>
          </w:tcPr>
          <w:p>
            <w:pPr>
              <w:spacing w:line="360" w:lineRule="auto"/>
              <w:jc w:val="center"/>
              <w:rPr>
                <w:rFonts w:hAnsi="宋体"/>
                <w:sz w:val="22"/>
                <w:szCs w:val="22"/>
              </w:rPr>
            </w:pPr>
            <w:r>
              <w:rPr>
                <w:rFonts w:hint="eastAsia" w:hAnsi="宋体"/>
                <w:sz w:val="22"/>
                <w:szCs w:val="22"/>
              </w:rPr>
              <w:t>1</w:t>
            </w:r>
          </w:p>
        </w:tc>
        <w:tc>
          <w:tcPr>
            <w:tcW w:w="1202" w:type="dxa"/>
            <w:vAlign w:val="center"/>
          </w:tcPr>
          <w:p>
            <w:pPr>
              <w:spacing w:line="360" w:lineRule="auto"/>
              <w:rPr>
                <w:rFonts w:hAnsi="宋体"/>
                <w:sz w:val="22"/>
                <w:szCs w:val="22"/>
              </w:rPr>
            </w:pPr>
          </w:p>
        </w:tc>
        <w:tc>
          <w:tcPr>
            <w:tcW w:w="1228" w:type="dxa"/>
            <w:vAlign w:val="center"/>
          </w:tcPr>
          <w:p>
            <w:pPr>
              <w:spacing w:line="360" w:lineRule="auto"/>
              <w:rPr>
                <w:rFonts w:hAnsi="宋体"/>
                <w:sz w:val="22"/>
                <w:szCs w:val="22"/>
              </w:rPr>
            </w:pPr>
          </w:p>
        </w:tc>
        <w:tc>
          <w:tcPr>
            <w:tcW w:w="1378" w:type="dxa"/>
            <w:vAlign w:val="center"/>
          </w:tcPr>
          <w:p>
            <w:pPr>
              <w:spacing w:line="360" w:lineRule="auto"/>
              <w:rPr>
                <w:rFonts w:hAnsi="宋体"/>
                <w:sz w:val="22"/>
                <w:szCs w:val="22"/>
              </w:rPr>
            </w:pPr>
          </w:p>
        </w:tc>
        <w:tc>
          <w:tcPr>
            <w:tcW w:w="1311" w:type="dxa"/>
            <w:vAlign w:val="center"/>
          </w:tcPr>
          <w:p>
            <w:pPr>
              <w:spacing w:line="360" w:lineRule="auto"/>
              <w:rPr>
                <w:rFonts w:hAnsi="宋体"/>
                <w:sz w:val="22"/>
                <w:szCs w:val="22"/>
              </w:rPr>
            </w:pPr>
          </w:p>
        </w:tc>
        <w:tc>
          <w:tcPr>
            <w:tcW w:w="1132" w:type="dxa"/>
            <w:vAlign w:val="center"/>
          </w:tcPr>
          <w:p>
            <w:pPr>
              <w:spacing w:line="360" w:lineRule="auto"/>
              <w:rPr>
                <w:rFonts w:hAnsi="宋体"/>
                <w:sz w:val="22"/>
                <w:szCs w:val="22"/>
              </w:rPr>
            </w:pPr>
          </w:p>
        </w:tc>
        <w:tc>
          <w:tcPr>
            <w:tcW w:w="1992" w:type="dxa"/>
            <w:vAlign w:val="center"/>
          </w:tcPr>
          <w:p>
            <w:pPr>
              <w:spacing w:line="360" w:lineRule="auto"/>
              <w:rPr>
                <w:rFonts w:hAnsi="宋体"/>
                <w:sz w:val="22"/>
                <w:szCs w:val="22"/>
              </w:rPr>
            </w:pPr>
          </w:p>
        </w:tc>
        <w:tc>
          <w:tcPr>
            <w:tcW w:w="762" w:type="dxa"/>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0" w:type="dxa"/>
            <w:vAlign w:val="center"/>
          </w:tcPr>
          <w:p>
            <w:pPr>
              <w:spacing w:line="360" w:lineRule="auto"/>
              <w:jc w:val="center"/>
              <w:rPr>
                <w:rFonts w:hAnsi="宋体"/>
                <w:sz w:val="22"/>
                <w:szCs w:val="22"/>
              </w:rPr>
            </w:pPr>
            <w:r>
              <w:rPr>
                <w:rFonts w:hAnsi="宋体"/>
                <w:sz w:val="22"/>
                <w:szCs w:val="22"/>
              </w:rPr>
              <w:t>……</w:t>
            </w:r>
          </w:p>
        </w:tc>
        <w:tc>
          <w:tcPr>
            <w:tcW w:w="1202" w:type="dxa"/>
            <w:vAlign w:val="center"/>
          </w:tcPr>
          <w:p>
            <w:pPr>
              <w:spacing w:line="360" w:lineRule="auto"/>
              <w:rPr>
                <w:rFonts w:hAnsi="宋体"/>
                <w:sz w:val="22"/>
                <w:szCs w:val="22"/>
              </w:rPr>
            </w:pPr>
          </w:p>
        </w:tc>
        <w:tc>
          <w:tcPr>
            <w:tcW w:w="1228" w:type="dxa"/>
            <w:vAlign w:val="center"/>
          </w:tcPr>
          <w:p>
            <w:pPr>
              <w:spacing w:line="360" w:lineRule="auto"/>
              <w:rPr>
                <w:rFonts w:hAnsi="宋体"/>
                <w:sz w:val="22"/>
                <w:szCs w:val="22"/>
              </w:rPr>
            </w:pPr>
          </w:p>
        </w:tc>
        <w:tc>
          <w:tcPr>
            <w:tcW w:w="1378" w:type="dxa"/>
            <w:vAlign w:val="center"/>
          </w:tcPr>
          <w:p>
            <w:pPr>
              <w:spacing w:line="360" w:lineRule="auto"/>
              <w:rPr>
                <w:rFonts w:hAnsi="宋体"/>
                <w:sz w:val="22"/>
                <w:szCs w:val="22"/>
              </w:rPr>
            </w:pPr>
          </w:p>
        </w:tc>
        <w:tc>
          <w:tcPr>
            <w:tcW w:w="1311" w:type="dxa"/>
            <w:vAlign w:val="center"/>
          </w:tcPr>
          <w:p>
            <w:pPr>
              <w:spacing w:line="360" w:lineRule="auto"/>
              <w:rPr>
                <w:rFonts w:hAnsi="宋体"/>
                <w:sz w:val="22"/>
                <w:szCs w:val="22"/>
              </w:rPr>
            </w:pPr>
          </w:p>
        </w:tc>
        <w:tc>
          <w:tcPr>
            <w:tcW w:w="1132" w:type="dxa"/>
            <w:vAlign w:val="center"/>
          </w:tcPr>
          <w:p>
            <w:pPr>
              <w:spacing w:line="360" w:lineRule="auto"/>
              <w:rPr>
                <w:rFonts w:hAnsi="宋体"/>
                <w:sz w:val="22"/>
                <w:szCs w:val="22"/>
              </w:rPr>
            </w:pPr>
          </w:p>
        </w:tc>
        <w:tc>
          <w:tcPr>
            <w:tcW w:w="1992" w:type="dxa"/>
            <w:vAlign w:val="center"/>
          </w:tcPr>
          <w:p>
            <w:pPr>
              <w:spacing w:line="360" w:lineRule="auto"/>
              <w:rPr>
                <w:rFonts w:hAnsi="宋体"/>
                <w:sz w:val="22"/>
                <w:szCs w:val="22"/>
              </w:rPr>
            </w:pPr>
          </w:p>
        </w:tc>
        <w:tc>
          <w:tcPr>
            <w:tcW w:w="762" w:type="dxa"/>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846"/>
      <w:r>
        <w:rPr>
          <w:rFonts w:hint="eastAsia"/>
        </w:rPr>
        <w:t>七、奖项、荣誉（如有）</w:t>
      </w:r>
      <w:bookmarkEnd w:id="75"/>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6" w:name="_Toc6325"/>
      <w:r>
        <w:rPr>
          <w:rFonts w:hint="eastAsia"/>
        </w:rPr>
        <w:t>八、项目管理机构</w:t>
      </w:r>
      <w:bookmarkEnd w:id="76"/>
    </w:p>
    <w:bookmarkEnd w:id="68"/>
    <w:bookmarkEnd w:id="69"/>
    <w:bookmarkEnd w:id="70"/>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19"/>
        <w:tblW w:w="8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
        <w:gridCol w:w="3"/>
        <w:gridCol w:w="745"/>
        <w:gridCol w:w="2"/>
        <w:gridCol w:w="1"/>
        <w:gridCol w:w="1380"/>
        <w:gridCol w:w="2"/>
        <w:gridCol w:w="1"/>
        <w:gridCol w:w="966"/>
        <w:gridCol w:w="2"/>
        <w:gridCol w:w="1"/>
        <w:gridCol w:w="689"/>
        <w:gridCol w:w="2"/>
        <w:gridCol w:w="1"/>
        <w:gridCol w:w="737"/>
        <w:gridCol w:w="2"/>
        <w:gridCol w:w="1"/>
        <w:gridCol w:w="1104"/>
        <w:gridCol w:w="3"/>
        <w:gridCol w:w="723"/>
        <w:gridCol w:w="18"/>
        <w:gridCol w:w="1116"/>
        <w:gridCol w:w="2"/>
        <w:gridCol w:w="16"/>
        <w:gridCol w:w="772"/>
        <w:gridCol w:w="2"/>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413" w:hRule="atLeast"/>
          <w:jc w:val="center"/>
        </w:trPr>
        <w:tc>
          <w:tcPr>
            <w:tcW w:w="762" w:type="dxa"/>
            <w:gridSpan w:val="4"/>
            <w:vAlign w:val="center"/>
          </w:tcPr>
          <w:p>
            <w:pPr>
              <w:spacing w:line="440" w:lineRule="exact"/>
              <w:jc w:val="center"/>
            </w:pPr>
            <w:r>
              <w:rPr>
                <w:rFonts w:hint="eastAsia"/>
              </w:rPr>
              <w:t>序号</w:t>
            </w:r>
          </w:p>
        </w:tc>
        <w:tc>
          <w:tcPr>
            <w:tcW w:w="1383" w:type="dxa"/>
            <w:gridSpan w:val="3"/>
            <w:vMerge w:val="restart"/>
            <w:vAlign w:val="center"/>
          </w:tcPr>
          <w:p>
            <w:pPr>
              <w:spacing w:line="440" w:lineRule="exact"/>
              <w:jc w:val="center"/>
            </w:pPr>
            <w:r>
              <w:rPr>
                <w:rFonts w:hint="eastAsia"/>
              </w:rPr>
              <w:t>本项目任职</w:t>
            </w:r>
          </w:p>
        </w:tc>
        <w:tc>
          <w:tcPr>
            <w:tcW w:w="969" w:type="dxa"/>
            <w:gridSpan w:val="3"/>
            <w:vMerge w:val="restart"/>
            <w:vAlign w:val="center"/>
          </w:tcPr>
          <w:p>
            <w:pPr>
              <w:spacing w:line="440" w:lineRule="exact"/>
              <w:jc w:val="center"/>
            </w:pPr>
            <w:r>
              <w:rPr>
                <w:rFonts w:hint="eastAsia"/>
              </w:rPr>
              <w:t>姓名</w:t>
            </w:r>
          </w:p>
        </w:tc>
        <w:tc>
          <w:tcPr>
            <w:tcW w:w="692" w:type="dxa"/>
            <w:gridSpan w:val="3"/>
            <w:vMerge w:val="restart"/>
            <w:vAlign w:val="center"/>
          </w:tcPr>
          <w:p>
            <w:pPr>
              <w:spacing w:line="440" w:lineRule="exact"/>
              <w:jc w:val="center"/>
            </w:pPr>
            <w:r>
              <w:rPr>
                <w:rFonts w:hint="eastAsia"/>
              </w:rPr>
              <w:t>职称</w:t>
            </w:r>
          </w:p>
        </w:tc>
        <w:tc>
          <w:tcPr>
            <w:tcW w:w="740" w:type="dxa"/>
            <w:gridSpan w:val="3"/>
            <w:vMerge w:val="restart"/>
            <w:vAlign w:val="center"/>
          </w:tcPr>
          <w:p>
            <w:pPr>
              <w:spacing w:line="440" w:lineRule="exact"/>
              <w:jc w:val="center"/>
            </w:pPr>
            <w:r>
              <w:rPr>
                <w:rFonts w:hint="eastAsia"/>
              </w:rPr>
              <w:t>专业</w:t>
            </w:r>
          </w:p>
        </w:tc>
        <w:tc>
          <w:tcPr>
            <w:tcW w:w="2967" w:type="dxa"/>
            <w:gridSpan w:val="7"/>
            <w:vAlign w:val="center"/>
          </w:tcPr>
          <w:p>
            <w:pPr>
              <w:spacing w:line="440" w:lineRule="exact"/>
              <w:jc w:val="center"/>
            </w:pPr>
            <w:r>
              <w:rPr>
                <w:rFonts w:hint="eastAsia"/>
              </w:rPr>
              <w:t>执业或职业资格证明（如有）</w:t>
            </w:r>
          </w:p>
        </w:tc>
        <w:tc>
          <w:tcPr>
            <w:tcW w:w="790" w:type="dxa"/>
            <w:gridSpan w:val="3"/>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2"/>
          <w:wBefore w:w="12" w:type="dxa"/>
          <w:wAfter w:w="3" w:type="dxa"/>
          <w:trHeight w:val="369" w:hRule="atLeast"/>
          <w:jc w:val="center"/>
        </w:trPr>
        <w:tc>
          <w:tcPr>
            <w:tcW w:w="748" w:type="dxa"/>
            <w:gridSpan w:val="2"/>
            <w:vAlign w:val="center"/>
          </w:tcPr>
          <w:p/>
        </w:tc>
        <w:tc>
          <w:tcPr>
            <w:tcW w:w="1383" w:type="dxa"/>
            <w:gridSpan w:val="3"/>
            <w:vMerge w:val="continue"/>
          </w:tcPr>
          <w:p/>
        </w:tc>
        <w:tc>
          <w:tcPr>
            <w:tcW w:w="969" w:type="dxa"/>
            <w:gridSpan w:val="3"/>
            <w:vMerge w:val="continue"/>
            <w:vAlign w:val="center"/>
          </w:tcPr>
          <w:p/>
        </w:tc>
        <w:tc>
          <w:tcPr>
            <w:tcW w:w="692" w:type="dxa"/>
            <w:gridSpan w:val="3"/>
            <w:vMerge w:val="continue"/>
            <w:vAlign w:val="center"/>
          </w:tcPr>
          <w:p/>
        </w:tc>
        <w:tc>
          <w:tcPr>
            <w:tcW w:w="740" w:type="dxa"/>
            <w:gridSpan w:val="3"/>
            <w:vMerge w:val="continue"/>
            <w:vAlign w:val="center"/>
          </w:tcPr>
          <w:p>
            <w:pPr>
              <w:spacing w:line="440" w:lineRule="exact"/>
              <w:jc w:val="center"/>
            </w:pPr>
          </w:p>
        </w:tc>
        <w:tc>
          <w:tcPr>
            <w:tcW w:w="1107" w:type="dxa"/>
            <w:gridSpan w:val="3"/>
            <w:vAlign w:val="center"/>
          </w:tcPr>
          <w:p>
            <w:pPr>
              <w:spacing w:before="100" w:beforeAutospacing="1" w:after="100" w:afterAutospacing="1" w:line="440" w:lineRule="exact"/>
              <w:jc w:val="center"/>
            </w:pPr>
            <w:r>
              <w:rPr>
                <w:rFonts w:hint="eastAsia"/>
              </w:rPr>
              <w:t>证书名称</w:t>
            </w:r>
          </w:p>
        </w:tc>
        <w:tc>
          <w:tcPr>
            <w:tcW w:w="726" w:type="dxa"/>
            <w:gridSpan w:val="2"/>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vAlign w:val="center"/>
          </w:tcPr>
          <w:p>
            <w:pPr>
              <w:spacing w:line="440" w:lineRule="exact"/>
              <w:jc w:val="center"/>
            </w:pPr>
          </w:p>
        </w:tc>
        <w:tc>
          <w:tcPr>
            <w:tcW w:w="1383" w:type="dxa"/>
            <w:gridSpan w:val="3"/>
          </w:tcPr>
          <w:p>
            <w:pPr>
              <w:spacing w:line="440" w:lineRule="exact"/>
              <w:jc w:val="center"/>
            </w:pPr>
          </w:p>
        </w:tc>
        <w:tc>
          <w:tcPr>
            <w:tcW w:w="969" w:type="dxa"/>
            <w:gridSpan w:val="3"/>
            <w:vAlign w:val="center"/>
          </w:tcPr>
          <w:p>
            <w:pPr>
              <w:spacing w:line="440" w:lineRule="exact"/>
              <w:jc w:val="center"/>
            </w:pPr>
          </w:p>
        </w:tc>
        <w:tc>
          <w:tcPr>
            <w:tcW w:w="692" w:type="dxa"/>
            <w:gridSpan w:val="3"/>
            <w:vAlign w:val="center"/>
          </w:tcPr>
          <w:p>
            <w:pPr>
              <w:spacing w:line="440" w:lineRule="exact"/>
              <w:jc w:val="center"/>
            </w:pPr>
          </w:p>
        </w:tc>
        <w:tc>
          <w:tcPr>
            <w:tcW w:w="740" w:type="dxa"/>
            <w:gridSpan w:val="3"/>
            <w:vAlign w:val="center"/>
          </w:tcPr>
          <w:p>
            <w:pPr>
              <w:spacing w:line="440" w:lineRule="exact"/>
              <w:jc w:val="center"/>
            </w:pPr>
          </w:p>
        </w:tc>
        <w:tc>
          <w:tcPr>
            <w:tcW w:w="1107" w:type="dxa"/>
            <w:gridSpan w:val="2"/>
            <w:vAlign w:val="center"/>
          </w:tcPr>
          <w:p>
            <w:pPr>
              <w:spacing w:line="440" w:lineRule="exact"/>
              <w:jc w:val="center"/>
            </w:pPr>
          </w:p>
        </w:tc>
        <w:tc>
          <w:tcPr>
            <w:tcW w:w="741" w:type="dxa"/>
            <w:gridSpan w:val="2"/>
            <w:vAlign w:val="center"/>
          </w:tcPr>
          <w:p>
            <w:pPr>
              <w:spacing w:line="440" w:lineRule="exact"/>
              <w:jc w:val="center"/>
            </w:pPr>
          </w:p>
        </w:tc>
        <w:tc>
          <w:tcPr>
            <w:tcW w:w="1134" w:type="dxa"/>
            <w:gridSpan w:val="3"/>
            <w:vAlign w:val="center"/>
          </w:tcPr>
          <w:p>
            <w:pPr>
              <w:spacing w:line="440" w:lineRule="exact"/>
              <w:jc w:val="center"/>
            </w:pPr>
          </w:p>
        </w:tc>
        <w:tc>
          <w:tcPr>
            <w:tcW w:w="775" w:type="dxa"/>
            <w:gridSpan w:val="3"/>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13"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02"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2"/>
          <w:wBefore w:w="15" w:type="dxa"/>
          <w:trHeight w:val="426" w:hRule="atLeast"/>
          <w:jc w:val="center"/>
        </w:trPr>
        <w:tc>
          <w:tcPr>
            <w:tcW w:w="748" w:type="dxa"/>
            <w:gridSpan w:val="3"/>
          </w:tcPr>
          <w:p>
            <w:pPr>
              <w:spacing w:line="440" w:lineRule="exact"/>
              <w:jc w:val="center"/>
            </w:pPr>
          </w:p>
        </w:tc>
        <w:tc>
          <w:tcPr>
            <w:tcW w:w="1383" w:type="dxa"/>
            <w:gridSpan w:val="3"/>
          </w:tcPr>
          <w:p>
            <w:pPr>
              <w:spacing w:line="440" w:lineRule="exact"/>
              <w:jc w:val="center"/>
            </w:pPr>
          </w:p>
        </w:tc>
        <w:tc>
          <w:tcPr>
            <w:tcW w:w="969" w:type="dxa"/>
            <w:gridSpan w:val="3"/>
          </w:tcPr>
          <w:p>
            <w:pPr>
              <w:spacing w:line="440" w:lineRule="exact"/>
              <w:jc w:val="center"/>
            </w:pPr>
          </w:p>
        </w:tc>
        <w:tc>
          <w:tcPr>
            <w:tcW w:w="692" w:type="dxa"/>
            <w:gridSpan w:val="3"/>
          </w:tcPr>
          <w:p>
            <w:pPr>
              <w:spacing w:line="440" w:lineRule="exact"/>
              <w:jc w:val="center"/>
            </w:pPr>
          </w:p>
        </w:tc>
        <w:tc>
          <w:tcPr>
            <w:tcW w:w="740" w:type="dxa"/>
            <w:gridSpan w:val="3"/>
          </w:tcPr>
          <w:p>
            <w:pPr>
              <w:spacing w:line="440" w:lineRule="exact"/>
              <w:jc w:val="center"/>
            </w:pPr>
          </w:p>
        </w:tc>
        <w:tc>
          <w:tcPr>
            <w:tcW w:w="1107" w:type="dxa"/>
            <w:gridSpan w:val="2"/>
          </w:tcPr>
          <w:p>
            <w:pPr>
              <w:spacing w:line="440" w:lineRule="exact"/>
              <w:jc w:val="center"/>
            </w:pPr>
          </w:p>
        </w:tc>
        <w:tc>
          <w:tcPr>
            <w:tcW w:w="741" w:type="dxa"/>
            <w:gridSpan w:val="2"/>
          </w:tcPr>
          <w:p>
            <w:pPr>
              <w:spacing w:line="440" w:lineRule="exact"/>
              <w:jc w:val="center"/>
            </w:pPr>
          </w:p>
        </w:tc>
        <w:tc>
          <w:tcPr>
            <w:tcW w:w="1134" w:type="dxa"/>
            <w:gridSpan w:val="3"/>
          </w:tcPr>
          <w:p>
            <w:pPr>
              <w:spacing w:line="440" w:lineRule="exact"/>
              <w:jc w:val="center"/>
            </w:pPr>
          </w:p>
        </w:tc>
        <w:tc>
          <w:tcPr>
            <w:tcW w:w="775" w:type="dxa"/>
            <w:gridSpan w:val="3"/>
          </w:tcPr>
          <w:p>
            <w:pPr>
              <w:spacing w:line="440" w:lineRule="exact"/>
              <w:jc w:val="center"/>
            </w:pPr>
          </w:p>
        </w:tc>
      </w:tr>
    </w:tbl>
    <w:p>
      <w:pPr>
        <w:spacing w:line="440" w:lineRule="exact"/>
        <w:rPr>
          <w:rFonts w:hAnsi="宋体"/>
          <w:b/>
          <w:bCs/>
          <w:szCs w:val="24"/>
        </w:rPr>
      </w:pPr>
      <w:bookmarkStart w:id="77" w:name="_Toc384308390"/>
      <w:bookmarkStart w:id="78" w:name="_Toc385943079"/>
      <w:bookmarkStart w:id="79" w:name="_Toc370676440"/>
      <w:bookmarkStart w:id="80" w:name="_Toc144974873"/>
      <w:bookmarkStart w:id="81" w:name="_Toc482188668"/>
      <w:bookmarkStart w:id="82" w:name="_Toc152042594"/>
      <w:bookmarkStart w:id="83" w:name="_Toc391394125"/>
      <w:bookmarkStart w:id="84" w:name="_Toc492300541"/>
      <w:bookmarkStart w:id="85" w:name="_Toc152045805"/>
      <w:bookmarkStart w:id="86" w:name="_Toc179632825"/>
      <w:bookmarkStart w:id="87" w:name="_Toc359594249"/>
      <w:bookmarkStart w:id="88" w:name="_Toc300835232"/>
      <w:r>
        <w:rPr>
          <w:rFonts w:hint="eastAsia" w:hAnsi="宋体"/>
          <w:b/>
          <w:bCs/>
          <w:szCs w:val="24"/>
        </w:rPr>
        <w:t>（二）主要人员简历表</w:t>
      </w:r>
      <w:bookmarkEnd w:id="77"/>
      <w:bookmarkEnd w:id="78"/>
      <w:bookmarkEnd w:id="79"/>
      <w:bookmarkEnd w:id="80"/>
      <w:bookmarkEnd w:id="81"/>
      <w:bookmarkEnd w:id="82"/>
      <w:bookmarkEnd w:id="83"/>
      <w:bookmarkEnd w:id="84"/>
      <w:bookmarkEnd w:id="85"/>
      <w:bookmarkEnd w:id="86"/>
      <w:bookmarkEnd w:id="87"/>
      <w:bookmarkEnd w:id="88"/>
    </w:p>
    <w:p>
      <w:pPr>
        <w:topLinePunct/>
        <w:spacing w:line="440" w:lineRule="exact"/>
        <w:jc w:val="center"/>
        <w:rPr>
          <w:sz w:val="23"/>
        </w:rPr>
      </w:pPr>
      <w:r>
        <w:rPr>
          <w:rFonts w:hint="eastAsia"/>
        </w:rPr>
        <w:t xml:space="preserve"> </w:t>
      </w:r>
    </w:p>
    <w:tbl>
      <w:tblPr>
        <w:tblStyle w:val="19"/>
        <w:tblW w:w="85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0"/>
    <w:bookmarkEnd w:id="61"/>
    <w:bookmarkEnd w:id="71"/>
    <w:bookmarkEnd w:id="72"/>
    <w:bookmarkEnd w:id="73"/>
    <w:p>
      <w:pPr>
        <w:jc w:val="center"/>
        <w:rPr>
          <w:rFonts w:hAnsi="宋体" w:cs="宋体"/>
          <w:b/>
          <w:bCs/>
          <w:spacing w:val="-2"/>
          <w:szCs w:val="24"/>
        </w:rPr>
      </w:pPr>
    </w:p>
    <w:p>
      <w:pPr>
        <w:jc w:val="center"/>
        <w:outlineLvl w:val="1"/>
        <w:rPr>
          <w:rFonts w:hAnsi="宋体" w:cs="宋体"/>
          <w:b/>
          <w:bCs/>
          <w:spacing w:val="-2"/>
          <w:szCs w:val="24"/>
        </w:rPr>
      </w:pPr>
      <w:bookmarkStart w:id="89" w:name="_Toc31198"/>
      <w:r>
        <w:rPr>
          <w:rFonts w:hint="eastAsia" w:hAnsi="宋体" w:cs="宋体"/>
          <w:b/>
          <w:bCs/>
          <w:spacing w:val="-2"/>
          <w:szCs w:val="24"/>
        </w:rPr>
        <w:t>九、后期服务方案</w:t>
      </w:r>
      <w:bookmarkEnd w:id="89"/>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0" w:name="_Toc9109"/>
      <w:r>
        <w:rPr>
          <w:rFonts w:hint="eastAsia" w:hAnsi="宋体" w:cs="宋体"/>
          <w:b/>
          <w:bCs/>
          <w:spacing w:val="-2"/>
          <w:szCs w:val="24"/>
        </w:rPr>
        <w:t>十、其他资料</w:t>
      </w:r>
      <w:bookmarkEnd w:id="90"/>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4002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ascii="仿宋_GB2312" w:eastAsia="仿宋_GB2312"/>
        <w:sz w:val="21"/>
        <w:szCs w:val="21"/>
      </w:rPr>
    </w:pPr>
    <w:r>
      <w:rPr>
        <w:rFonts w:hint="eastAsia" w:ascii="仿宋_GB2312" w:eastAsia="仿宋_GB2312"/>
        <w:sz w:val="21"/>
        <w:szCs w:val="21"/>
      </w:rPr>
      <w:fldChar w:fldCharType="begin"/>
    </w:r>
    <w:r>
      <w:rPr>
        <w:rStyle w:val="22"/>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2"/>
        <w:rFonts w:ascii="仿宋_GB2312" w:eastAsia="仿宋_GB2312"/>
        <w:sz w:val="21"/>
        <w:szCs w:val="21"/>
      </w:rPr>
      <w:t>7</w:t>
    </w:r>
    <w:r>
      <w:rPr>
        <w:rFonts w:hint="eastAsia" w:ascii="仿宋_GB2312" w:eastAsia="仿宋_GB2312"/>
        <w:sz w:val="21"/>
        <w:szCs w:val="21"/>
      </w:rPr>
      <w:fldChar w:fldCharType="end"/>
    </w:r>
  </w:p>
  <w:p>
    <w:pPr>
      <w:pStyle w:val="13"/>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separate"/>
    </w:r>
    <w:r>
      <w:rPr>
        <w:rStyle w:val="22"/>
      </w:rPr>
      <w:t>1</w:t>
    </w:r>
    <w:r>
      <w:fldChar w:fldCharType="end"/>
    </w:r>
  </w:p>
  <w:p>
    <w:pPr>
      <w:pStyle w:val="1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Fonts w:ascii="仿宋_GB2312" w:eastAsia="仿宋_GB2312"/>
      </w:rPr>
    </w:pPr>
    <w:r>
      <w:rPr>
        <w:rFonts w:hint="eastAsia" w:ascii="仿宋_GB2312" w:eastAsia="仿宋_GB2312"/>
      </w:rPr>
      <w:fldChar w:fldCharType="begin"/>
    </w:r>
    <w:r>
      <w:rPr>
        <w:rStyle w:val="22"/>
        <w:rFonts w:hint="eastAsia" w:ascii="仿宋_GB2312" w:eastAsia="仿宋_GB2312"/>
      </w:rPr>
      <w:instrText xml:space="preserve">PAGE  </w:instrText>
    </w:r>
    <w:r>
      <w:rPr>
        <w:rFonts w:hint="eastAsia" w:ascii="仿宋_GB2312" w:eastAsia="仿宋_GB2312"/>
      </w:rPr>
      <w:fldChar w:fldCharType="separate"/>
    </w:r>
    <w:r>
      <w:rPr>
        <w:rStyle w:val="22"/>
        <w:rFonts w:ascii="仿宋_GB2312" w:eastAsia="仿宋_GB2312"/>
      </w:rPr>
      <w:t>39</w:t>
    </w:r>
    <w:r>
      <w:rPr>
        <w:rFonts w:hint="eastAsia" w:ascii="仿宋_GB2312" w:eastAsia="仿宋_GB2312"/>
      </w:rPr>
      <w:fldChar w:fldCharType="end"/>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fldChar w:fldCharType="begin"/>
    </w:r>
    <w:r>
      <w:rPr>
        <w:rStyle w:val="22"/>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BA27EBB5"/>
    <w:multiLevelType w:val="singleLevel"/>
    <w:tmpl w:val="BA27EBB5"/>
    <w:lvl w:ilvl="0" w:tentative="0">
      <w:start w:val="1"/>
      <w:numFmt w:val="decimal"/>
      <w:lvlText w:val="%1."/>
      <w:lvlJc w:val="left"/>
      <w:pPr>
        <w:tabs>
          <w:tab w:val="left" w:pos="312"/>
        </w:tabs>
      </w:pPr>
    </w:lvl>
  </w:abstractNum>
  <w:abstractNum w:abstractNumId="3">
    <w:nsid w:val="CFA0DA6B"/>
    <w:multiLevelType w:val="singleLevel"/>
    <w:tmpl w:val="CFA0DA6B"/>
    <w:lvl w:ilvl="0" w:tentative="0">
      <w:start w:val="1"/>
      <w:numFmt w:val="decimal"/>
      <w:suff w:val="nothing"/>
      <w:lvlText w:val="（%1）"/>
      <w:lvlJc w:val="left"/>
    </w:lvl>
  </w:abstractNum>
  <w:abstractNum w:abstractNumId="4">
    <w:nsid w:val="F6A2F689"/>
    <w:multiLevelType w:val="singleLevel"/>
    <w:tmpl w:val="F6A2F689"/>
    <w:lvl w:ilvl="0" w:tentative="0">
      <w:start w:val="1"/>
      <w:numFmt w:val="decimal"/>
      <w:lvlText w:val="%1."/>
      <w:lvlJc w:val="left"/>
      <w:pPr>
        <w:tabs>
          <w:tab w:val="left" w:pos="312"/>
        </w:tabs>
      </w:pPr>
    </w:lvl>
  </w:abstractNum>
  <w:abstractNum w:abstractNumId="5">
    <w:nsid w:val="14AF497A"/>
    <w:multiLevelType w:val="singleLevel"/>
    <w:tmpl w:val="14AF497A"/>
    <w:lvl w:ilvl="0" w:tentative="0">
      <w:start w:val="1"/>
      <w:numFmt w:val="chineseCounting"/>
      <w:suff w:val="space"/>
      <w:lvlText w:val="第%1章"/>
      <w:lvlJc w:val="left"/>
      <w:rPr>
        <w:rFonts w:hint="eastAsia"/>
      </w:rPr>
    </w:lvl>
  </w:abstractNum>
  <w:abstractNum w:abstractNumId="6">
    <w:nsid w:val="6C639155"/>
    <w:multiLevelType w:val="singleLevel"/>
    <w:tmpl w:val="6C639155"/>
    <w:lvl w:ilvl="0" w:tentative="0">
      <w:start w:val="3"/>
      <w:numFmt w:val="chineseCounting"/>
      <w:suff w:val="nothing"/>
      <w:lvlText w:val="%1、"/>
      <w:lvlJc w:val="left"/>
      <w:rPr>
        <w:rFonts w:hint="eastAsia"/>
      </w:rPr>
    </w:lvl>
  </w:abstractNum>
  <w:abstractNum w:abstractNumId="7">
    <w:nsid w:val="7A55F52D"/>
    <w:multiLevelType w:val="singleLevel"/>
    <w:tmpl w:val="7A55F52D"/>
    <w:lvl w:ilvl="0" w:tentative="0">
      <w:start w:val="1"/>
      <w:numFmt w:val="decimal"/>
      <w:suff w:val="nothing"/>
      <w:lvlText w:val="（%1）"/>
      <w:lvlJc w:val="left"/>
    </w:lvl>
  </w:abstractNum>
  <w:abstractNum w:abstractNumId="8">
    <w:nsid w:val="7E9E7A75"/>
    <w:multiLevelType w:val="singleLevel"/>
    <w:tmpl w:val="7E9E7A75"/>
    <w:lvl w:ilvl="0" w:tentative="0">
      <w:start w:val="3"/>
      <w:numFmt w:val="decimal"/>
      <w:suff w:val="nothing"/>
      <w:lvlText w:val="（%1）"/>
      <w:lvlJc w:val="left"/>
    </w:lvl>
  </w:abstractNum>
  <w:num w:numId="1">
    <w:abstractNumId w:val="5"/>
  </w:num>
  <w:num w:numId="2">
    <w:abstractNumId w:val="1"/>
  </w:num>
  <w:num w:numId="3">
    <w:abstractNumId w:val="2"/>
  </w:num>
  <w:num w:numId="4">
    <w:abstractNumId w:val="6"/>
  </w:num>
  <w:num w:numId="5">
    <w:abstractNumId w:val="8"/>
  </w:num>
  <w:num w:numId="6">
    <w:abstractNumId w:val="4"/>
  </w:num>
  <w:num w:numId="7">
    <w:abstractNumId w:val="0"/>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6103C1"/>
    <w:rsid w:val="11861B4E"/>
    <w:rsid w:val="12F53ABA"/>
    <w:rsid w:val="1D1D1BB5"/>
    <w:rsid w:val="1D535C2D"/>
    <w:rsid w:val="1F232979"/>
    <w:rsid w:val="21476AA8"/>
    <w:rsid w:val="232B619C"/>
    <w:rsid w:val="253671CD"/>
    <w:rsid w:val="264A624F"/>
    <w:rsid w:val="38982B49"/>
    <w:rsid w:val="3A4906D1"/>
    <w:rsid w:val="3DB3403F"/>
    <w:rsid w:val="3DE4476A"/>
    <w:rsid w:val="44F55484"/>
    <w:rsid w:val="48DA11DA"/>
    <w:rsid w:val="4D0572E7"/>
    <w:rsid w:val="4E6471A3"/>
    <w:rsid w:val="4F2757CC"/>
    <w:rsid w:val="51680684"/>
    <w:rsid w:val="530507C0"/>
    <w:rsid w:val="57D231C1"/>
    <w:rsid w:val="597E7EA6"/>
    <w:rsid w:val="5E4C4709"/>
    <w:rsid w:val="655C37AF"/>
    <w:rsid w:val="699D339B"/>
    <w:rsid w:val="6E4F60A8"/>
    <w:rsid w:val="70D65155"/>
    <w:rsid w:val="73AE379B"/>
    <w:rsid w:val="7AC14AF6"/>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4"/>
    <w:next w:val="5"/>
    <w:autoRedefine/>
    <w:qFormat/>
    <w:uiPriority w:val="0"/>
    <w:pPr>
      <w:keepNext/>
      <w:keepLines/>
      <w:outlineLvl w:val="0"/>
    </w:pPr>
    <w:rPr>
      <w:b/>
      <w:bCs w:val="0"/>
      <w:kern w:val="44"/>
      <w:sz w:val="32"/>
      <w:szCs w:val="44"/>
    </w:rPr>
  </w:style>
  <w:style w:type="paragraph" w:styleId="6">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8">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5">
    <w:name w:val="Plain Text"/>
    <w:basedOn w:val="1"/>
    <w:autoRedefine/>
    <w:qFormat/>
    <w:uiPriority w:val="0"/>
    <w:rPr>
      <w:rFonts w:ascii="Courier New" w:hAnsi="Courier New"/>
    </w:rPr>
  </w:style>
  <w:style w:type="paragraph" w:styleId="9">
    <w:name w:val="table of authorities"/>
    <w:basedOn w:val="1"/>
    <w:next w:val="1"/>
    <w:autoRedefine/>
    <w:qFormat/>
    <w:uiPriority w:val="0"/>
    <w:pPr>
      <w:ind w:left="420" w:leftChars="200"/>
    </w:pPr>
  </w:style>
  <w:style w:type="paragraph" w:styleId="10">
    <w:name w:val="annotation text"/>
    <w:basedOn w:val="1"/>
    <w:autoRedefine/>
    <w:qFormat/>
    <w:uiPriority w:val="0"/>
    <w:pPr>
      <w:jc w:val="left"/>
    </w:pPr>
  </w:style>
  <w:style w:type="paragraph" w:styleId="11">
    <w:name w:val="Body Text Indent"/>
    <w:basedOn w:val="1"/>
    <w:next w:val="12"/>
    <w:autoRedefine/>
    <w:qFormat/>
    <w:uiPriority w:val="0"/>
    <w:pPr>
      <w:ind w:firstLine="560" w:firstLineChars="200"/>
    </w:pPr>
    <w:rPr>
      <w:rFonts w:hAnsi="宋体"/>
      <w:bCs/>
      <w:sz w:val="28"/>
      <w:szCs w:val="32"/>
    </w:rPr>
  </w:style>
  <w:style w:type="paragraph" w:styleId="12">
    <w:name w:val="envelope return"/>
    <w:basedOn w:val="1"/>
    <w:autoRedefine/>
    <w:qFormat/>
    <w:uiPriority w:val="0"/>
    <w:pPr>
      <w:snapToGrid w:val="0"/>
    </w:pPr>
    <w:rPr>
      <w:rFonts w:ascii="Arial" w:hAnsi="Arial"/>
    </w:rPr>
  </w:style>
  <w:style w:type="paragraph" w:styleId="13">
    <w:name w:val="footer"/>
    <w:basedOn w:val="1"/>
    <w:autoRedefine/>
    <w:qFormat/>
    <w:uiPriority w:val="99"/>
    <w:pPr>
      <w:tabs>
        <w:tab w:val="center" w:pos="4153"/>
        <w:tab w:val="right" w:pos="8306"/>
      </w:tabs>
      <w:snapToGrid w:val="0"/>
      <w:jc w:val="left"/>
    </w:pPr>
    <w:rPr>
      <w:sz w:val="18"/>
      <w:szCs w:val="18"/>
    </w:rPr>
  </w:style>
  <w:style w:type="paragraph" w:styleId="1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pPr>
      <w:spacing w:before="120" w:after="120"/>
      <w:jc w:val="left"/>
    </w:pPr>
    <w:rPr>
      <w:rFonts w:ascii="Calibri" w:hAnsi="Calibri" w:cs="Calibri"/>
      <w:b/>
      <w:bCs/>
      <w:caps/>
      <w:sz w:val="20"/>
    </w:rPr>
  </w:style>
  <w:style w:type="paragraph" w:styleId="16">
    <w:name w:val="toc 2"/>
    <w:basedOn w:val="1"/>
    <w:next w:val="1"/>
    <w:autoRedefine/>
    <w:qFormat/>
    <w:uiPriority w:val="39"/>
    <w:pPr>
      <w:ind w:left="210"/>
      <w:jc w:val="left"/>
    </w:pPr>
    <w:rPr>
      <w:rFonts w:ascii="Calibri" w:hAnsi="Calibri" w:cs="Calibri"/>
      <w:smallCaps/>
      <w:sz w:val="20"/>
    </w:rPr>
  </w:style>
  <w:style w:type="paragraph" w:styleId="17">
    <w:name w:val="Body Text First Indent"/>
    <w:basedOn w:val="2"/>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18">
    <w:name w:val="Body Text First Indent 2"/>
    <w:basedOn w:val="11"/>
    <w:next w:val="1"/>
    <w:autoRedefine/>
    <w:qFormat/>
    <w:uiPriority w:val="0"/>
    <w:pPr>
      <w:ind w:left="420" w:firstLine="420"/>
    </w:p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autoRedefine/>
    <w:qFormat/>
    <w:uiPriority w:val="0"/>
  </w:style>
  <w:style w:type="paragraph" w:customStyle="1" w:styleId="23">
    <w:name w:val="目录 71"/>
    <w:basedOn w:val="1"/>
    <w:next w:val="1"/>
    <w:autoRedefine/>
    <w:qFormat/>
    <w:uiPriority w:val="0"/>
    <w:pPr>
      <w:ind w:left="2520"/>
    </w:pPr>
  </w:style>
  <w:style w:type="paragraph" w:customStyle="1" w:styleId="24">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
    <w:name w:val="样式1"/>
    <w:basedOn w:val="1"/>
    <w:next w:val="8"/>
    <w:autoRedefine/>
    <w:qFormat/>
    <w:uiPriority w:val="0"/>
    <w:pPr>
      <w:spacing w:line="360" w:lineRule="auto"/>
      <w:ind w:firstLine="420" w:firstLineChars="200"/>
    </w:pPr>
    <w:rPr>
      <w:rFonts w:hAnsi="宋体"/>
      <w:szCs w:val="21"/>
    </w:rPr>
  </w:style>
  <w:style w:type="paragraph" w:customStyle="1" w:styleId="28">
    <w:name w:val="首行缩进"/>
    <w:basedOn w:val="1"/>
    <w:autoRedefine/>
    <w:qFormat/>
    <w:uiPriority w:val="0"/>
    <w:pPr>
      <w:spacing w:line="360" w:lineRule="auto"/>
      <w:ind w:left="210" w:leftChars="100" w:firstLine="420" w:firstLineChars="200"/>
    </w:pPr>
    <w:rPr>
      <w:rFonts w:hAnsi="宋体"/>
      <w:szCs w:val="24"/>
    </w:rPr>
  </w:style>
  <w:style w:type="character" w:customStyle="1" w:styleId="29">
    <w:name w:val="font71"/>
    <w:basedOn w:val="21"/>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0">
    <w:name w:val="font101"/>
    <w:basedOn w:val="21"/>
    <w:autoRedefine/>
    <w:qFormat/>
    <w:uiPriority w:val="0"/>
    <w:rPr>
      <w:rFonts w:hint="eastAsia" w:ascii="宋体" w:hAnsi="宋体" w:eastAsia="宋体" w:cs="宋体"/>
      <w:color w:val="000000"/>
      <w:sz w:val="18"/>
      <w:szCs w:val="18"/>
      <w:u w:val="none"/>
    </w:rPr>
  </w:style>
  <w:style w:type="character" w:customStyle="1" w:styleId="31">
    <w:name w:val="font01"/>
    <w:basedOn w:val="21"/>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2">
    <w:name w:val="D&amp;L"/>
    <w:basedOn w:val="14"/>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3">
    <w:name w:val="fontstyle01"/>
    <w:autoRedefine/>
    <w:qFormat/>
    <w:uiPriority w:val="0"/>
    <w:rPr>
      <w:rFonts w:hint="eastAsia" w:ascii="宋体" w:hAnsi="宋体" w:eastAsia="宋体"/>
      <w:color w:val="000000"/>
      <w:sz w:val="22"/>
      <w:szCs w:val="22"/>
    </w:rPr>
  </w:style>
  <w:style w:type="paragraph" w:customStyle="1" w:styleId="34">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23785</Words>
  <Characters>24916</Characters>
  <Lines>0</Lines>
  <Paragraphs>0</Paragraphs>
  <TotalTime>6</TotalTime>
  <ScaleCrop>false</ScaleCrop>
  <LinksUpToDate>false</LinksUpToDate>
  <CharactersWithSpaces>26201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2024-05-17T02:08:02Z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CD9335937D864D4E9339510C2D4FD9C7_13</vt:lpwstr>
  </property>
</Properties>
</file>