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宋体"/>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城隍庙小商品市场电梯维保服务项目</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w:t>
      </w:r>
      <w:r>
        <w:rPr>
          <w:rFonts w:hint="eastAsia" w:hAnsi="DotumChe" w:cs="宋体"/>
          <w:b/>
          <w:spacing w:val="20"/>
          <w:kern w:val="0"/>
          <w:sz w:val="32"/>
          <w:szCs w:val="32"/>
          <w:highlight w:val="none"/>
          <w:u w:val="none"/>
          <w:lang w:val="en-US" w:eastAsia="zh-CN"/>
        </w:rPr>
        <w:t>11</w:t>
      </w:r>
      <w:r>
        <w:rPr>
          <w:rFonts w:hint="eastAsia" w:hAnsi="DotumChe" w:cs="宋体"/>
          <w:b/>
          <w:spacing w:val="20"/>
          <w:kern w:val="0"/>
          <w:sz w:val="32"/>
          <w:szCs w:val="32"/>
          <w:highlight w:val="none"/>
          <w:u w:val="none"/>
          <w:lang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r>
        <w:rPr>
          <w:rFonts w:hint="eastAsia" w:ascii="宋体" w:hAnsi="DotumChe" w:cs="宋体"/>
          <w:b/>
          <w:spacing w:val="20"/>
          <w:kern w:val="0"/>
          <w:sz w:val="32"/>
          <w:szCs w:val="32"/>
          <w:u w:val="none"/>
          <w:lang w:val="en-US" w:eastAsia="zh-CN"/>
        </w:rPr>
        <w:t xml:space="preserve"> </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六</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4"/>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7"/>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_Toc3480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_Toc3480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_Toc992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_Toc992 \h </w:instrText>
      </w:r>
      <w:r>
        <w:fldChar w:fldCharType="separate"/>
      </w:r>
      <w:r>
        <w:t>5</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_Toc14194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_Toc14194 \h </w:instrText>
      </w:r>
      <w:r>
        <w:fldChar w:fldCharType="separate"/>
      </w:r>
      <w:r>
        <w:t>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_Toc7083 </w:instrText>
      </w:r>
      <w:r>
        <w:rPr>
          <w:rFonts w:eastAsia="黑体"/>
          <w:szCs w:val="24"/>
          <w:highlight w:val="none"/>
        </w:rPr>
        <w:fldChar w:fldCharType="separate"/>
      </w:r>
      <w:r>
        <w:rPr>
          <w:rFonts w:hint="eastAsia" w:ascii="宋体" w:hAnsi="Times New Roman" w:eastAsia="宋体" w:cs="Times New Roman"/>
          <w:bCs/>
          <w:lang w:val="en-US" w:eastAsia="zh-CN"/>
        </w:rPr>
        <w:t>第三章 招标</w:t>
      </w:r>
      <w:r>
        <w:rPr>
          <w:rFonts w:hint="eastAsia"/>
          <w:bCs w:val="0"/>
          <w:lang w:val="en-US" w:eastAsia="zh-CN"/>
        </w:rPr>
        <w:t>需求</w:t>
      </w:r>
      <w:r>
        <w:tab/>
      </w:r>
      <w:r>
        <w:fldChar w:fldCharType="begin"/>
      </w:r>
      <w:r>
        <w:instrText xml:space="preserve"> PAGEREF _Toc7083 \h </w:instrText>
      </w:r>
      <w:r>
        <w:fldChar w:fldCharType="separate"/>
      </w:r>
      <w:r>
        <w:t>20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_Toc27554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_Toc27554 \h </w:instrText>
      </w:r>
      <w:r>
        <w:fldChar w:fldCharType="separate"/>
      </w:r>
      <w:r>
        <w:t>31</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_Toc22920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_Toc22920 \h </w:instrText>
      </w:r>
      <w:r>
        <w:fldChar w:fldCharType="separate"/>
      </w:r>
      <w:r>
        <w:t>37</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_Toc15202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_Toc15202 \h </w:instrText>
      </w:r>
      <w:r>
        <w:fldChar w:fldCharType="separate"/>
      </w:r>
      <w:r>
        <w:t>38</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_Toc1124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_Toc1124 \h </w:instrText>
      </w:r>
      <w:r>
        <w:fldChar w:fldCharType="separate"/>
      </w:r>
      <w:r>
        <w:t>38</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_Toc18974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_Toc18974 \h </w:instrText>
      </w:r>
      <w:r>
        <w:fldChar w:fldCharType="separate"/>
      </w:r>
      <w:r>
        <w:t>39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_Toc4449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_Toc4449 \h </w:instrText>
      </w:r>
      <w:r>
        <w:fldChar w:fldCharType="separate"/>
      </w:r>
      <w:r>
        <w:t>40</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_Toc16942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_Toc16942 \h </w:instrText>
      </w:r>
      <w:r>
        <w:fldChar w:fldCharType="separate"/>
      </w:r>
      <w:r>
        <w:t>41</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_Toc27701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_Toc27701 \h </w:instrText>
      </w:r>
      <w:r>
        <w:fldChar w:fldCharType="separate"/>
      </w:r>
      <w:r>
        <w:t>42</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_Toc2120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_Toc2120 \h </w:instrText>
      </w:r>
      <w:r>
        <w:fldChar w:fldCharType="separate"/>
      </w:r>
      <w:r>
        <w:t>46</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_Toc14149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_Toc14149 \h </w:instrText>
      </w:r>
      <w:r>
        <w:fldChar w:fldCharType="separate"/>
      </w:r>
      <w:r>
        <w:t>47</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_Toc27548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_Toc27548 \h </w:instrText>
      </w:r>
      <w:r>
        <w:fldChar w:fldCharType="separate"/>
      </w:r>
      <w:r>
        <w:t>48</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_Toc27101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_Toc27101 \h </w:instrText>
      </w:r>
      <w:r>
        <w:fldChar w:fldCharType="separate"/>
      </w:r>
      <w:r>
        <w:t>49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_Toc16313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_Toc16313 \h </w:instrText>
      </w:r>
      <w:r>
        <w:fldChar w:fldCharType="separate"/>
      </w:r>
      <w:r>
        <w:t>50</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_Toc9466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_Toc9466 \h </w:instrText>
      </w:r>
      <w:r>
        <w:fldChar w:fldCharType="separate"/>
      </w:r>
      <w:r>
        <w:t>50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5"/>
        <w:numPr>
          <w:ilvl w:val="0"/>
          <w:numId w:val="1"/>
        </w:numPr>
        <w:ind w:firstLine="420"/>
        <w:jc w:val="center"/>
        <w:rPr>
          <w:b w:val="0"/>
          <w:color w:val="auto"/>
          <w:szCs w:val="24"/>
          <w:highlight w:val="none"/>
        </w:rPr>
      </w:pPr>
      <w:r>
        <w:rPr>
          <w:highlight w:val="none"/>
        </w:rPr>
        <w:br w:type="page"/>
      </w:r>
      <w:bookmarkStart w:id="0" w:name="_Toc462215727"/>
      <w:bookmarkStart w:id="1" w:name="_Toc50128746"/>
      <w:r>
        <w:rPr>
          <w:rFonts w:hint="eastAsia"/>
          <w:color w:val="auto"/>
          <w:highlight w:val="none"/>
        </w:rPr>
        <w:t xml:space="preserve"> </w:t>
      </w:r>
      <w:bookmarkStart w:id="2" w:name="_Toc3480"/>
      <w:r>
        <w:rPr>
          <w:rFonts w:hint="eastAsia"/>
          <w:color w:val="auto"/>
          <w:highlight w:val="none"/>
        </w:rPr>
        <w:t>磋商邀请（磋商公告）</w:t>
      </w:r>
      <w:bookmarkEnd w:id="0"/>
      <w:bookmarkEnd w:id="1"/>
      <w:bookmarkEnd w:id="2"/>
    </w:p>
    <w:p>
      <w:pPr>
        <w:pStyle w:val="26"/>
        <w:widowControl w:val="0"/>
        <w:autoSpaceDE w:val="0"/>
        <w:autoSpaceDN w:val="0"/>
        <w:adjustRightInd w:val="0"/>
        <w:spacing w:before="0" w:after="0" w:line="360" w:lineRule="auto"/>
        <w:rPr>
          <w:rFonts w:hint="eastAsia" w:ascii="宋体" w:hAnsi="宋体" w:eastAsia="宋体"/>
          <w:color w:val="auto"/>
          <w:kern w:val="2"/>
          <w:u w:val="none"/>
        </w:rPr>
      </w:pPr>
      <w:r>
        <w:rPr>
          <w:rFonts w:hint="eastAsia" w:ascii="宋体" w:hAnsi="宋体" w:eastAsia="宋体"/>
          <w:color w:val="auto"/>
          <w:kern w:val="2"/>
          <w:u w:val="none"/>
          <w:lang w:eastAsia="zh-CN"/>
        </w:rPr>
        <w:t>本项目</w:t>
      </w:r>
      <w:r>
        <w:rPr>
          <w:rFonts w:hint="eastAsia" w:ascii="宋体" w:hAnsi="宋体" w:eastAsia="宋体"/>
          <w:color w:val="auto"/>
          <w:kern w:val="2"/>
          <w:u w:val="single"/>
          <w:lang w:eastAsia="zh-CN"/>
        </w:rPr>
        <w:t>城隍庙小商品市场电梯维保服务项目</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合肥城新物业服务有限公司 </w:t>
      </w:r>
      <w:r>
        <w:rPr>
          <w:rFonts w:hint="eastAsia" w:ascii="宋体" w:hAnsi="宋体" w:eastAsia="宋体"/>
          <w:color w:val="auto"/>
          <w:kern w:val="2"/>
          <w:u w:val="none"/>
        </w:rPr>
        <w:t>，现对</w:t>
      </w:r>
      <w:r>
        <w:rPr>
          <w:rFonts w:hint="eastAsia" w:ascii="宋体" w:hAnsi="宋体" w:eastAsia="宋体"/>
          <w:color w:val="auto"/>
          <w:kern w:val="2"/>
          <w:u w:val="none"/>
          <w:lang w:eastAsia="zh-CN"/>
        </w:rPr>
        <w:t>该项目</w:t>
      </w:r>
      <w:r>
        <w:rPr>
          <w:rFonts w:hint="eastAsia" w:ascii="宋体" w:hAnsi="宋体" w:eastAsia="宋体"/>
          <w:color w:val="auto"/>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u w:val="none"/>
        </w:rPr>
        <w:t>一、</w:t>
      </w:r>
      <w:r>
        <w:rPr>
          <w:rFonts w:hint="eastAsia" w:ascii="宋体" w:hAnsi="宋体"/>
          <w:b/>
          <w:bCs/>
          <w:color w:val="auto"/>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color w:val="auto"/>
          <w:sz w:val="24"/>
          <w:szCs w:val="24"/>
          <w:highlight w:val="yellow"/>
          <w:u w:val="none"/>
          <w:lang w:eastAsia="zh-CN"/>
        </w:rPr>
      </w:pPr>
      <w:r>
        <w:rPr>
          <w:rFonts w:hint="eastAsia" w:ascii="宋体" w:hAnsi="宋体"/>
          <w:color w:val="auto"/>
          <w:sz w:val="24"/>
          <w:szCs w:val="24"/>
          <w:highlight w:val="none"/>
          <w:u w:val="none"/>
        </w:rPr>
        <w:t>1.项目编号：</w:t>
      </w:r>
      <w:r>
        <w:rPr>
          <w:rFonts w:hint="eastAsia" w:hAnsi="宋体"/>
          <w:color w:val="auto"/>
          <w:sz w:val="24"/>
          <w:szCs w:val="24"/>
          <w:highlight w:val="none"/>
          <w:u w:val="none"/>
          <w:lang w:eastAsia="zh-CN"/>
        </w:rPr>
        <w:t>2023GW00</w:t>
      </w:r>
      <w:r>
        <w:rPr>
          <w:rFonts w:hint="eastAsia" w:hAnsi="宋体"/>
          <w:color w:val="auto"/>
          <w:sz w:val="24"/>
          <w:szCs w:val="24"/>
          <w:highlight w:val="none"/>
          <w:u w:val="none"/>
          <w:lang w:val="en-US" w:eastAsia="zh-CN"/>
        </w:rPr>
        <w:t>11</w:t>
      </w:r>
      <w:r>
        <w:rPr>
          <w:rFonts w:hint="eastAsia" w:hAnsi="宋体"/>
          <w:color w:val="auto"/>
          <w:sz w:val="24"/>
          <w:szCs w:val="24"/>
          <w:highlight w:val="none"/>
          <w:u w:val="none"/>
          <w:lang w:eastAsia="zh-CN"/>
        </w:rPr>
        <w:t xml:space="preserve">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2.项目名称：</w:t>
      </w:r>
      <w:r>
        <w:rPr>
          <w:rFonts w:hint="eastAsia" w:hAnsi="宋体"/>
          <w:color w:val="auto"/>
          <w:sz w:val="24"/>
          <w:szCs w:val="24"/>
          <w:u w:val="none"/>
          <w:lang w:eastAsia="zh-CN"/>
        </w:rPr>
        <w:t>城隍庙小商品市场电梯维保服务项目</w:t>
      </w:r>
    </w:p>
    <w:p>
      <w:pPr>
        <w:autoSpaceDE w:val="0"/>
        <w:autoSpaceDN w:val="0"/>
        <w:adjustRightInd w:val="0"/>
        <w:spacing w:line="360" w:lineRule="auto"/>
        <w:ind w:firstLine="200"/>
        <w:jc w:val="left"/>
        <w:rPr>
          <w:rFonts w:hint="eastAsia" w:ascii="宋体" w:hAnsi="宋体"/>
          <w:color w:val="auto"/>
          <w:sz w:val="24"/>
          <w:szCs w:val="24"/>
          <w:u w:val="none"/>
        </w:rPr>
      </w:pPr>
      <w:r>
        <w:rPr>
          <w:rFonts w:hint="eastAsia" w:ascii="宋体" w:hAnsi="宋体"/>
          <w:color w:val="auto"/>
          <w:sz w:val="24"/>
          <w:szCs w:val="24"/>
          <w:u w:val="none"/>
        </w:rPr>
        <w:t>3.项目地点：</w:t>
      </w:r>
      <w:r>
        <w:rPr>
          <w:rFonts w:hint="eastAsia" w:ascii="宋体" w:hAnsi="宋体"/>
          <w:color w:val="auto"/>
          <w:sz w:val="24"/>
          <w:szCs w:val="18"/>
          <w:u w:val="none"/>
        </w:rPr>
        <w:t>安徽省合肥市庐阳区</w:t>
      </w:r>
    </w:p>
    <w:p>
      <w:pPr>
        <w:autoSpaceDE w:val="0"/>
        <w:autoSpaceDN w:val="0"/>
        <w:adjustRightInd w:val="0"/>
        <w:spacing w:line="360" w:lineRule="auto"/>
        <w:ind w:firstLine="200"/>
        <w:jc w:val="left"/>
        <w:rPr>
          <w:rFonts w:hint="eastAsia" w:ascii="宋体" w:hAnsi="宋体"/>
          <w:color w:val="auto"/>
          <w:sz w:val="24"/>
          <w:szCs w:val="24"/>
          <w:u w:val="none"/>
          <w:lang w:eastAsia="zh-CN"/>
        </w:rPr>
      </w:pPr>
      <w:r>
        <w:rPr>
          <w:rFonts w:hint="eastAsia" w:ascii="宋体" w:hAnsi="宋体"/>
          <w:color w:val="auto"/>
          <w:sz w:val="24"/>
          <w:szCs w:val="24"/>
          <w:u w:val="none"/>
        </w:rPr>
        <w:t>4.项目单位：</w:t>
      </w:r>
      <w:r>
        <w:rPr>
          <w:rFonts w:hint="eastAsia" w:hAnsi="宋体"/>
          <w:color w:val="auto"/>
          <w:sz w:val="24"/>
          <w:szCs w:val="24"/>
          <w:u w:val="none"/>
          <w:lang w:val="en-US" w:eastAsia="zh-CN"/>
        </w:rPr>
        <w:t>合肥城新物业服务有限公司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olor w:val="auto"/>
          <w:sz w:val="24"/>
          <w:szCs w:val="24"/>
          <w:highlight w:val="none"/>
          <w:u w:val="none"/>
          <w:lang w:eastAsia="zh-CN"/>
        </w:rPr>
      </w:pPr>
      <w:r>
        <w:rPr>
          <w:rFonts w:hint="eastAsia" w:ascii="宋体" w:hAnsi="宋体"/>
          <w:color w:val="auto"/>
          <w:sz w:val="24"/>
          <w:szCs w:val="24"/>
          <w:u w:val="none"/>
        </w:rPr>
        <w:t>5.项目</w:t>
      </w:r>
      <w:r>
        <w:rPr>
          <w:rFonts w:hint="eastAsia" w:ascii="宋体" w:hAnsi="宋体"/>
          <w:color w:val="auto"/>
          <w:sz w:val="24"/>
          <w:szCs w:val="24"/>
          <w:highlight w:val="none"/>
          <w:u w:val="none"/>
        </w:rPr>
        <w:t>概况：城隍庙小商品市场</w:t>
      </w:r>
      <w:r>
        <w:rPr>
          <w:rFonts w:hint="eastAsia" w:hAnsi="宋体"/>
          <w:color w:val="auto"/>
          <w:sz w:val="24"/>
          <w:szCs w:val="24"/>
          <w:highlight w:val="none"/>
          <w:u w:val="none"/>
          <w:lang w:val="en-US" w:eastAsia="zh-CN"/>
        </w:rPr>
        <w:t>4部</w:t>
      </w:r>
      <w:r>
        <w:rPr>
          <w:rFonts w:hint="eastAsia" w:ascii="宋体" w:hAnsi="宋体"/>
          <w:color w:val="auto"/>
          <w:sz w:val="24"/>
          <w:szCs w:val="24"/>
          <w:highlight w:val="none"/>
          <w:u w:val="none"/>
        </w:rPr>
        <w:t>电梯</w:t>
      </w:r>
      <w:r>
        <w:rPr>
          <w:rFonts w:hint="eastAsia" w:hAnsi="宋体"/>
          <w:color w:val="auto"/>
          <w:sz w:val="24"/>
          <w:szCs w:val="24"/>
          <w:highlight w:val="none"/>
          <w:u w:val="none"/>
          <w:lang w:val="en-US" w:eastAsia="zh-CN"/>
        </w:rPr>
        <w:t>提供</w:t>
      </w:r>
      <w:r>
        <w:rPr>
          <w:rFonts w:hint="eastAsia" w:ascii="宋体" w:hAnsi="宋体"/>
          <w:color w:val="auto"/>
          <w:sz w:val="24"/>
          <w:szCs w:val="24"/>
          <w:highlight w:val="none"/>
          <w:u w:val="none"/>
        </w:rPr>
        <w:t>维保</w:t>
      </w:r>
      <w:r>
        <w:rPr>
          <w:rFonts w:hint="eastAsia" w:hAnsi="宋体"/>
          <w:color w:val="auto"/>
          <w:sz w:val="24"/>
          <w:szCs w:val="24"/>
          <w:highlight w:val="none"/>
          <w:u w:val="none"/>
          <w:lang w:val="en-US" w:eastAsia="zh-CN"/>
        </w:rPr>
        <w:t>服务</w:t>
      </w:r>
      <w:r>
        <w:rPr>
          <w:rFonts w:hint="eastAsia" w:hAnsi="宋体"/>
          <w:color w:val="auto"/>
          <w:sz w:val="24"/>
          <w:szCs w:val="24"/>
          <w:highlight w:val="none"/>
          <w:u w:val="none"/>
          <w:lang w:eastAsia="zh-CN"/>
        </w:rPr>
        <w:t>，</w:t>
      </w:r>
      <w:r>
        <w:rPr>
          <w:rFonts w:hint="eastAsia" w:ascii="宋体" w:hAnsi="宋体"/>
          <w:color w:val="auto"/>
          <w:sz w:val="24"/>
          <w:szCs w:val="24"/>
          <w:highlight w:val="none"/>
          <w:u w:val="none"/>
        </w:rPr>
        <w:t>详见磋商文件</w:t>
      </w:r>
      <w:r>
        <w:rPr>
          <w:rFonts w:hint="eastAsia" w:ascii="宋体" w:hAnsi="宋体"/>
          <w:color w:val="auto"/>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6.资金来源：自筹</w:t>
      </w:r>
      <w:r>
        <w:rPr>
          <w:rFonts w:hint="eastAsia" w:ascii="宋体" w:hAnsi="宋体"/>
          <w:color w:val="auto"/>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highlight w:val="none"/>
          <w:u w:val="none"/>
        </w:rPr>
      </w:pPr>
      <w:r>
        <w:rPr>
          <w:rFonts w:hint="eastAsia" w:ascii="宋体" w:hAnsi="宋体"/>
          <w:color w:val="auto"/>
          <w:sz w:val="24"/>
          <w:szCs w:val="24"/>
          <w:highlight w:val="none"/>
          <w:u w:val="none"/>
        </w:rPr>
        <w:t>7.项目概算：1</w:t>
      </w:r>
      <w:r>
        <w:rPr>
          <w:rFonts w:hint="eastAsia" w:hAnsi="宋体"/>
          <w:color w:val="auto"/>
          <w:sz w:val="24"/>
          <w:szCs w:val="24"/>
          <w:highlight w:val="none"/>
          <w:u w:val="none"/>
          <w:lang w:val="en-US" w:eastAsia="zh-CN"/>
        </w:rPr>
        <w:t>.</w:t>
      </w:r>
      <w:r>
        <w:rPr>
          <w:rFonts w:hint="eastAsia" w:ascii="宋体" w:hAnsi="宋体"/>
          <w:color w:val="auto"/>
          <w:sz w:val="24"/>
          <w:szCs w:val="24"/>
          <w:highlight w:val="none"/>
          <w:u w:val="none"/>
        </w:rPr>
        <w:t>85</w:t>
      </w:r>
      <w:r>
        <w:rPr>
          <w:rFonts w:hint="eastAsia" w:ascii="宋体" w:hAnsi="宋体"/>
          <w:color w:val="auto"/>
          <w:sz w:val="24"/>
          <w:szCs w:val="24"/>
          <w:highlight w:val="none"/>
          <w:u w:val="none"/>
          <w:lang w:val="en-US" w:eastAsia="zh-CN"/>
        </w:rPr>
        <w:t xml:space="preserve">万元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default"/>
          <w:color w:val="auto"/>
          <w:lang w:val="en-US" w:eastAsia="zh-CN"/>
        </w:rPr>
      </w:pPr>
      <w:r>
        <w:rPr>
          <w:rFonts w:hint="eastAsia" w:ascii="宋体" w:hAnsi="宋体"/>
          <w:color w:val="auto"/>
          <w:sz w:val="24"/>
          <w:szCs w:val="24"/>
          <w:u w:val="none"/>
        </w:rPr>
        <w:t>8.项目类别：</w:t>
      </w:r>
      <w:r>
        <w:rPr>
          <w:rFonts w:hint="eastAsia" w:ascii="宋体" w:hAnsi="宋体"/>
          <w:color w:val="auto"/>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9.标段（包别）划分：</w:t>
      </w:r>
      <w:r>
        <w:rPr>
          <w:rFonts w:hint="eastAsia" w:ascii="宋体" w:hAnsi="宋体"/>
          <w:color w:val="auto"/>
          <w:sz w:val="24"/>
          <w:szCs w:val="24"/>
          <w:u w:val="none"/>
          <w:lang w:eastAsia="zh-CN"/>
        </w:rPr>
        <w:t>不分包</w:t>
      </w:r>
    </w:p>
    <w:p>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lang w:val="en-US" w:eastAsia="zh-CN"/>
        </w:rPr>
        <w:t>1</w:t>
      </w:r>
      <w:r>
        <w:rPr>
          <w:rFonts w:hint="eastAsia" w:ascii="宋体" w:hAnsi="宋体" w:eastAsia="宋体" w:cs="Times New Roman"/>
          <w:color w:val="auto"/>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color w:val="auto"/>
          <w:sz w:val="24"/>
          <w:szCs w:val="24"/>
          <w:highlight w:val="none"/>
          <w:u w:val="none"/>
        </w:rPr>
        <w:t>联合体磋商；</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2.具有独立承担民事责任的能力，不具有独立法人的分支机构投标另须提供相应授权文件</w:t>
      </w:r>
      <w:r>
        <w:rPr>
          <w:rFonts w:hint="eastAsia" w:hAnsi="宋体" w:cs="Times New Roman"/>
          <w:color w:val="auto"/>
          <w:sz w:val="24"/>
          <w:szCs w:val="24"/>
          <w:highlight w:val="none"/>
          <w:u w:val="none"/>
          <w:lang w:val="en-US" w:eastAsia="zh-CN"/>
        </w:rPr>
        <w:t>；</w:t>
      </w:r>
    </w:p>
    <w:p>
      <w:pPr>
        <w:pStyle w:val="24"/>
        <w:ind w:left="0" w:leftChars="0" w:firstLine="0" w:firstLineChars="0"/>
        <w:rPr>
          <w:rFonts w:hint="default"/>
          <w:lang w:val="en-US" w:eastAsia="zh-CN"/>
        </w:rPr>
      </w:pPr>
      <w:r>
        <w:rPr>
          <w:rFonts w:hint="eastAsia"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u w:val="none"/>
          <w:lang w:val="en-US" w:eastAsia="zh-CN" w:bidi="ar-SA"/>
        </w:rPr>
        <w:t xml:space="preserve"> 3.具有中华人民共和国特种设备安装改造维修（修理）许可证（电梯） A 级或具有市场监督管理局颁发的《中华人民共和国特种设备生产许可证（电梯安装（含修理））A 级</w:t>
      </w:r>
      <w:r>
        <w:rPr>
          <w:rFonts w:hint="eastAsia"/>
          <w:lang w:val="en-US" w:eastAsia="zh-CN"/>
        </w:rPr>
        <w:t>；</w:t>
      </w:r>
    </w:p>
    <w:p>
      <w:pPr>
        <w:autoSpaceDE w:val="0"/>
        <w:autoSpaceDN w:val="0"/>
        <w:adjustRightInd w:val="0"/>
        <w:spacing w:line="360" w:lineRule="auto"/>
        <w:ind w:firstLine="200"/>
        <w:jc w:val="left"/>
        <w:rPr>
          <w:rFonts w:hint="eastAsia" w:ascii="宋体" w:hAnsi="宋体"/>
          <w:color w:val="auto"/>
          <w:sz w:val="24"/>
          <w:szCs w:val="18"/>
          <w:u w:val="none"/>
        </w:rPr>
      </w:pPr>
      <w:r>
        <w:rPr>
          <w:rFonts w:hint="eastAsia" w:hAnsi="宋体"/>
          <w:color w:val="auto"/>
          <w:sz w:val="24"/>
          <w:szCs w:val="18"/>
          <w:highlight w:val="none"/>
          <w:u w:val="none"/>
          <w:lang w:val="en-US" w:eastAsia="zh-CN"/>
        </w:rPr>
        <w:t>4</w:t>
      </w:r>
      <w:r>
        <w:rPr>
          <w:rFonts w:hint="eastAsia" w:ascii="宋体" w:hAnsi="宋体"/>
          <w:color w:val="auto"/>
          <w:sz w:val="24"/>
          <w:szCs w:val="18"/>
          <w:highlight w:val="none"/>
          <w:u w:val="none"/>
        </w:rPr>
        <w:t>.符合下列情形之</w:t>
      </w:r>
      <w:r>
        <w:rPr>
          <w:rFonts w:hint="eastAsia" w:ascii="宋体" w:hAnsi="宋体"/>
          <w:color w:val="auto"/>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default"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1.获取时间：2023年</w:t>
      </w:r>
      <w:r>
        <w:rPr>
          <w:rFonts w:hint="eastAsia" w:hAnsi="宋体"/>
          <w:bCs/>
          <w:color w:val="000000"/>
          <w:sz w:val="24"/>
          <w:szCs w:val="24"/>
          <w:highlight w:val="none"/>
          <w:u w:val="none"/>
          <w:lang w:val="en-US" w:eastAsia="zh-CN"/>
        </w:rPr>
        <w:t>6</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rPr>
        <w:t>0至2023年6月</w:t>
      </w:r>
      <w:r>
        <w:rPr>
          <w:rFonts w:hint="eastAsia" w:hAnsi="宋体"/>
          <w:bCs/>
          <w:color w:val="000000"/>
          <w:sz w:val="24"/>
          <w:szCs w:val="24"/>
          <w:highlight w:val="none"/>
          <w:u w:val="none"/>
          <w:lang w:val="en-US" w:eastAsia="zh-CN"/>
        </w:rPr>
        <w:t>30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highlight w:val="none"/>
          <w:u w:val="none"/>
          <w:lang w:val="en-US"/>
        </w:rPr>
      </w:pPr>
      <w:r>
        <w:rPr>
          <w:rFonts w:hint="eastAsia" w:ascii="宋体" w:hAnsi="宋体"/>
          <w:bCs/>
          <w:color w:val="000000"/>
          <w:sz w:val="24"/>
          <w:szCs w:val="24"/>
          <w:highlight w:val="none"/>
          <w:u w:val="none"/>
        </w:rPr>
        <w:t>2023年6月</w:t>
      </w:r>
      <w:r>
        <w:rPr>
          <w:rFonts w:hint="eastAsia" w:hAnsi="宋体"/>
          <w:bCs/>
          <w:color w:val="000000"/>
          <w:sz w:val="24"/>
          <w:szCs w:val="24"/>
          <w:highlight w:val="none"/>
          <w:u w:val="none"/>
          <w:lang w:val="en-US" w:eastAsia="zh-CN"/>
        </w:rPr>
        <w:t>30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rPr>
        <w:t>0</w:t>
      </w:r>
      <w:r>
        <w:rPr>
          <w:rFonts w:hint="eastAsia" w:ascii="宋体" w:hAnsi="宋体"/>
          <w:bCs/>
          <w:sz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bCs/>
          <w:sz w:val="24"/>
          <w:szCs w:val="18"/>
          <w:u w:val="none"/>
          <w:lang w:eastAsia="zh-CN"/>
        </w:rPr>
        <w:t>合肥城新物业服务有限公司</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eastAsia="宋体" w:cs="Times New Roman"/>
          <w:b/>
          <w:bCs/>
          <w:sz w:val="24"/>
          <w:szCs w:val="18"/>
          <w:highlight w:val="none"/>
          <w:u w:val="none"/>
          <w:lang w:val="en-US" w:eastAsia="zh-CN"/>
        </w:rPr>
        <w:t>八</w:t>
      </w:r>
      <w:r>
        <w:rPr>
          <w:rFonts w:hint="eastAsia" w:ascii="宋体" w:hAnsi="宋体" w:eastAsia="宋体" w:cs="Times New Roman"/>
          <w:b/>
          <w:bCs/>
          <w:sz w:val="24"/>
          <w:szCs w:val="18"/>
          <w:highlight w:val="none"/>
          <w:u w:val="none"/>
        </w:rPr>
        <w:t>、</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pStyle w:val="5"/>
        <w:jc w:val="center"/>
        <w:rPr>
          <w:rFonts w:hint="eastAsia" w:hAnsi="宋体"/>
          <w:highlight w:val="none"/>
        </w:rPr>
      </w:pPr>
      <w:bookmarkStart w:id="3" w:name="_Toc992"/>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rPr>
              <w:t>本次维保服务期合同签订后1年。</w:t>
            </w:r>
          </w:p>
          <w:p>
            <w:pPr>
              <w:snapToGrid w:val="0"/>
              <w:rPr>
                <w:rFonts w:hint="eastAsia"/>
                <w:color w:val="auto"/>
                <w:szCs w:val="24"/>
                <w:highlight w:val="none"/>
              </w:rPr>
            </w:pPr>
            <w:r>
              <w:rPr>
                <w:rFonts w:hint="eastAsia"/>
                <w:color w:val="auto"/>
                <w:szCs w:val="24"/>
                <w:highlight w:val="none"/>
              </w:rPr>
              <w:t>如乙方履约良好，合同到期前，经双方协商无异议，可续签下一年度合同，最多申报2次。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lang w:eastAsia="zh-CN"/>
              </w:rPr>
            </w:pPr>
            <w:r>
              <w:rPr>
                <w:rFonts w:hint="eastAsia"/>
                <w:szCs w:val="24"/>
                <w:highlight w:val="none"/>
              </w:rPr>
              <w:sym w:font="Wingdings 2" w:char="0052"/>
            </w:r>
            <w:r>
              <w:rPr>
                <w:rFonts w:hint="eastAsia"/>
                <w:szCs w:val="24"/>
                <w:highlight w:val="none"/>
              </w:rPr>
              <w:t>不组织，投标人自行踏勘</w:t>
            </w:r>
            <w:r>
              <w:rPr>
                <w:rFonts w:hint="eastAsia"/>
                <w:szCs w:val="24"/>
                <w:highlight w:val="none"/>
                <w:lang w:eastAsia="zh-CN"/>
              </w:rPr>
              <w:t>，</w:t>
            </w:r>
          </w:p>
          <w:p>
            <w:pPr>
              <w:snapToGrid w:val="0"/>
              <w:rPr>
                <w:rFonts w:hint="default" w:ascii="仿宋" w:hAnsi="仿宋" w:eastAsia="宋体"/>
                <w:szCs w:val="24"/>
                <w:highlight w:val="none"/>
                <w:lang w:val="en-US" w:eastAsia="zh-CN"/>
              </w:rPr>
            </w:pPr>
            <w:r>
              <w:rPr>
                <w:rFonts w:hint="eastAsia"/>
                <w:szCs w:val="24"/>
                <w:highlight w:val="none"/>
                <w:lang w:val="en-US" w:eastAsia="zh-CN"/>
              </w:rPr>
              <w:t>现场项目负责人：聂工  联系方式：15056012925</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napToGrid w:val="0"/>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12</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A3"/>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52"/>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20" w:leftChars="50" w:right="120" w:rightChars="50"/>
              <w:jc w:val="center"/>
              <w:rPr>
                <w:rFonts w:hint="default" w:ascii="宋体" w:hAnsi="Times New Roman" w:eastAsia="宋体" w:cs="Times New Roman"/>
                <w:sz w:val="24"/>
                <w:szCs w:val="24"/>
                <w:highlight w:val="none"/>
                <w:lang w:val="en-US" w:eastAsia="zh-CN" w:bidi="ar-SA"/>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FF0000"/>
                <w:szCs w:val="24"/>
                <w:highlight w:val="none"/>
                <w:lang w:val="en-US" w:eastAsia="zh-CN"/>
              </w:rPr>
            </w:pPr>
            <w:r>
              <w:rPr>
                <w:rFonts w:hint="eastAsia" w:ascii="宋体" w:hAnsi="Times New Roman" w:eastAsia="宋体" w:cs="Times New Roman"/>
                <w:bCs/>
                <w:snapToGrid w:val="0"/>
                <w:color w:val="FF0000"/>
                <w:szCs w:val="24"/>
                <w:highlight w:val="none"/>
                <w:lang w:val="en-US" w:eastAsia="zh-CN"/>
              </w:rPr>
              <w:sym w:font="Wingdings 2" w:char="0052"/>
            </w:r>
            <w:r>
              <w:rPr>
                <w:rFonts w:hint="eastAsia" w:ascii="宋体" w:hAnsi="Times New Roman" w:eastAsia="宋体" w:cs="Times New Roman"/>
                <w:bCs/>
                <w:snapToGrid w:val="0"/>
                <w:color w:val="FF0000"/>
                <w:szCs w:val="24"/>
                <w:highlight w:val="none"/>
                <w:lang w:val="en-US" w:eastAsia="zh-CN"/>
              </w:rPr>
              <w:t>有，总价最高投标限价1.85万元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eastAsia" w:ascii="宋体" w:hAnsi="Times New Roman" w:eastAsia="宋体" w:cs="Times New Roman"/>
                <w:sz w:val="24"/>
                <w:szCs w:val="24"/>
                <w:highlight w:val="none"/>
                <w:lang w:val="en-US" w:eastAsia="zh-CN" w:bidi="ar-SA"/>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履约保证金</w:t>
            </w:r>
          </w:p>
        </w:tc>
        <w:tc>
          <w:tcPr>
            <w:tcW w:w="6051" w:type="dxa"/>
            <w:noWrap w:val="0"/>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noWrap w:val="0"/>
                  <w:vAlign w:val="center"/>
                </w:tcPr>
                <w:p>
                  <w:pPr>
                    <w:snapToGrid w:val="0"/>
                    <w:ind w:left="-84" w:leftChars="-35"/>
                    <w:rPr>
                      <w:rFonts w:cs="楷体"/>
                      <w:bCs/>
                      <w:snapToGrid w:val="0"/>
                      <w:szCs w:val="24"/>
                      <w:highlight w:val="none"/>
                    </w:rPr>
                  </w:pPr>
                  <w:r>
                    <w:rPr>
                      <w:rFonts w:hint="eastAsia"/>
                      <w:szCs w:val="24"/>
                      <w:highlight w:val="none"/>
                    </w:rPr>
                    <w:t>（1）形式：</w:t>
                  </w:r>
                  <w:r>
                    <w:rPr>
                      <w:rFonts w:hint="eastAsia" w:cs="楷体"/>
                      <w:bCs/>
                      <w:snapToGrid w:val="0"/>
                      <w:szCs w:val="24"/>
                      <w:highlight w:val="none"/>
                    </w:rPr>
                    <w:t xml:space="preserve"> </w:t>
                  </w:r>
                  <w:r>
                    <w:rPr>
                      <w:rFonts w:cs="楷体"/>
                      <w:b/>
                      <w:bCs w:val="0"/>
                      <w:snapToGrid w:val="0"/>
                      <w:szCs w:val="24"/>
                      <w:highlight w:val="none"/>
                    </w:rPr>
                    <w:fldChar w:fldCharType="begin"/>
                  </w:r>
                  <w:r>
                    <w:rPr>
                      <w:rFonts w:cs="楷体"/>
                      <w:b/>
                      <w:bCs w:val="0"/>
                      <w:snapToGrid w:val="0"/>
                      <w:szCs w:val="24"/>
                      <w:highlight w:val="none"/>
                    </w:rPr>
                    <w:instrText xml:space="preserve"> </w:instrText>
                  </w:r>
                  <w:r>
                    <w:rPr>
                      <w:rFonts w:hint="eastAsia" w:cs="楷体"/>
                      <w:b/>
                      <w:bCs w:val="0"/>
                      <w:snapToGrid w:val="0"/>
                      <w:szCs w:val="24"/>
                      <w:highlight w:val="none"/>
                    </w:rPr>
                    <w:instrText xml:space="preserve">eq \o\ac(□</w:instrText>
                  </w:r>
                  <w:r>
                    <w:rPr>
                      <w:rFonts w:hint="eastAsia" w:cs="楷体"/>
                      <w:b/>
                      <w:bCs w:val="0"/>
                      <w:snapToGrid w:val="0"/>
                      <w:szCs w:val="24"/>
                      <w:highlight w:val="none"/>
                      <w:lang w:eastAsia="zh-CN"/>
                    </w:rPr>
                    <w:instrText xml:space="preserve">,</w:instrText>
                  </w:r>
                  <w:r>
                    <w:rPr>
                      <w:rFonts w:hint="eastAsia" w:cs="楷体"/>
                      <w:b/>
                      <w:bCs w:val="0"/>
                      <w:snapToGrid w:val="0"/>
                      <w:position w:val="2"/>
                      <w:sz w:val="13"/>
                      <w:szCs w:val="24"/>
                      <w:highlight w:val="none"/>
                      <w:lang w:eastAsia="zh-CN"/>
                    </w:rPr>
                    <w:instrText xml:space="preserve">√</w:instrText>
                  </w:r>
                  <w:r>
                    <w:rPr>
                      <w:rFonts w:hint="eastAsia" w:cs="楷体"/>
                      <w:b/>
                      <w:bCs w:val="0"/>
                      <w:snapToGrid w:val="0"/>
                      <w:szCs w:val="24"/>
                      <w:highlight w:val="none"/>
                    </w:rPr>
                    <w:instrText xml:space="preserve">)</w:instrText>
                  </w:r>
                  <w:r>
                    <w:rPr>
                      <w:rFonts w:cs="楷体"/>
                      <w:b/>
                      <w:bCs w:val="0"/>
                      <w:snapToGrid w:val="0"/>
                      <w:szCs w:val="24"/>
                      <w:highlight w:val="none"/>
                    </w:rPr>
                    <w:fldChar w:fldCharType="end"/>
                  </w:r>
                  <w:r>
                    <w:rPr>
                      <w:rFonts w:hint="eastAsia" w:cs="楷体"/>
                      <w:b w:val="0"/>
                      <w:bCs/>
                      <w:snapToGrid w:val="0"/>
                      <w:szCs w:val="24"/>
                      <w:highlight w:val="none"/>
                      <w:lang w:val="en-US" w:eastAsia="zh-CN"/>
                    </w:rPr>
                    <w:t>免收</w:t>
                  </w:r>
                  <w:r>
                    <w:rPr>
                      <w:rFonts w:hint="eastAsia" w:cs="楷体"/>
                      <w:b/>
                      <w:snapToGrid w:val="0"/>
                      <w:szCs w:val="24"/>
                      <w:highlight w:val="none"/>
                      <w:lang w:val="en-US" w:eastAsia="zh-CN"/>
                    </w:rPr>
                    <w:t xml:space="preserve">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bl>
          <w:p>
            <w:pPr>
              <w:snapToGrid w:val="0"/>
              <w:ind w:left="-84" w:leftChars="-35"/>
              <w:rPr>
                <w:rFonts w:hint="eastAsia" w:ascii="宋体" w:hAnsi="Times New Roman" w:eastAsia="宋体" w:cs="楷体"/>
                <w:bCs/>
                <w:snapToGrid w:val="0"/>
                <w:sz w:val="24"/>
                <w:szCs w:val="24"/>
                <w:highlight w:val="none"/>
                <w:lang w:val="en-US" w:eastAsia="zh-CN" w:bidi="ar-SA"/>
              </w:rPr>
            </w:pPr>
            <w:r>
              <w:rPr>
                <w:rFonts w:hint="eastAsia"/>
                <w:szCs w:val="24"/>
                <w:highlight w:val="none"/>
              </w:rPr>
              <w:t>（2）金额：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0 </w:t>
            </w:r>
            <w:r>
              <w:rPr>
                <w:rFonts w:hint="eastAsia"/>
                <w:b/>
                <w:szCs w:val="24"/>
                <w:highlight w:val="none"/>
                <w:u w:val="single"/>
              </w:rPr>
              <w:t xml:space="preserve"> </w:t>
            </w:r>
            <w:r>
              <w:rPr>
                <w:rFonts w:hint="eastAsia"/>
                <w:b/>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9"/>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9"/>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w:t>
            </w:r>
            <w:r>
              <w:rPr>
                <w:rFonts w:hint="eastAsia" w:ascii="宋体" w:hAnsi="宋体"/>
                <w:bCs/>
                <w:sz w:val="24"/>
                <w:szCs w:val="18"/>
                <w:highlight w:val="none"/>
                <w:u w:val="none"/>
                <w:lang w:eastAsia="zh-CN"/>
              </w:rPr>
              <w:t>安徽省合肥市庐阳区红星路省人民政府机关幼儿园北门对面原省政府北楼一楼</w:t>
            </w:r>
            <w:r>
              <w:rPr>
                <w:rFonts w:hint="eastAsia" w:ascii="宋体" w:hAnsi="宋体"/>
                <w:bCs/>
                <w:sz w:val="24"/>
                <w:szCs w:val="18"/>
                <w:highlight w:val="none"/>
                <w:u w:val="none"/>
                <w:lang w:val="en-US" w:eastAsia="zh-CN"/>
              </w:rPr>
              <w:t>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pStyle w:val="27"/>
        <w:adjustRightInd w:val="0"/>
        <w:snapToGrid w:val="0"/>
        <w:spacing w:line="400" w:lineRule="exact"/>
        <w:jc w:val="left"/>
        <w:rPr>
          <w:rFonts w:hint="eastAsia" w:ascii="Times New Roman" w:hAnsi="Times New Roman"/>
          <w:bCs/>
          <w:snapToGrid w:val="0"/>
          <w:kern w:val="0"/>
          <w:szCs w:val="21"/>
          <w:highlight w:val="none"/>
        </w:rPr>
      </w:pPr>
      <w:bookmarkStart w:id="5" w:name="_Toc460660067"/>
      <w:bookmarkStart w:id="6" w:name="_Toc460226994"/>
      <w:bookmarkStart w:id="7" w:name="_Toc184635071"/>
      <w:bookmarkStart w:id="8" w:name="_Toc460226725"/>
    </w:p>
    <w:p>
      <w:pPr>
        <w:pStyle w:val="27"/>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14194"/>
      <w:r>
        <w:rPr>
          <w:rFonts w:hint="eastAsia" w:ascii="宋体" w:hAnsi="宋体" w:eastAsia="宋体"/>
        </w:rPr>
        <w:t>投标人须知</w:t>
      </w:r>
      <w:r>
        <w:rPr>
          <w:rFonts w:hint="eastAsia" w:ascii="宋体" w:hAnsi="宋体" w:eastAsia="宋体"/>
          <w:lang w:eastAsia="zh-CN"/>
        </w:rPr>
        <w:t>正文</w:t>
      </w:r>
      <w:bookmarkEnd w:id="9"/>
    </w:p>
    <w:p>
      <w:pPr>
        <w:pStyle w:val="9"/>
        <w:spacing w:line="500" w:lineRule="exact"/>
        <w:jc w:val="both"/>
        <w:rPr>
          <w:rFonts w:hint="eastAsia" w:hAnsi="宋体"/>
          <w:sz w:val="28"/>
        </w:rPr>
      </w:pPr>
      <w:bookmarkStart w:id="10" w:name="_Hlt509650126"/>
      <w:bookmarkEnd w:id="10"/>
      <w:bookmarkStart w:id="11" w:name="_Hlt509650955"/>
      <w:bookmarkEnd w:id="11"/>
      <w:bookmarkStart w:id="12" w:name="_Hlt509649998"/>
      <w:bookmarkEnd w:id="12"/>
      <w:bookmarkStart w:id="13" w:name="_Hlt509649722"/>
      <w:bookmarkEnd w:id="13"/>
      <w:bookmarkStart w:id="14" w:name="_Hlt526418143"/>
      <w:bookmarkEnd w:id="14"/>
      <w:bookmarkStart w:id="15" w:name="_Hlt509650686"/>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9"/>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930"/>
      <w:bookmarkEnd w:id="18"/>
      <w:bookmarkStart w:id="19" w:name="_Hlt509650361"/>
      <w:bookmarkEnd w:id="19"/>
      <w:bookmarkStart w:id="20" w:name="_Hlt50964979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9"/>
        <w:spacing w:line="500" w:lineRule="exact"/>
        <w:jc w:val="both"/>
        <w:rPr>
          <w:rFonts w:hint="eastAsia"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8"/>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9"/>
        <w:spacing w:line="360" w:lineRule="auto"/>
        <w:ind w:firstLine="628"/>
        <w:jc w:val="both"/>
        <w:rPr>
          <w:rFonts w:hint="eastAsia" w:hAnsi="宋体"/>
          <w:sz w:val="28"/>
        </w:rPr>
      </w:pPr>
      <w:bookmarkStart w:id="28" w:name="_Hlt509650572"/>
      <w:bookmarkEnd w:id="28"/>
      <w:bookmarkStart w:id="29" w:name="_Hlt509649294"/>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9"/>
        <w:spacing w:line="360" w:lineRule="auto"/>
        <w:ind w:firstLine="628"/>
        <w:jc w:val="both"/>
        <w:rPr>
          <w:rFonts w:hint="eastAsia"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spacing w:line="360" w:lineRule="auto"/>
        <w:ind w:firstLine="628"/>
        <w:jc w:val="both"/>
        <w:rPr>
          <w:rFonts w:hint="eastAsia" w:hAnsi="宋体"/>
          <w:sz w:val="28"/>
        </w:rPr>
      </w:pPr>
      <w:bookmarkStart w:id="36" w:name="_Toc522466828"/>
      <w:bookmarkStart w:id="37" w:name="_Toc460487454"/>
      <w:bookmarkStart w:id="38" w:name="_Toc477793061"/>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9"/>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9"/>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5"/>
        <w:numPr>
          <w:ilvl w:val="0"/>
          <w:numId w:val="0"/>
        </w:numPr>
        <w:jc w:val="center"/>
        <w:rPr>
          <w:rFonts w:hint="eastAsia" w:ascii="宋体" w:hAnsi="Times New Roman" w:eastAsia="宋体" w:cs="Times New Roman"/>
          <w:b/>
          <w:bCs/>
          <w:lang w:val="en-US" w:eastAsia="zh-CN"/>
        </w:rPr>
      </w:pPr>
      <w:bookmarkStart w:id="40" w:name="_Toc7083"/>
      <w:r>
        <w:rPr>
          <w:rFonts w:hint="eastAsia" w:ascii="宋体" w:hAnsi="Times New Roman" w:eastAsia="宋体" w:cs="Times New Roman"/>
          <w:b/>
          <w:bCs/>
          <w:lang w:val="en-US" w:eastAsia="zh-CN"/>
        </w:rPr>
        <w:t>第三章 招标需求</w:t>
      </w:r>
      <w:bookmarkEnd w:id="40"/>
    </w:p>
    <w:p>
      <w:pPr>
        <w:widowControl/>
        <w:spacing w:line="360" w:lineRule="auto"/>
        <w:ind w:firstLine="562" w:firstLineChars="200"/>
        <w:rPr>
          <w:rFonts w:hint="eastAsia" w:ascii="仿宋_GB2312" w:hAnsi="仿宋_GB2312" w:eastAsia="仿宋_GB2312" w:cs="仿宋_GB2312"/>
          <w:b/>
          <w:sz w:val="28"/>
          <w:szCs w:val="28"/>
        </w:rPr>
      </w:pPr>
      <w:bookmarkStart w:id="41" w:name="_Toc17202"/>
      <w:r>
        <w:rPr>
          <w:rFonts w:hint="eastAsia" w:ascii="仿宋_GB2312" w:hAnsi="仿宋_GB2312" w:eastAsia="仿宋_GB2312" w:cs="仿宋_GB2312"/>
          <w:b/>
          <w:sz w:val="28"/>
          <w:szCs w:val="28"/>
        </w:rPr>
        <w:t>一、项目名称</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城隍庙小商品市场电梯维保服务项目</w:t>
      </w:r>
    </w:p>
    <w:p>
      <w:pPr>
        <w:widowControl/>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二、项目预算：</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本项目最高限价1</w:t>
      </w:r>
      <w:r>
        <w:rPr>
          <w:rFonts w:ascii="仿宋_GB2312" w:hAnsi="新宋体" w:eastAsia="仿宋_GB2312" w:cs="新宋体"/>
          <w:color w:val="000000"/>
          <w:kern w:val="0"/>
          <w:sz w:val="28"/>
          <w:highlight w:val="none"/>
          <w:lang w:bidi="ar"/>
        </w:rPr>
        <w:t>85</w:t>
      </w:r>
      <w:r>
        <w:rPr>
          <w:rFonts w:hint="eastAsia" w:ascii="仿宋_GB2312" w:hAnsi="新宋体" w:eastAsia="仿宋_GB2312" w:cs="新宋体"/>
          <w:color w:val="000000"/>
          <w:kern w:val="0"/>
          <w:sz w:val="28"/>
          <w:highlight w:val="none"/>
          <w:lang w:bidi="ar"/>
        </w:rPr>
        <w:t>00元，项目采用总价报价（1 年）。维保方式为半包：提供维保所需工具和劳务，负责电梯年检（年检费用含在总费用内），免费更换配件详见附件，含安全责任保险。</w:t>
      </w:r>
    </w:p>
    <w:p>
      <w:pPr>
        <w:widowControl/>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、项目概况</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城隍庙街区项目小商品世界共4部电梯（电梯明细如下），现拟对上述电梯维保服务进行招标。投标人自行勘察现场电梯运行情况。</w:t>
      </w:r>
    </w:p>
    <w:tbl>
      <w:tblPr>
        <w:tblStyle w:val="1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850"/>
        <w:gridCol w:w="1335"/>
        <w:gridCol w:w="1725"/>
        <w:gridCol w:w="147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3"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285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梯号</w:t>
            </w:r>
          </w:p>
        </w:tc>
        <w:tc>
          <w:tcPr>
            <w:tcW w:w="133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电梯品牌</w:t>
            </w:r>
          </w:p>
        </w:tc>
        <w:tc>
          <w:tcPr>
            <w:tcW w:w="172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层/站/门</w:t>
            </w:r>
          </w:p>
        </w:tc>
        <w:tc>
          <w:tcPr>
            <w:tcW w:w="147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41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3"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w:t>
            </w:r>
          </w:p>
        </w:tc>
        <w:tc>
          <w:tcPr>
            <w:tcW w:w="285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E/30053736.001-002</w:t>
            </w:r>
          </w:p>
        </w:tc>
        <w:tc>
          <w:tcPr>
            <w:tcW w:w="133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TKE</w:t>
            </w:r>
          </w:p>
        </w:tc>
        <w:tc>
          <w:tcPr>
            <w:tcW w:w="172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5/5/5</w:t>
            </w:r>
          </w:p>
        </w:tc>
        <w:tc>
          <w:tcPr>
            <w:tcW w:w="147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w:t>
            </w:r>
          </w:p>
        </w:tc>
        <w:tc>
          <w:tcPr>
            <w:tcW w:w="1415" w:type="dxa"/>
            <w:noWrap w:val="0"/>
            <w:vAlign w:val="center"/>
          </w:tcPr>
          <w:p>
            <w:pPr>
              <w:spacing w:line="400" w:lineRule="exact"/>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3"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w:t>
            </w:r>
          </w:p>
        </w:tc>
        <w:tc>
          <w:tcPr>
            <w:tcW w:w="285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E/30053736.003</w:t>
            </w:r>
          </w:p>
        </w:tc>
        <w:tc>
          <w:tcPr>
            <w:tcW w:w="133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TKE</w:t>
            </w:r>
          </w:p>
        </w:tc>
        <w:tc>
          <w:tcPr>
            <w:tcW w:w="172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5/5/5</w:t>
            </w:r>
          </w:p>
        </w:tc>
        <w:tc>
          <w:tcPr>
            <w:tcW w:w="147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w:t>
            </w:r>
          </w:p>
        </w:tc>
        <w:tc>
          <w:tcPr>
            <w:tcW w:w="1415" w:type="dxa"/>
            <w:noWrap w:val="0"/>
            <w:vAlign w:val="center"/>
          </w:tcPr>
          <w:p>
            <w:pPr>
              <w:spacing w:line="400" w:lineRule="exact"/>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23"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3</w:t>
            </w:r>
          </w:p>
        </w:tc>
        <w:tc>
          <w:tcPr>
            <w:tcW w:w="285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E/30053736.004</w:t>
            </w:r>
          </w:p>
        </w:tc>
        <w:tc>
          <w:tcPr>
            <w:tcW w:w="133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TKE</w:t>
            </w:r>
          </w:p>
        </w:tc>
        <w:tc>
          <w:tcPr>
            <w:tcW w:w="1725"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4/4/4</w:t>
            </w:r>
          </w:p>
        </w:tc>
        <w:tc>
          <w:tcPr>
            <w:tcW w:w="1470" w:type="dxa"/>
            <w:noWrap w:val="0"/>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w:t>
            </w:r>
          </w:p>
        </w:tc>
        <w:tc>
          <w:tcPr>
            <w:tcW w:w="1415" w:type="dxa"/>
            <w:noWrap w:val="0"/>
            <w:vAlign w:val="center"/>
          </w:tcPr>
          <w:p>
            <w:pPr>
              <w:spacing w:line="400" w:lineRule="exact"/>
              <w:jc w:val="center"/>
              <w:rPr>
                <w:rFonts w:hint="eastAsia" w:ascii="仿宋_GB2312" w:hAnsi="仿宋_GB2312" w:eastAsia="仿宋_GB2312" w:cs="仿宋_GB2312"/>
                <w:b/>
                <w:sz w:val="24"/>
              </w:rPr>
            </w:pPr>
          </w:p>
        </w:tc>
      </w:tr>
    </w:tbl>
    <w:p>
      <w:pPr>
        <w:spacing w:line="440" w:lineRule="exact"/>
        <w:ind w:firstLine="562" w:firstLineChars="200"/>
        <w:rPr>
          <w:rFonts w:hint="eastAsia" w:ascii="仿宋_GB2312" w:hAnsi="新宋体" w:eastAsia="仿宋_GB2312" w:cs="新宋体"/>
          <w:color w:val="000000"/>
          <w:kern w:val="0"/>
          <w:sz w:val="28"/>
          <w:lang w:bidi="ar"/>
        </w:rPr>
      </w:pP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、服务需求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1、中标单位维保后的电梯应符合安全技术规范、强制性标准和电梯制造单位的技术要求。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2、中标单位提供24小时的紧急救援服务，并设立维保负责人，保持24小时电话畅通。当电梯发生困人故障，中标单位应在接到甲方通知后30分钟内赶赴现场实施紧急救援；电梯发生其他故障，中标单位应在接到甲方通知后60分钟内赶到现场实施抢修。</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3、根据电梯的使用情况和设备状况，经双方协商确认后，中标单位应提供全年保养计划和各项定期保养计划的具体实施时间表，且每台每次保养时间不得少于30分钟。如需调整原保养计划，应提前3日通知甲方并经甲方同意后方可调整，但应保证保养时间间隔不得超过15日。详细要求参考附件《电梯保养作业服务内容及细则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4、现场作业人员应当取得相应的《特种设备作业人员证》。为有效实施保养计划，中标单位应安排熟悉所维保电梯原理、结构、性能、安全要求的特种设备作业人员负责维保工作，并督促其严格按照产品工艺要求、安全及技术规范进行维保。</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5、作业过程中应服从甲方现场安全管理，落实现场安全防护措施，保证作业安全。需要安全监护作业的内容应书面告知甲方，作业时，作业人员不得少于二人。详细要求请参考附件《电梯保养作业服务内容及细则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6、现场需采取停梯措施时，应立即通知甲方并及时组织抢修。</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7、根据甲方的故障统计记录，中标单位应至少每季度一次提出故障分析报告。报告中应包含电梯故障的统计分析、整改措施和预防措施，以及有关电梯使用管理的合理化建议。</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8、协助甲方建立健全安全管理制度、安全技术档案、应急救援预案，配合甲方开展应急救援演练。</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9、不得以任何形式将维保工作非法分包、转包。</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11、中标单位负责电梯年检事宜，负责办理电梯年检、电梯修理时所需的政府审批手续，承担因此产生的费用。免费提供维保过程中所需的且符合电梯设计要求的消耗材料、零件的清单及价目表等；更换零部件时，必须经甲方确认后，方可拆除或更换，更换的零部件应与原电梯配件品牌相同。</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12、每年度至少进行一次自行检查。自查工作要在电梯年检前开展，自查项目根据使用状态决定，但是不少于《电梯保养作业服务内容及细则要求》要求的年度维保和电梯定期检验规定的项目及其内容，同时向甲方出具有自查和审核人员的签字、加盖中标单位公章的自查记录或者报告，并把相关问题记录在册报于甲方，存在维保服务以外的问题须提前与甲方沟通并配合整改，如因维保范围内和自查中发现问题没有上报甲方，由此造成年检不合格，复检费用全部由乙方承担。</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13、整理甲方现场电梯相关资料，每次电梯维修维保应有加盖乙方公章的纸质版工作记录单，交由甲方存档。所有甲方现场电梯资料需分类明确，便于任何形式的检查和调阅。</w:t>
      </w:r>
    </w:p>
    <w:p>
      <w:pPr>
        <w:spacing w:line="440" w:lineRule="exact"/>
        <w:ind w:firstLine="562" w:firstLineChars="200"/>
        <w:rPr>
          <w:rFonts w:hint="eastAsia" w:ascii="仿宋_GB2312" w:hAnsi="新宋体" w:eastAsia="仿宋_GB2312" w:cs="新宋体"/>
          <w:b/>
          <w:bCs/>
          <w:color w:val="000000"/>
          <w:kern w:val="0"/>
          <w:sz w:val="28"/>
          <w:highlight w:val="none"/>
          <w:lang w:bidi="ar"/>
        </w:rPr>
      </w:pPr>
      <w:r>
        <w:rPr>
          <w:rFonts w:hint="eastAsia" w:ascii="仿宋_GB2312" w:hAnsi="新宋体" w:eastAsia="仿宋_GB2312" w:cs="新宋体"/>
          <w:b/>
          <w:bCs/>
          <w:color w:val="000000"/>
          <w:kern w:val="0"/>
          <w:sz w:val="28"/>
          <w:highlight w:val="none"/>
          <w:lang w:val="en-US" w:eastAsia="zh-CN" w:bidi="ar"/>
        </w:rPr>
        <w:t>五、</w:t>
      </w:r>
      <w:r>
        <w:rPr>
          <w:rFonts w:hint="eastAsia" w:ascii="仿宋_GB2312" w:hAnsi="新宋体" w:eastAsia="仿宋_GB2312" w:cs="新宋体"/>
          <w:b/>
          <w:bCs/>
          <w:color w:val="000000"/>
          <w:kern w:val="0"/>
          <w:sz w:val="28"/>
          <w:highlight w:val="none"/>
          <w:lang w:bidi="ar"/>
        </w:rPr>
        <w:t>其他要求：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1、中标单位入驻前需对甲方现场电梯进行了详细的检修，检修结果经甲方签字确认，并作为电梯现状记录由甲、乙双方保存。</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2、每台电梯均应当建立独立的维保记录。维保维修相关记录应当一式两份，甲乙双方各保存一份，维修与抢修记录均应当长期保存。</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3、根据电梯的现状，甲乙双方约定非使用原因导致的电梯困人故障次数每月每台电梯不超过5次。</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4、中标单位未按约定履行义务给甲方造成任何损失的，应当承担全部责任。</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5、因乙方未在期限更换应该更换的电梯零部件而导致电梯故障或存在安全隐患的，由乙方自行承担责任。</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6、乙方违反约定，作业过程中未服从甲方现场安全管理落实现场安全防护措施，或需要安全监护的作业时作业人员只有一人，或保养时间不足，甲方可拒付当次作业或保养的当台当月保养费。</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7、乙方维保工作不符合合同约定的维保标准或要求的，乙方应当返工，并按照100元/次标准支付违约金。</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8、在电梯维保作业过程中因维保原因导致人身伤亡或设备损坏、零部件丢失的，由乙方承担全部责任。</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9、因维保原因导致电梯检验不合格的，由乙方承担电梯复检费用。</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六、电梯保养计划</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电梯周、季、年的保养具体内容：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1、每周保养的内容：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⑴控制屏检查除尘清洁。</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⑵曳引机组、发电机组除尘清洁，油位检查，抱闸动作可靠检查。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⑶限速器开关动作灵活可靠检查。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⑷机房环境整洁。</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⑸门机构调整清洁润滑。</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⑹检查操纵箱各类按钮开关及显示功能正常。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⑺轿门上坎清洁润滑，门保护系统功能正常。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⑻轿顶开关检查及清扫检查厅门。</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⑼检查厅间机电联锁功能重锺及尼龙绳完好。</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⑽厅门上下坎滑轮清洁润滑。</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⑾检查各厅门外召呼和显示功能正确。</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⑿检查线路盒线槽线管。</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⒀地坑清扫。</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⒁检查随行电缆。</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⒂缓冲器油位检查。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⒃检查各限位开关功能完好。</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2、每季度保养内容：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⑴检查接触器、继电器、触点的工作状况。</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⑵上下极限开关位置检查调整。</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⑶主付导轨导靴检查更换、清洁，检查导向轮对重轮和轿顶轮。</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⑷平层精度保养。</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⑸层层厅门、轿厢采用不锈钢油清洁。</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⑹蜗轮减速箱及电机是否有油。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⑺制动器动作是否正常，制动瓦与制动盘间隙是否正常。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⑻曳引钢丝绳、限速器钢丝绳、选层器钢带运行是否正常。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⑼继电器、接触器、选层器等工作情况是否正常。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⑽触点的清洁工作和主要部件螺钉紧固等。</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⑾电动机皮带轮、皮带电动机制动器速度控制开关、安全开关等。</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⑿检查曳引绳、补偿绳装置选层器钢带和限速器绳的伸长情况。</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3、年度保养内容：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⑴曳引绳槽及曳引钢丝绳磨损程度检查。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⑵限速器的动作是否正确，限速器效验及安全钳间隙调整。</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⑶安全装置及回路检查。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⑷年度检查，对运行一年以上的电梯进行一次全面检查。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⑸对电梯的机械、电气、安全设备主要另部件磨损程度修复和更换。</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⑹对控制屏的接触器、继电器的触点及插件如发现有拉毛烧蚀等要予修复或更换。</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⑺按标准尺寸调整钢丝绳长短，观察曳引轮的磨损程度。</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⑻调换厅门、轿门的滚轮，调换开门机的易损件。</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⑼做好每台电梯更换另配件的纪录存档。</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七、服务期限</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本次维保服务期合同签订后1年。如乙方履约良好，合同到期前，经双方协商无异议，可续签下一年度合同，最多申报2次。</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八、付款方式</w:t>
      </w:r>
    </w:p>
    <w:p>
      <w:pPr>
        <w:spacing w:line="440" w:lineRule="exact"/>
        <w:ind w:firstLine="560" w:firstLineChars="200"/>
        <w:rPr>
          <w:rFonts w:hint="eastAsia" w:ascii="仿宋_GB2312" w:hAnsi="仿宋_GB2312" w:eastAsia="仿宋_GB2312" w:cs="仿宋_GB2312"/>
          <w:b/>
          <w:sz w:val="28"/>
          <w:szCs w:val="28"/>
        </w:rPr>
      </w:pPr>
      <w:r>
        <w:rPr>
          <w:rFonts w:hint="eastAsia" w:ascii="仿宋_GB2312" w:hAnsi="新宋体" w:eastAsia="仿宋_GB2312" w:cs="新宋体"/>
          <w:color w:val="000000"/>
          <w:kern w:val="0"/>
          <w:sz w:val="28"/>
          <w:lang w:bidi="ar"/>
        </w:rPr>
        <w:t>每季度付款一次，按当期维保费的 90% 进行支付，待合同期满取得验收合格证后支付至维保费总额的100%。</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九、报价要求</w:t>
      </w:r>
    </w:p>
    <w:p>
      <w:pPr>
        <w:spacing w:line="440" w:lineRule="exact"/>
        <w:ind w:firstLine="560" w:firstLineChars="200"/>
        <w:rPr>
          <w:rFonts w:hint="eastAsia" w:ascii="仿宋_GB2312" w:hAnsi="仿宋_GB2312" w:eastAsia="仿宋_GB2312" w:cs="仿宋_GB2312"/>
          <w:b/>
          <w:sz w:val="28"/>
          <w:szCs w:val="28"/>
        </w:rPr>
      </w:pPr>
      <w:r>
        <w:rPr>
          <w:rFonts w:hint="eastAsia" w:ascii="仿宋_GB2312" w:hAnsi="新宋体" w:eastAsia="仿宋_GB2312" w:cs="新宋体"/>
          <w:color w:val="000000"/>
          <w:kern w:val="0"/>
          <w:sz w:val="28"/>
          <w:lang w:bidi="ar"/>
        </w:rPr>
        <w:t>本次招标采用总价报价，投标人报价不得超过项目概算，否则投标无效。投标人的报价费应包含为完成本项目所有费用。</w:t>
      </w:r>
    </w:p>
    <w:p>
      <w:pPr>
        <w:spacing w:line="440" w:lineRule="exact"/>
        <w:rPr>
          <w:rFonts w:hint="eastAsia" w:ascii="仿宋_GB2312" w:hAnsi="新宋体" w:eastAsia="仿宋_GB2312" w:cs="新宋体"/>
          <w:color w:val="000000"/>
          <w:kern w:val="0"/>
          <w:sz w:val="28"/>
          <w:highlight w:val="none"/>
          <w:lang w:bidi="ar"/>
        </w:rPr>
      </w:pPr>
    </w:p>
    <w:p>
      <w:pPr>
        <w:adjustRightInd w:val="0"/>
        <w:snapToGrid w:val="0"/>
        <w:spacing w:line="360" w:lineRule="auto"/>
        <w:ind w:right="-10"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附件：配件免费更换清单</w:t>
      </w:r>
    </w:p>
    <w:tbl>
      <w:tblPr>
        <w:tblStyle w:val="19"/>
        <w:tblW w:w="9438" w:type="dxa"/>
        <w:jc w:val="center"/>
        <w:tblLayout w:type="autofit"/>
        <w:tblCellMar>
          <w:top w:w="0" w:type="dxa"/>
          <w:left w:w="108" w:type="dxa"/>
          <w:bottom w:w="0" w:type="dxa"/>
          <w:right w:w="108" w:type="dxa"/>
        </w:tblCellMar>
      </w:tblPr>
      <w:tblGrid>
        <w:gridCol w:w="800"/>
        <w:gridCol w:w="2720"/>
        <w:gridCol w:w="3839"/>
        <w:gridCol w:w="800"/>
        <w:gridCol w:w="1279"/>
      </w:tblGrid>
      <w:tr>
        <w:trPr>
          <w:trHeight w:val="560" w:hRule="atLeast"/>
          <w:jc w:val="center"/>
        </w:trPr>
        <w:tc>
          <w:tcPr>
            <w:tcW w:w="800" w:type="dxa"/>
            <w:tcBorders>
              <w:top w:val="single" w:color="auto" w:sz="4" w:space="0"/>
              <w:left w:val="single" w:color="auto" w:sz="4" w:space="0"/>
              <w:bottom w:val="single" w:color="auto" w:sz="4" w:space="0"/>
              <w:right w:val="single" w:color="auto" w:sz="4" w:space="0"/>
            </w:tcBorders>
            <w:shd w:val="clear" w:color="000000" w:fill="FFC000"/>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序号</w:t>
            </w:r>
          </w:p>
        </w:tc>
        <w:tc>
          <w:tcPr>
            <w:tcW w:w="272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物料名称</w:t>
            </w:r>
          </w:p>
        </w:tc>
        <w:tc>
          <w:tcPr>
            <w:tcW w:w="3839"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型号、规格、参数</w:t>
            </w:r>
          </w:p>
        </w:tc>
        <w:tc>
          <w:tcPr>
            <w:tcW w:w="80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单位</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合同期内</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门导靴</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S200 黑色橡胶 L50.5mm</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K8/S8 国产</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S200 DW900 d3 L3580中分</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门传动钢丝绳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S8中分DW1100 L4675</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门挂板滚轮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D60 K8/S8</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厅门关闭弹簧C2/T2</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424mm（S200非玻璃厅门）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触点开关AZ-06</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k200/s200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8</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V齿传动带</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8PJ559 GB/T16588（K8轿门）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9</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触点开关RX07</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主锁 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10</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手动复位行程开关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LX26-UKS</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集油盒</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YF02X556</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缓冲器开关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LX26-UKT</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微动开关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TM-1307 PT0.4</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极限开关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HD/1370</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SZ-A22</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门导靴</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K8S8</w:t>
            </w:r>
            <w:r>
              <w:rPr>
                <w:rFonts w:hint="eastAsia" w:ascii="宋体" w:hAnsi="宋体" w:cs="宋体"/>
                <w:kern w:val="0"/>
                <w:sz w:val="22"/>
              </w:rPr>
              <w:t>新</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17</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对重油杯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U</w:t>
            </w:r>
            <w:r>
              <w:rPr>
                <w:rFonts w:hint="eastAsia" w:ascii="宋体" w:hAnsi="宋体" w:cs="宋体"/>
                <w:kern w:val="0"/>
                <w:sz w:val="22"/>
              </w:rPr>
              <w:t>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18</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LADN22C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19</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按钮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普通</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20</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底坑急停</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按钮型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21</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底坑缓冲器开关</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行程开关</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22</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轿顶照明</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LED灯</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23</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底坑涨绳轮</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自动复位</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24</w:t>
            </w:r>
          </w:p>
        </w:tc>
        <w:tc>
          <w:tcPr>
            <w:tcW w:w="2720"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底坑照明</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灯管</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厅门重锤钢丝绳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2CM正常型号</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RKL12/5E 12V 5W DERIN</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SZ-AS1-C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导轨油</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润滑</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SC-E03PN5-C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SC-E05P-C</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急停开关盒（不带线）</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XAL-J174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张紧轮开关</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S3-1375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相序</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XJ12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感应组件</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井道部件</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蓄电池</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RT1270H 12V7AH 瑞达</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37</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滑动导靴</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k16带油杯</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对讲机</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TK-TC12(1-1)A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开关电源</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RS-25-5 5A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3RT6023-1AN20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D12 d2 10.5 9 385.14 D SWPB</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门锁滚轮</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D32 S200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圆柱拉伸弹簧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790*14.2*1.8 旁开S8</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浪涌抑制单元</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SZ-Z5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bl>
    <w:p>
      <w:pPr>
        <w:spacing w:line="440" w:lineRule="exact"/>
        <w:jc w:val="center"/>
        <w:rPr>
          <w:rFonts w:hint="eastAsia" w:ascii="仿宋_GB2312" w:hAnsi="新宋体" w:eastAsia="仿宋_GB2312" w:cs="新宋体"/>
          <w:color w:val="000000"/>
          <w:kern w:val="0"/>
          <w:sz w:val="28"/>
          <w:lang w:bidi="ar"/>
        </w:rPr>
      </w:pPr>
    </w:p>
    <w:bookmarkEnd w:id="41"/>
    <w:p>
      <w:pPr>
        <w:widowControl/>
        <w:spacing w:line="360" w:lineRule="auto"/>
        <w:ind w:firstLine="480" w:firstLineChars="200"/>
        <w:rPr>
          <w:rFonts w:hint="eastAsia" w:ascii="宋体" w:hAnsi="宋体" w:cs="宋体"/>
          <w:bCs/>
          <w:sz w:val="24"/>
        </w:rPr>
      </w:pPr>
      <w:r>
        <w:rPr>
          <w:rFonts w:hint="eastAsia" w:ascii="宋体" w:hAnsi="宋体" w:cs="宋体"/>
          <w:bCs/>
          <w:sz w:val="24"/>
        </w:rPr>
        <w:t>附件：《电梯保养作业服务内容及细则要求》</w:t>
      </w:r>
    </w:p>
    <w:p>
      <w:pPr>
        <w:widowControl/>
        <w:spacing w:line="360" w:lineRule="auto"/>
        <w:ind w:firstLine="480" w:firstLineChars="200"/>
        <w:rPr>
          <w:rFonts w:hint="eastAsia" w:ascii="宋体" w:hAnsi="宋体" w:cs="宋体"/>
          <w:bCs/>
          <w:sz w:val="24"/>
        </w:rPr>
      </w:pPr>
      <w:r>
        <w:rPr>
          <w:rFonts w:hint="eastAsia" w:ascii="宋体" w:hAnsi="宋体" w:cs="宋体"/>
          <w:bCs/>
          <w:sz w:val="24"/>
        </w:rPr>
        <w:t>一、保养行程表</w:t>
      </w:r>
    </w:p>
    <w:p>
      <w:pPr>
        <w:widowControl/>
        <w:spacing w:line="360" w:lineRule="auto"/>
        <w:ind w:firstLine="480" w:firstLineChars="200"/>
        <w:rPr>
          <w:rFonts w:hint="eastAsia" w:ascii="宋体" w:hAnsi="宋体" w:cs="宋体"/>
          <w:bCs/>
          <w:sz w:val="24"/>
        </w:rPr>
      </w:pPr>
      <w:r>
        <w:rPr>
          <w:rFonts w:hint="eastAsia" w:ascii="宋体" w:hAnsi="宋体" w:cs="宋体"/>
          <w:bCs/>
          <w:sz w:val="24"/>
        </w:rPr>
        <mc:AlternateContent>
          <mc:Choice Requires="wps">
            <w:drawing>
              <wp:anchor distT="0" distB="0" distL="114300" distR="114300" simplePos="0" relativeHeight="251659264" behindDoc="0" locked="0" layoutInCell="1" allowOverlap="1">
                <wp:simplePos x="0" y="0"/>
                <wp:positionH relativeFrom="column">
                  <wp:posOffset>7772400</wp:posOffset>
                </wp:positionH>
                <wp:positionV relativeFrom="paragraph">
                  <wp:posOffset>297180</wp:posOffset>
                </wp:positionV>
                <wp:extent cx="228600" cy="198120"/>
                <wp:effectExtent l="4445" t="4445" r="14605" b="6985"/>
                <wp:wrapNone/>
                <wp:docPr id="1" name="椭圆 1"/>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3" type="#_x0000_t3" style="position:absolute;left:0pt;margin-left:612pt;margin-top:23.4pt;height:15.6pt;width:18pt;z-index:251659264;mso-width-relative:page;mso-height-relative:page;" fillcolor="#FFFFFF" filled="t" stroked="t" coordsize="21600,21600" o:gfxdata="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uPQZ2AAAAAsBAAAPAAAAAAAAAAEAIAAAACIAAABkcnMvZG93bnJl&#10;di54bWxQSwECFAAUAAAACACHTuJA6ghqAf0BAAAkBAAADgAAAAAAAAABACAAAAAnAQAAZHJzL2Uy&#10;b0RvYy54bWxQSwUGAAAAAAYABgBZAQAAlgUAAAAA&#10;">
                <v:fill on="t" focussize="0,0"/>
                <v:stroke color="#000000" joinstyle="round"/>
                <v:imagedata o:title=""/>
                <o:lock v:ext="edit" aspectratio="f"/>
              </v:shape>
            </w:pict>
          </mc:Fallback>
        </mc:AlternateContent>
      </w:r>
      <w:r>
        <w:rPr>
          <w:rFonts w:hint="eastAsia" w:ascii="宋体" w:hAnsi="宋体" w:cs="宋体"/>
          <w:bCs/>
          <w:sz w:val="24"/>
        </w:rPr>
        <w:t>该表为一年内各月份的主要保养范围，内容可依项目实际情况而作增加。</w:t>
      </w:r>
    </w:p>
    <w:tbl>
      <w:tblPr>
        <w:tblStyle w:val="19"/>
        <w:tblW w:w="8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520"/>
        <w:gridCol w:w="435"/>
        <w:gridCol w:w="435"/>
        <w:gridCol w:w="435"/>
        <w:gridCol w:w="435"/>
        <w:gridCol w:w="435"/>
        <w:gridCol w:w="435"/>
        <w:gridCol w:w="435"/>
        <w:gridCol w:w="435"/>
        <w:gridCol w:w="43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jc w:val="center"/>
              <w:rPr>
                <w:rFonts w:hint="eastAsia" w:ascii="宋体" w:hAnsi="宋体" w:cs="宋体"/>
                <w:sz w:val="24"/>
              </w:rPr>
            </w:pPr>
            <w:r>
              <w:rPr>
                <w:rFonts w:hint="eastAsia" w:ascii="宋体" w:hAnsi="宋体" w:cs="宋体"/>
                <w:sz w:val="24"/>
              </w:rPr>
              <w:t>工作明细</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1</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2</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3</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4</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5</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6</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7</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8</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9</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10</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11</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r>
              <w:rPr>
                <w:rFonts w:hint="eastAsia" w:ascii="宋体" w:hAnsi="宋体" w:cs="宋体"/>
                <w:sz w:val="24"/>
              </w:rPr>
              <w:t>机械室</w:t>
            </w: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环境清洁</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主机马达</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偏向槽轮</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控制柜</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限速器</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齿轮油</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r>
              <w:rPr>
                <w:rFonts w:hint="eastAsia" w:ascii="宋体" w:hAnsi="宋体" w:cs="宋体"/>
                <w:sz w:val="24"/>
              </w:rPr>
              <w:t>轿顶</w:t>
            </w: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环境清洁</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配电箱</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安全开关</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门机</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门机构、触板</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导靴、导轮</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安全钳</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钢索、钢索头</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r>
              <w:rPr>
                <w:rFonts w:hint="eastAsia" w:ascii="宋体" w:hAnsi="宋体" w:cs="宋体"/>
                <w:sz w:val="24"/>
              </w:rPr>
              <w:t>升降路</w:t>
            </w: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运行电缆、固定电缆</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对重</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导轨、支架</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限位开关、减速开关</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jc w:val="center"/>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外门、地坎清洁</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r>
              <w:rPr>
                <w:rFonts w:hint="eastAsia" w:ascii="宋体" w:hAnsi="宋体" w:cs="宋体"/>
                <w:sz w:val="24"/>
              </w:rPr>
              <w:t>轿厢</w:t>
            </w: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操纵箱</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警铃、对讲机</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日光灯、风扇</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r>
              <w:rPr>
                <w:rFonts w:hint="eastAsia" w:ascii="宋体" w:hAnsi="宋体" w:cs="宋体"/>
                <w:sz w:val="24"/>
              </w:rPr>
              <w:t>底坑</w:t>
            </w: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环境清洁</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安全开关、超载开关</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张力轮、缓冲器</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r>
              <w:rPr>
                <w:rFonts w:hint="eastAsia" w:ascii="宋体" w:hAnsi="宋体" w:cs="宋体"/>
                <w:sz w:val="24"/>
              </w:rPr>
              <w:t>乘场</w:t>
            </w: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外呼面板</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环境清洁</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25" w:rightChars="-52"/>
              <w:rPr>
                <w:rFonts w:hint="eastAsia" w:ascii="宋体" w:hAnsi="宋体" w:cs="宋体"/>
                <w:sz w:val="24"/>
              </w:rPr>
            </w:pPr>
          </w:p>
        </w:tc>
        <w:tc>
          <w:tcPr>
            <w:tcW w:w="2520" w:type="dxa"/>
            <w:noWrap w:val="0"/>
            <w:vAlign w:val="top"/>
          </w:tcPr>
          <w:p>
            <w:pPr>
              <w:ind w:right="-125" w:rightChars="-52"/>
              <w:rPr>
                <w:rFonts w:hint="eastAsia" w:ascii="宋体" w:hAnsi="宋体" w:cs="宋体"/>
                <w:sz w:val="24"/>
              </w:rPr>
            </w:pPr>
            <w:r>
              <w:rPr>
                <w:rFonts w:hint="eastAsia" w:ascii="宋体" w:hAnsi="宋体" w:cs="宋体"/>
                <w:sz w:val="24"/>
              </w:rPr>
              <w:t>门缝调整</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c>
          <w:tcPr>
            <w:tcW w:w="435" w:type="dxa"/>
            <w:noWrap w:val="0"/>
            <w:vAlign w:val="top"/>
          </w:tcPr>
          <w:p>
            <w:pPr>
              <w:ind w:right="-125" w:rightChars="-52"/>
              <w:rPr>
                <w:rFonts w:hint="eastAsia" w:ascii="宋体" w:hAnsi="宋体" w:cs="宋体"/>
                <w:sz w:val="24"/>
              </w:rPr>
            </w:pPr>
          </w:p>
        </w:tc>
        <w:tc>
          <w:tcPr>
            <w:tcW w:w="435" w:type="dxa"/>
            <w:noWrap w:val="0"/>
            <w:vAlign w:val="top"/>
          </w:tcPr>
          <w:p>
            <w:pPr>
              <w:ind w:right="-125" w:rightChars="-52"/>
              <w:rPr>
                <w:rFonts w:hint="eastAsia" w:ascii="宋体" w:hAnsi="宋体" w:cs="宋体"/>
                <w:sz w:val="24"/>
              </w:rPr>
            </w:pPr>
            <w:r>
              <w:rPr>
                <w:rFonts w:hint="eastAsia" w:ascii="宋体" w:hAnsi="宋体" w:cs="宋体"/>
                <w:sz w:val="24"/>
              </w:rPr>
              <w:t>o</w:t>
            </w:r>
          </w:p>
        </w:tc>
      </w:tr>
    </w:tbl>
    <w:p>
      <w:pPr>
        <w:rPr>
          <w:rFonts w:hint="eastAsia" w:ascii="宋体" w:hAnsi="宋体" w:cs="宋体"/>
          <w:bCs/>
          <w:sz w:val="24"/>
        </w:rPr>
      </w:pPr>
      <w:r>
        <w:rPr>
          <w:rFonts w:hint="eastAsia" w:ascii="宋体" w:hAnsi="宋体" w:cs="宋体"/>
          <w:bCs/>
          <w:sz w:val="24"/>
        </w:rPr>
        <w:br w:type="page"/>
      </w:r>
    </w:p>
    <w:p>
      <w:pPr>
        <w:widowControl/>
        <w:spacing w:line="360" w:lineRule="auto"/>
        <w:ind w:firstLine="480" w:firstLineChars="200"/>
        <w:rPr>
          <w:rFonts w:hint="eastAsia" w:ascii="宋体" w:hAnsi="宋体" w:cs="宋体"/>
          <w:bCs/>
          <w:sz w:val="24"/>
        </w:rPr>
      </w:pPr>
      <w:r>
        <w:rPr>
          <w:rFonts w:hint="eastAsia" w:ascii="宋体" w:hAnsi="宋体" w:cs="宋体"/>
          <w:bCs/>
          <w:sz w:val="24"/>
        </w:rPr>
        <w:t>二、电梯的保养项目</w:t>
      </w:r>
    </w:p>
    <w:p>
      <w:pPr>
        <w:widowControl/>
        <w:spacing w:line="360" w:lineRule="auto"/>
        <w:ind w:firstLine="480" w:firstLineChars="200"/>
        <w:rPr>
          <w:rFonts w:hint="eastAsia" w:ascii="宋体" w:hAnsi="宋体" w:cs="宋体"/>
          <w:bCs/>
          <w:sz w:val="24"/>
        </w:rPr>
      </w:pPr>
      <w:r>
        <w:rPr>
          <w:rFonts w:hint="eastAsia" w:ascii="宋体" w:hAnsi="宋体" w:cs="宋体"/>
          <w:bCs/>
          <w:sz w:val="24"/>
        </w:rPr>
        <w:t>1、轿顶的保养</w:t>
      </w:r>
    </w:p>
    <w:tbl>
      <w:tblPr>
        <w:tblStyle w:val="1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检查项目</w:t>
            </w:r>
          </w:p>
        </w:tc>
        <w:tc>
          <w:tcPr>
            <w:tcW w:w="1316" w:type="dxa"/>
            <w:gridSpan w:val="2"/>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方式</w:t>
            </w:r>
          </w:p>
        </w:tc>
        <w:tc>
          <w:tcPr>
            <w:tcW w:w="2700"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检 查 内 容</w:t>
            </w:r>
          </w:p>
        </w:tc>
        <w:tc>
          <w:tcPr>
            <w:tcW w:w="3780"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判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1424"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p>
            <w:pPr>
              <w:jc w:val="center"/>
              <w:rPr>
                <w:rFonts w:hint="eastAsia" w:ascii="宋体" w:hAnsi="宋体" w:cs="宋体"/>
                <w:sz w:val="24"/>
              </w:rPr>
            </w:pPr>
            <w:r>
              <w:rPr>
                <w:rFonts w:hint="eastAsia" w:ascii="宋体" w:hAnsi="宋体" w:cs="宋体"/>
                <w:sz w:val="24"/>
              </w:rPr>
              <w:t>紧急救出口</w:t>
            </w:r>
          </w:p>
        </w:tc>
        <w:tc>
          <w:tcPr>
            <w:tcW w:w="480" w:type="dxa"/>
            <w:tcBorders>
              <w:bottom w:val="single" w:color="auto" w:sz="4" w:space="0"/>
            </w:tcBorders>
            <w:noWrap w:val="0"/>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36" w:type="dxa"/>
            <w:tcBorders>
              <w:bottom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700" w:type="dxa"/>
            <w:tcBorders>
              <w:bottom w:val="single" w:color="auto" w:sz="4" w:space="0"/>
            </w:tcBorders>
            <w:noWrap w:val="0"/>
            <w:vAlign w:val="center"/>
          </w:tcPr>
          <w:p>
            <w:pPr>
              <w:rPr>
                <w:rFonts w:hint="eastAsia" w:ascii="宋体" w:hAnsi="宋体" w:cs="宋体"/>
                <w:sz w:val="24"/>
              </w:rPr>
            </w:pPr>
          </w:p>
          <w:p>
            <w:pPr>
              <w:rPr>
                <w:rFonts w:hint="eastAsia" w:ascii="宋体" w:hAnsi="宋体" w:cs="宋体"/>
                <w:sz w:val="24"/>
              </w:rPr>
            </w:pPr>
            <w:r>
              <w:rPr>
                <w:rFonts w:hint="eastAsia" w:ascii="宋体" w:hAnsi="宋体" w:cs="宋体"/>
                <w:sz w:val="24"/>
              </w:rPr>
              <w:t>检查就出口的索住设施及安全开关情形。</w:t>
            </w:r>
          </w:p>
        </w:tc>
        <w:tc>
          <w:tcPr>
            <w:tcW w:w="3780" w:type="dxa"/>
            <w:tcBorders>
              <w:bottom w:val="single" w:color="auto" w:sz="4" w:space="0"/>
            </w:tcBorders>
            <w:noWrap w:val="0"/>
            <w:vAlign w:val="center"/>
          </w:tcPr>
          <w:p>
            <w:pPr>
              <w:numPr>
                <w:ilvl w:val="0"/>
                <w:numId w:val="3"/>
              </w:numPr>
              <w:ind w:left="0" w:firstLine="0"/>
              <w:rPr>
                <w:rFonts w:hint="eastAsia" w:ascii="宋体" w:hAnsi="宋体" w:cs="宋体"/>
                <w:sz w:val="24"/>
              </w:rPr>
            </w:pPr>
            <w:r>
              <w:rPr>
                <w:rFonts w:hint="eastAsia" w:ascii="宋体" w:hAnsi="宋体" w:cs="宋体"/>
                <w:sz w:val="24"/>
              </w:rPr>
              <w:t>救出口盖一经打开，车厢应停止升降。</w:t>
            </w:r>
          </w:p>
          <w:p>
            <w:pPr>
              <w:numPr>
                <w:ilvl w:val="0"/>
                <w:numId w:val="3"/>
              </w:numPr>
              <w:ind w:left="0" w:firstLine="0"/>
              <w:rPr>
                <w:rFonts w:hint="eastAsia" w:ascii="宋体" w:hAnsi="宋体" w:cs="宋体"/>
                <w:sz w:val="24"/>
              </w:rPr>
            </w:pPr>
            <w:r>
              <w:rPr>
                <w:rFonts w:hint="eastAsia" w:ascii="宋体" w:hAnsi="宋体" w:cs="宋体"/>
                <w:sz w:val="24"/>
              </w:rPr>
              <w:t>应能锁住救出口。</w:t>
            </w:r>
          </w:p>
          <w:p>
            <w:pPr>
              <w:numPr>
                <w:ilvl w:val="0"/>
                <w:numId w:val="3"/>
              </w:numPr>
              <w:ind w:left="0" w:firstLine="0"/>
              <w:rPr>
                <w:rFonts w:hint="eastAsia" w:ascii="宋体" w:hAnsi="宋体" w:cs="宋体"/>
                <w:sz w:val="24"/>
              </w:rPr>
            </w:pPr>
            <w:r>
              <w:rPr>
                <w:rFonts w:hint="eastAsia" w:ascii="宋体" w:hAnsi="宋体" w:cs="宋体"/>
                <w:sz w:val="24"/>
              </w:rPr>
              <w:t>救出口不亦变形。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（2）</w:t>
            </w:r>
          </w:p>
          <w:p>
            <w:pPr>
              <w:jc w:val="center"/>
              <w:rPr>
                <w:rFonts w:hint="eastAsia" w:ascii="宋体" w:hAnsi="宋体" w:cs="宋体"/>
                <w:sz w:val="24"/>
              </w:rPr>
            </w:pPr>
            <w:r>
              <w:rPr>
                <w:rFonts w:hint="eastAsia" w:ascii="宋体" w:hAnsi="宋体" w:cs="宋体"/>
                <w:sz w:val="24"/>
              </w:rPr>
              <w:t>门开关装置</w:t>
            </w:r>
          </w:p>
        </w:tc>
        <w:tc>
          <w:tcPr>
            <w:tcW w:w="480" w:type="dxa"/>
            <w:noWrap w:val="0"/>
            <w:vAlign w:val="center"/>
          </w:tcPr>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36" w:type="dxa"/>
            <w:noWrap w:val="0"/>
            <w:vAlign w:val="center"/>
          </w:tcPr>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700" w:type="dxa"/>
            <w:noWrap w:val="0"/>
            <w:vAlign w:val="center"/>
          </w:tcPr>
          <w:p>
            <w:pPr>
              <w:numPr>
                <w:ilvl w:val="0"/>
                <w:numId w:val="4"/>
              </w:numPr>
              <w:ind w:left="0" w:firstLine="0"/>
              <w:rPr>
                <w:rFonts w:hint="eastAsia" w:ascii="宋体" w:hAnsi="宋体" w:cs="宋体"/>
                <w:sz w:val="24"/>
              </w:rPr>
            </w:pPr>
            <w:r>
              <w:rPr>
                <w:rFonts w:hint="eastAsia" w:ascii="宋体" w:hAnsi="宋体" w:cs="宋体"/>
                <w:sz w:val="24"/>
              </w:rPr>
              <w:t>检查门机构及开关、噪音、振动、润滑情形。</w:t>
            </w:r>
          </w:p>
          <w:p>
            <w:pPr>
              <w:numPr>
                <w:ilvl w:val="0"/>
                <w:numId w:val="4"/>
              </w:numPr>
              <w:ind w:left="0" w:firstLine="0"/>
              <w:rPr>
                <w:rFonts w:hint="eastAsia" w:ascii="宋体" w:hAnsi="宋体" w:cs="宋体"/>
                <w:sz w:val="24"/>
              </w:rPr>
            </w:pPr>
            <w:r>
              <w:rPr>
                <w:rFonts w:hint="eastAsia" w:ascii="宋体" w:hAnsi="宋体" w:cs="宋体"/>
                <w:sz w:val="24"/>
              </w:rPr>
              <w:t>检查门控制器、门马达。</w:t>
            </w:r>
          </w:p>
        </w:tc>
        <w:tc>
          <w:tcPr>
            <w:tcW w:w="3780" w:type="dxa"/>
            <w:noWrap w:val="0"/>
            <w:vAlign w:val="center"/>
          </w:tcPr>
          <w:p>
            <w:pPr>
              <w:rPr>
                <w:rFonts w:hint="eastAsia" w:ascii="宋体" w:hAnsi="宋体" w:cs="宋体"/>
                <w:sz w:val="24"/>
              </w:rPr>
            </w:pPr>
            <w:r>
              <w:rPr>
                <w:rFonts w:hint="eastAsia" w:ascii="宋体" w:hAnsi="宋体" w:cs="宋体"/>
                <w:sz w:val="24"/>
              </w:rPr>
              <w:t>门开关良好，不应有噪音、振动，润滑情形良好。</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机能良好且无异常发热。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（3）</w:t>
            </w:r>
          </w:p>
          <w:p>
            <w:pPr>
              <w:jc w:val="center"/>
              <w:rPr>
                <w:rFonts w:hint="eastAsia" w:ascii="宋体" w:hAnsi="宋体" w:cs="宋体"/>
                <w:sz w:val="24"/>
              </w:rPr>
            </w:pPr>
            <w:r>
              <w:rPr>
                <w:rFonts w:hint="eastAsia" w:ascii="宋体" w:hAnsi="宋体" w:cs="宋体"/>
                <w:sz w:val="24"/>
              </w:rPr>
              <w:t>安全开关</w:t>
            </w:r>
          </w:p>
        </w:tc>
        <w:tc>
          <w:tcPr>
            <w:tcW w:w="480" w:type="dxa"/>
            <w:noWrap w:val="0"/>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36" w:type="dxa"/>
            <w:noWrap w:val="0"/>
            <w:vAlign w:val="center"/>
          </w:tcPr>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700" w:type="dxa"/>
            <w:noWrap w:val="0"/>
            <w:vAlign w:val="center"/>
          </w:tcPr>
          <w:p>
            <w:pPr>
              <w:rPr>
                <w:rFonts w:hint="eastAsia" w:ascii="宋体" w:hAnsi="宋体" w:cs="宋体"/>
                <w:sz w:val="24"/>
              </w:rPr>
            </w:pPr>
            <w:r>
              <w:rPr>
                <w:rFonts w:hint="eastAsia" w:ascii="宋体" w:hAnsi="宋体" w:cs="宋体"/>
                <w:sz w:val="24"/>
              </w:rPr>
              <w:t>急停、检修、安全钳</w:t>
            </w:r>
          </w:p>
          <w:p>
            <w:pPr>
              <w:rPr>
                <w:rFonts w:hint="eastAsia" w:ascii="宋体" w:hAnsi="宋体" w:cs="宋体"/>
                <w:sz w:val="24"/>
              </w:rPr>
            </w:pPr>
            <w:r>
              <w:rPr>
                <w:rFonts w:hint="eastAsia" w:ascii="宋体" w:hAnsi="宋体" w:cs="宋体"/>
                <w:sz w:val="24"/>
              </w:rPr>
              <w:t>各开关</w:t>
            </w:r>
          </w:p>
        </w:tc>
        <w:tc>
          <w:tcPr>
            <w:tcW w:w="3780" w:type="dxa"/>
            <w:noWrap w:val="0"/>
            <w:vAlign w:val="center"/>
          </w:tcPr>
          <w:p>
            <w:pPr>
              <w:rPr>
                <w:rFonts w:hint="eastAsia" w:ascii="宋体" w:hAnsi="宋体" w:cs="宋体"/>
                <w:sz w:val="24"/>
              </w:rPr>
            </w:pPr>
          </w:p>
          <w:p>
            <w:pPr>
              <w:rPr>
                <w:rFonts w:hint="eastAsia" w:ascii="宋体" w:hAnsi="宋体" w:cs="宋体"/>
                <w:sz w:val="24"/>
              </w:rPr>
            </w:pPr>
            <w:r>
              <w:rPr>
                <w:rFonts w:hint="eastAsia" w:ascii="宋体" w:hAnsi="宋体" w:cs="宋体"/>
                <w:sz w:val="24"/>
              </w:rPr>
              <w:t>应动作可靠、灵敏。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（4）</w:t>
            </w:r>
          </w:p>
          <w:p>
            <w:pPr>
              <w:jc w:val="center"/>
              <w:rPr>
                <w:rFonts w:hint="eastAsia" w:ascii="宋体" w:hAnsi="宋体" w:cs="宋体"/>
                <w:sz w:val="24"/>
              </w:rPr>
            </w:pPr>
            <w:r>
              <w:rPr>
                <w:rFonts w:hint="eastAsia" w:ascii="宋体" w:hAnsi="宋体" w:cs="宋体"/>
                <w:sz w:val="24"/>
              </w:rPr>
              <w:t>导靴、油杯</w:t>
            </w:r>
          </w:p>
        </w:tc>
        <w:tc>
          <w:tcPr>
            <w:tcW w:w="480" w:type="dxa"/>
            <w:noWrap w:val="0"/>
            <w:vAlign w:val="center"/>
          </w:tcPr>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tc>
        <w:tc>
          <w:tcPr>
            <w:tcW w:w="836" w:type="dxa"/>
            <w:noWrap w:val="0"/>
            <w:vAlign w:val="center"/>
          </w:tcPr>
          <w:p>
            <w:pPr>
              <w:rPr>
                <w:rFonts w:hint="eastAsia" w:ascii="宋体" w:hAnsi="宋体" w:cs="宋体"/>
                <w:sz w:val="24"/>
              </w:rPr>
            </w:pPr>
          </w:p>
        </w:tc>
        <w:tc>
          <w:tcPr>
            <w:tcW w:w="2700" w:type="dxa"/>
            <w:noWrap w:val="0"/>
            <w:vAlign w:val="center"/>
          </w:tcPr>
          <w:p>
            <w:pPr>
              <w:rPr>
                <w:rFonts w:hint="eastAsia" w:ascii="宋体" w:hAnsi="宋体" w:cs="宋体"/>
                <w:sz w:val="24"/>
              </w:rPr>
            </w:pPr>
            <w:r>
              <w:rPr>
                <w:rFonts w:hint="eastAsia" w:ascii="宋体" w:hAnsi="宋体" w:cs="宋体"/>
                <w:sz w:val="24"/>
              </w:rPr>
              <w:t>检查导靴、油杯</w:t>
            </w:r>
          </w:p>
        </w:tc>
        <w:tc>
          <w:tcPr>
            <w:tcW w:w="3780" w:type="dxa"/>
            <w:noWrap w:val="0"/>
            <w:vAlign w:val="center"/>
          </w:tcPr>
          <w:p>
            <w:pPr>
              <w:rPr>
                <w:rFonts w:hint="eastAsia" w:ascii="宋体" w:hAnsi="宋体" w:cs="宋体"/>
                <w:sz w:val="24"/>
              </w:rPr>
            </w:pPr>
            <w:r>
              <w:rPr>
                <w:rFonts w:hint="eastAsia" w:ascii="宋体" w:hAnsi="宋体" w:cs="宋体"/>
                <w:sz w:val="24"/>
              </w:rPr>
              <w:t>无显著磨损、裂纹和损伤，</w:t>
            </w:r>
          </w:p>
          <w:p>
            <w:pPr>
              <w:rPr>
                <w:rFonts w:hint="eastAsia" w:ascii="宋体" w:hAnsi="宋体" w:cs="宋体"/>
                <w:sz w:val="24"/>
              </w:rPr>
            </w:pPr>
            <w:r>
              <w:rPr>
                <w:rFonts w:hint="eastAsia" w:ascii="宋体" w:hAnsi="宋体" w:cs="宋体"/>
                <w:sz w:val="24"/>
              </w:rPr>
              <w:t>固定良好油量适当.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（5）</w:t>
            </w:r>
          </w:p>
          <w:p>
            <w:pPr>
              <w:jc w:val="center"/>
              <w:rPr>
                <w:rFonts w:hint="eastAsia" w:ascii="宋体" w:hAnsi="宋体" w:cs="宋体"/>
                <w:sz w:val="24"/>
              </w:rPr>
            </w:pPr>
            <w:r>
              <w:rPr>
                <w:rFonts w:hint="eastAsia" w:ascii="宋体" w:hAnsi="宋体" w:cs="宋体"/>
                <w:sz w:val="24"/>
              </w:rPr>
              <w:t>钢丝绳</w:t>
            </w:r>
          </w:p>
        </w:tc>
        <w:tc>
          <w:tcPr>
            <w:tcW w:w="480" w:type="dxa"/>
            <w:noWrap w:val="0"/>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手</w:t>
            </w:r>
          </w:p>
          <w:p>
            <w:pPr>
              <w:jc w:val="center"/>
              <w:rPr>
                <w:rFonts w:hint="eastAsia" w:ascii="宋体" w:hAnsi="宋体" w:cs="宋体"/>
                <w:sz w:val="24"/>
              </w:rPr>
            </w:pPr>
            <w:r>
              <w:rPr>
                <w:rFonts w:hint="eastAsia" w:ascii="宋体" w:hAnsi="宋体" w:cs="宋体"/>
                <w:sz w:val="24"/>
              </w:rPr>
              <w:t>测</w:t>
            </w:r>
          </w:p>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tc>
        <w:tc>
          <w:tcPr>
            <w:tcW w:w="836" w:type="dxa"/>
            <w:noWrap w:val="0"/>
            <w:vAlign w:val="center"/>
          </w:tcPr>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700" w:type="dxa"/>
            <w:noWrap w:val="0"/>
            <w:vAlign w:val="center"/>
          </w:tcPr>
          <w:p>
            <w:pPr>
              <w:rPr>
                <w:rFonts w:hint="eastAsia" w:ascii="宋体" w:hAnsi="宋体" w:cs="宋体"/>
                <w:sz w:val="24"/>
              </w:rPr>
            </w:pPr>
            <w:r>
              <w:rPr>
                <w:rFonts w:hint="eastAsia" w:ascii="宋体" w:hAnsi="宋体" w:cs="宋体"/>
                <w:sz w:val="24"/>
              </w:rPr>
              <w:t>（1）钢丝绳扎头</w:t>
            </w:r>
          </w:p>
          <w:p>
            <w:pPr>
              <w:rPr>
                <w:rFonts w:hint="eastAsia" w:ascii="宋体" w:hAnsi="宋体" w:cs="宋体"/>
                <w:sz w:val="24"/>
              </w:rPr>
            </w:pPr>
            <w:r>
              <w:rPr>
                <w:rFonts w:hint="eastAsia" w:ascii="宋体" w:hAnsi="宋体" w:cs="宋体"/>
                <w:sz w:val="24"/>
              </w:rPr>
              <w:t>（2）钢丝绳磨损程度</w:t>
            </w:r>
          </w:p>
          <w:p>
            <w:pPr>
              <w:rPr>
                <w:rFonts w:hint="eastAsia" w:ascii="宋体" w:hAnsi="宋体" w:cs="宋体"/>
                <w:sz w:val="24"/>
              </w:rPr>
            </w:pPr>
            <w:r>
              <w:rPr>
                <w:rFonts w:hint="eastAsia" w:ascii="宋体" w:hAnsi="宋体" w:cs="宋体"/>
                <w:sz w:val="24"/>
              </w:rPr>
              <w:t>（3）张力检查</w:t>
            </w:r>
          </w:p>
        </w:tc>
        <w:tc>
          <w:tcPr>
            <w:tcW w:w="3780" w:type="dxa"/>
            <w:noWrap w:val="0"/>
            <w:vAlign w:val="center"/>
          </w:tcPr>
          <w:p>
            <w:pPr>
              <w:rPr>
                <w:rFonts w:hint="eastAsia" w:ascii="宋体" w:hAnsi="宋体" w:cs="宋体"/>
                <w:sz w:val="24"/>
              </w:rPr>
            </w:pPr>
            <w:r>
              <w:rPr>
                <w:rFonts w:hint="eastAsia" w:ascii="宋体" w:hAnsi="宋体" w:cs="宋体"/>
                <w:sz w:val="24"/>
              </w:rPr>
              <w:t>钢丝绳扎头应螺帽、开口销齐全，并帽应锁紧</w:t>
            </w:r>
          </w:p>
          <w:p>
            <w:pPr>
              <w:rPr>
                <w:rFonts w:hint="eastAsia" w:ascii="宋体" w:hAnsi="宋体" w:cs="宋体"/>
                <w:sz w:val="24"/>
              </w:rPr>
            </w:pPr>
            <w:r>
              <w:rPr>
                <w:rFonts w:hint="eastAsia" w:ascii="宋体" w:hAnsi="宋体" w:cs="宋体"/>
                <w:sz w:val="24"/>
              </w:rPr>
              <w:t>发生以下情形应更换：</w:t>
            </w:r>
          </w:p>
          <w:p>
            <w:pPr>
              <w:rPr>
                <w:rFonts w:hint="eastAsia" w:ascii="宋体" w:hAnsi="宋体" w:cs="宋体"/>
                <w:sz w:val="24"/>
              </w:rPr>
            </w:pPr>
            <w:r>
              <w:rPr>
                <w:rFonts w:hint="eastAsia" w:ascii="宋体" w:hAnsi="宋体" w:cs="宋体"/>
                <w:sz w:val="24"/>
              </w:rPr>
              <w:t>（1）出现断股</w:t>
            </w:r>
          </w:p>
          <w:p>
            <w:pPr>
              <w:rPr>
                <w:rFonts w:hint="eastAsia" w:ascii="宋体" w:hAnsi="宋体" w:cs="宋体"/>
                <w:sz w:val="24"/>
              </w:rPr>
            </w:pPr>
            <w:r>
              <w:rPr>
                <w:rFonts w:hint="eastAsia" w:ascii="宋体" w:hAnsi="宋体" w:cs="宋体"/>
                <w:sz w:val="24"/>
              </w:rPr>
              <w:t>（2）直径减少超过7％</w:t>
            </w:r>
          </w:p>
          <w:p>
            <w:pPr>
              <w:rPr>
                <w:rFonts w:hint="eastAsia" w:ascii="宋体" w:hAnsi="宋体" w:cs="宋体"/>
                <w:sz w:val="24"/>
              </w:rPr>
            </w:pPr>
            <w:r>
              <w:rPr>
                <w:rFonts w:hint="eastAsia" w:ascii="宋体" w:hAnsi="宋体" w:cs="宋体"/>
                <w:sz w:val="24"/>
              </w:rPr>
              <w:t>（3）有显著之变形、腐蚀</w:t>
            </w:r>
          </w:p>
          <w:p>
            <w:pPr>
              <w:rPr>
                <w:rFonts w:hint="eastAsia" w:ascii="宋体" w:hAnsi="宋体" w:cs="宋体"/>
                <w:sz w:val="24"/>
              </w:rPr>
            </w:pPr>
            <w:r>
              <w:rPr>
                <w:rFonts w:hint="eastAsia" w:ascii="宋体" w:hAnsi="宋体" w:cs="宋体"/>
                <w:sz w:val="24"/>
              </w:rPr>
              <w:t>（4）发生扭结</w:t>
            </w:r>
          </w:p>
          <w:p>
            <w:pPr>
              <w:rPr>
                <w:rFonts w:hint="eastAsia" w:ascii="宋体" w:hAnsi="宋体" w:cs="宋体"/>
                <w:sz w:val="24"/>
              </w:rPr>
            </w:pPr>
            <w:r>
              <w:rPr>
                <w:rFonts w:hint="eastAsia" w:ascii="宋体" w:hAnsi="宋体" w:cs="宋体"/>
                <w:sz w:val="24"/>
              </w:rPr>
              <w:t>（5）张力应均匀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（6）</w:t>
            </w:r>
          </w:p>
          <w:p>
            <w:pPr>
              <w:jc w:val="center"/>
              <w:rPr>
                <w:rFonts w:hint="eastAsia" w:ascii="宋体" w:hAnsi="宋体" w:cs="宋体"/>
                <w:sz w:val="24"/>
              </w:rPr>
            </w:pPr>
            <w:r>
              <w:rPr>
                <w:rFonts w:hint="eastAsia" w:ascii="宋体" w:hAnsi="宋体" w:cs="宋体"/>
                <w:sz w:val="24"/>
              </w:rPr>
              <w:t>支架</w:t>
            </w:r>
          </w:p>
        </w:tc>
        <w:tc>
          <w:tcPr>
            <w:tcW w:w="480" w:type="dxa"/>
            <w:noWrap w:val="0"/>
            <w:vAlign w:val="center"/>
          </w:tcPr>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36" w:type="dxa"/>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700" w:type="dxa"/>
            <w:noWrap w:val="0"/>
            <w:vAlign w:val="center"/>
          </w:tcPr>
          <w:p>
            <w:pPr>
              <w:rPr>
                <w:rFonts w:hint="eastAsia" w:ascii="宋体" w:hAnsi="宋体" w:cs="宋体"/>
                <w:sz w:val="24"/>
              </w:rPr>
            </w:pPr>
            <w:r>
              <w:rPr>
                <w:rFonts w:hint="eastAsia" w:ascii="宋体" w:hAnsi="宋体" w:cs="宋体"/>
                <w:sz w:val="24"/>
              </w:rPr>
              <w:t>固定情况</w:t>
            </w:r>
          </w:p>
        </w:tc>
        <w:tc>
          <w:tcPr>
            <w:tcW w:w="3780" w:type="dxa"/>
            <w:noWrap w:val="0"/>
            <w:vAlign w:val="center"/>
          </w:tcPr>
          <w:p>
            <w:pPr>
              <w:rPr>
                <w:rFonts w:hint="eastAsia" w:ascii="宋体" w:hAnsi="宋体" w:cs="宋体"/>
                <w:sz w:val="24"/>
              </w:rPr>
            </w:pPr>
            <w:r>
              <w:rPr>
                <w:rFonts w:hint="eastAsia" w:ascii="宋体" w:hAnsi="宋体" w:cs="宋体"/>
                <w:sz w:val="24"/>
              </w:rPr>
              <w:t>所有螺栓应索紧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（7）</w:t>
            </w:r>
          </w:p>
          <w:p>
            <w:pPr>
              <w:jc w:val="center"/>
              <w:rPr>
                <w:rFonts w:hint="eastAsia" w:ascii="宋体" w:hAnsi="宋体" w:cs="宋体"/>
                <w:sz w:val="24"/>
              </w:rPr>
            </w:pPr>
            <w:r>
              <w:rPr>
                <w:rFonts w:hint="eastAsia" w:ascii="宋体" w:hAnsi="宋体" w:cs="宋体"/>
                <w:sz w:val="24"/>
              </w:rPr>
              <w:t>对重</w:t>
            </w:r>
          </w:p>
        </w:tc>
        <w:tc>
          <w:tcPr>
            <w:tcW w:w="480" w:type="dxa"/>
            <w:noWrap w:val="0"/>
            <w:vAlign w:val="center"/>
          </w:tcPr>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36" w:type="dxa"/>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700" w:type="dxa"/>
            <w:noWrap w:val="0"/>
            <w:vAlign w:val="center"/>
          </w:tcPr>
          <w:p>
            <w:pPr>
              <w:numPr>
                <w:ilvl w:val="0"/>
                <w:numId w:val="5"/>
              </w:numPr>
              <w:ind w:left="0" w:firstLine="0"/>
              <w:rPr>
                <w:rFonts w:hint="eastAsia" w:ascii="宋体" w:hAnsi="宋体" w:cs="宋体"/>
                <w:sz w:val="24"/>
              </w:rPr>
            </w:pPr>
            <w:r>
              <w:rPr>
                <w:rFonts w:hint="eastAsia" w:ascii="宋体" w:hAnsi="宋体" w:cs="宋体"/>
                <w:sz w:val="24"/>
              </w:rPr>
              <w:t>压铁检查</w:t>
            </w:r>
          </w:p>
          <w:p>
            <w:pPr>
              <w:numPr>
                <w:ilvl w:val="0"/>
                <w:numId w:val="5"/>
              </w:numPr>
              <w:ind w:left="0" w:firstLine="0"/>
              <w:rPr>
                <w:rFonts w:hint="eastAsia" w:ascii="宋体" w:hAnsi="宋体" w:cs="宋体"/>
                <w:sz w:val="24"/>
              </w:rPr>
            </w:pPr>
            <w:r>
              <w:rPr>
                <w:rFonts w:hint="eastAsia" w:ascii="宋体" w:hAnsi="宋体" w:cs="宋体"/>
                <w:sz w:val="24"/>
              </w:rPr>
              <w:t>导靴检查</w:t>
            </w:r>
          </w:p>
        </w:tc>
        <w:tc>
          <w:tcPr>
            <w:tcW w:w="3780" w:type="dxa"/>
            <w:noWrap w:val="0"/>
            <w:vAlign w:val="center"/>
          </w:tcPr>
          <w:p>
            <w:pPr>
              <w:rPr>
                <w:rFonts w:hint="eastAsia" w:ascii="宋体" w:hAnsi="宋体" w:cs="宋体"/>
                <w:sz w:val="24"/>
              </w:rPr>
            </w:pPr>
            <w:r>
              <w:rPr>
                <w:rFonts w:hint="eastAsia" w:ascii="宋体" w:hAnsi="宋体" w:cs="宋体"/>
                <w:sz w:val="24"/>
              </w:rPr>
              <w:t>有无松动，晃动、异响。</w:t>
            </w:r>
          </w:p>
          <w:p>
            <w:pPr>
              <w:rPr>
                <w:rFonts w:hint="eastAsia" w:ascii="宋体" w:hAnsi="宋体" w:cs="宋体"/>
                <w:sz w:val="24"/>
              </w:rPr>
            </w:pPr>
            <w:r>
              <w:rPr>
                <w:rFonts w:hint="eastAsia" w:ascii="宋体" w:hAnsi="宋体" w:cs="宋体"/>
                <w:sz w:val="24"/>
              </w:rPr>
              <w:t>无显著磨损，龟裂、变形、磨损。</w:t>
            </w:r>
          </w:p>
        </w:tc>
      </w:tr>
    </w:tbl>
    <w:p>
      <w:pPr>
        <w:rPr>
          <w:rFonts w:hint="eastAsia" w:ascii="宋体" w:hAnsi="宋体" w:cs="宋体"/>
          <w:sz w:val="24"/>
        </w:rPr>
      </w:pPr>
    </w:p>
    <w:p>
      <w:pPr>
        <w:rPr>
          <w:rFonts w:hint="eastAsia" w:ascii="宋体" w:hAnsi="宋体" w:cs="宋体"/>
          <w:sz w:val="24"/>
        </w:rPr>
      </w:pPr>
      <w:r>
        <w:rPr>
          <w:rFonts w:hint="eastAsia" w:ascii="宋体" w:hAnsi="宋体" w:cs="宋体"/>
          <w:sz w:val="24"/>
        </w:rPr>
        <w:t>2、轿顶的保养</w:t>
      </w:r>
    </w:p>
    <w:tbl>
      <w:tblPr>
        <w:tblStyle w:val="1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检查项目</w:t>
            </w:r>
          </w:p>
        </w:tc>
        <w:tc>
          <w:tcPr>
            <w:tcW w:w="480" w:type="dxa"/>
            <w:noWrap w:val="0"/>
            <w:vAlign w:val="center"/>
          </w:tcPr>
          <w:p>
            <w:pPr>
              <w:jc w:val="center"/>
              <w:rPr>
                <w:rFonts w:hint="eastAsia" w:ascii="宋体" w:hAnsi="宋体" w:cs="宋体"/>
                <w:sz w:val="24"/>
              </w:rPr>
            </w:pPr>
            <w:r>
              <w:rPr>
                <w:rFonts w:hint="eastAsia" w:ascii="宋体" w:hAnsi="宋体" w:cs="宋体"/>
                <w:sz w:val="24"/>
              </w:rPr>
              <w:t>方式</w:t>
            </w:r>
          </w:p>
        </w:tc>
        <w:tc>
          <w:tcPr>
            <w:tcW w:w="836" w:type="dxa"/>
            <w:noWrap w:val="0"/>
            <w:vAlign w:val="center"/>
          </w:tcPr>
          <w:p>
            <w:pPr>
              <w:jc w:val="center"/>
              <w:rPr>
                <w:rFonts w:hint="eastAsia" w:ascii="宋体" w:hAnsi="宋体" w:cs="宋体"/>
                <w:sz w:val="24"/>
              </w:rPr>
            </w:pPr>
            <w:r>
              <w:rPr>
                <w:rFonts w:hint="eastAsia" w:ascii="宋体" w:hAnsi="宋体" w:cs="宋体"/>
                <w:sz w:val="24"/>
              </w:rPr>
              <w:t>检 查 内 容</w:t>
            </w:r>
          </w:p>
        </w:tc>
        <w:tc>
          <w:tcPr>
            <w:tcW w:w="2700" w:type="dxa"/>
            <w:noWrap w:val="0"/>
            <w:vAlign w:val="center"/>
          </w:tcPr>
          <w:p>
            <w:pPr>
              <w:jc w:val="center"/>
              <w:rPr>
                <w:rFonts w:hint="eastAsia" w:ascii="宋体" w:hAnsi="宋体" w:cs="宋体"/>
                <w:sz w:val="24"/>
              </w:rPr>
            </w:pPr>
            <w:r>
              <w:rPr>
                <w:rFonts w:hint="eastAsia" w:ascii="宋体" w:hAnsi="宋体" w:cs="宋体"/>
                <w:sz w:val="24"/>
              </w:rPr>
              <w:t>判 定 标 准</w:t>
            </w:r>
          </w:p>
        </w:tc>
        <w:tc>
          <w:tcPr>
            <w:tcW w:w="3780" w:type="dxa"/>
            <w:noWrap w:val="0"/>
            <w:vAlign w:val="center"/>
          </w:tcPr>
          <w:p>
            <w:pPr>
              <w:jc w:val="center"/>
              <w:rPr>
                <w:rFonts w:hint="eastAsia" w:ascii="宋体" w:hAnsi="宋体" w:cs="宋体"/>
                <w:sz w:val="24"/>
              </w:rPr>
            </w:pPr>
            <w:r>
              <w:rPr>
                <w:rFonts w:hint="eastAsia" w:ascii="宋体" w:hAnsi="宋体" w:cs="宋体"/>
                <w:sz w:val="24"/>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（1）</w:t>
            </w:r>
          </w:p>
          <w:p>
            <w:pPr>
              <w:jc w:val="center"/>
              <w:rPr>
                <w:rFonts w:hint="eastAsia" w:ascii="宋体" w:hAnsi="宋体" w:cs="宋体"/>
                <w:sz w:val="24"/>
              </w:rPr>
            </w:pPr>
            <w:r>
              <w:rPr>
                <w:rFonts w:hint="eastAsia" w:ascii="宋体" w:hAnsi="宋体" w:cs="宋体"/>
                <w:sz w:val="24"/>
              </w:rPr>
              <w:t>外门</w:t>
            </w:r>
          </w:p>
        </w:tc>
        <w:tc>
          <w:tcPr>
            <w:tcW w:w="480" w:type="dxa"/>
            <w:noWrap w:val="0"/>
            <w:vAlign w:val="center"/>
          </w:tcPr>
          <w:p>
            <w:pPr>
              <w:jc w:val="center"/>
              <w:rPr>
                <w:rFonts w:hint="eastAsia" w:ascii="宋体" w:hAnsi="宋体" w:cs="宋体"/>
                <w:sz w:val="24"/>
              </w:rPr>
            </w:pPr>
            <w:r>
              <w:rPr>
                <w:rFonts w:hint="eastAsia" w:ascii="宋体" w:hAnsi="宋体" w:cs="宋体"/>
                <w:sz w:val="24"/>
              </w:rPr>
              <w:t>手</w:t>
            </w:r>
          </w:p>
          <w:p>
            <w:pPr>
              <w:jc w:val="center"/>
              <w:rPr>
                <w:rFonts w:hint="eastAsia" w:ascii="宋体" w:hAnsi="宋体" w:cs="宋体"/>
                <w:sz w:val="24"/>
              </w:rPr>
            </w:pPr>
            <w:r>
              <w:rPr>
                <w:rFonts w:hint="eastAsia" w:ascii="宋体" w:hAnsi="宋体" w:cs="宋体"/>
                <w:sz w:val="24"/>
              </w:rPr>
              <w:t>测</w:t>
            </w:r>
          </w:p>
        </w:tc>
        <w:tc>
          <w:tcPr>
            <w:tcW w:w="836" w:type="dxa"/>
            <w:noWrap w:val="0"/>
            <w:vAlign w:val="center"/>
          </w:tcPr>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700" w:type="dxa"/>
            <w:noWrap w:val="0"/>
            <w:vAlign w:val="center"/>
          </w:tcPr>
          <w:p>
            <w:pPr>
              <w:numPr>
                <w:ilvl w:val="0"/>
                <w:numId w:val="6"/>
              </w:numPr>
              <w:ind w:left="0" w:firstLine="0"/>
              <w:rPr>
                <w:rFonts w:hint="eastAsia" w:ascii="宋体" w:hAnsi="宋体" w:cs="宋体"/>
                <w:sz w:val="24"/>
              </w:rPr>
            </w:pPr>
            <w:r>
              <w:rPr>
                <w:rFonts w:hint="eastAsia" w:ascii="宋体" w:hAnsi="宋体" w:cs="宋体"/>
                <w:sz w:val="24"/>
              </w:rPr>
              <w:t>门连锁检查</w:t>
            </w:r>
          </w:p>
          <w:p>
            <w:pPr>
              <w:numPr>
                <w:ilvl w:val="0"/>
                <w:numId w:val="6"/>
              </w:numPr>
              <w:ind w:left="0" w:firstLine="0"/>
              <w:rPr>
                <w:rFonts w:hint="eastAsia" w:ascii="宋体" w:hAnsi="宋体" w:cs="宋体"/>
                <w:sz w:val="24"/>
              </w:rPr>
            </w:pPr>
            <w:r>
              <w:rPr>
                <w:rFonts w:hint="eastAsia" w:ascii="宋体" w:hAnsi="宋体" w:cs="宋体"/>
                <w:sz w:val="24"/>
              </w:rPr>
              <w:t>门滑板检查</w:t>
            </w:r>
          </w:p>
          <w:p>
            <w:pPr>
              <w:numPr>
                <w:ilvl w:val="0"/>
                <w:numId w:val="6"/>
              </w:numPr>
              <w:ind w:left="0" w:firstLine="0"/>
              <w:rPr>
                <w:rFonts w:hint="eastAsia" w:ascii="宋体" w:hAnsi="宋体" w:cs="宋体"/>
                <w:sz w:val="24"/>
              </w:rPr>
            </w:pPr>
            <w:r>
              <w:rPr>
                <w:rFonts w:hint="eastAsia" w:ascii="宋体" w:hAnsi="宋体" w:cs="宋体"/>
                <w:sz w:val="24"/>
              </w:rPr>
              <w:t>门悬挂系统连接检查、地坎槽检查。</w:t>
            </w:r>
          </w:p>
        </w:tc>
        <w:tc>
          <w:tcPr>
            <w:tcW w:w="3780" w:type="dxa"/>
            <w:noWrap w:val="0"/>
            <w:vAlign w:val="center"/>
          </w:tcPr>
          <w:p>
            <w:pPr>
              <w:numPr>
                <w:ilvl w:val="0"/>
                <w:numId w:val="7"/>
              </w:numPr>
              <w:ind w:left="0" w:firstLine="0"/>
              <w:rPr>
                <w:rFonts w:hint="eastAsia" w:ascii="宋体" w:hAnsi="宋体" w:cs="宋体"/>
                <w:sz w:val="24"/>
              </w:rPr>
            </w:pPr>
            <w:r>
              <w:rPr>
                <w:rFonts w:hint="eastAsia" w:ascii="宋体" w:hAnsi="宋体" w:cs="宋体"/>
                <w:sz w:val="24"/>
              </w:rPr>
              <w:t>动作应灵敏可靠，某一层门锁断开电梯应立即停止，触点无锈蚀、变形。</w:t>
            </w:r>
          </w:p>
          <w:p>
            <w:pPr>
              <w:rPr>
                <w:rFonts w:hint="eastAsia" w:ascii="宋体" w:hAnsi="宋体" w:cs="宋体"/>
                <w:sz w:val="24"/>
              </w:rPr>
            </w:pPr>
            <w:r>
              <w:rPr>
                <w:rFonts w:hint="eastAsia" w:ascii="宋体" w:hAnsi="宋体" w:cs="宋体"/>
                <w:sz w:val="24"/>
              </w:rPr>
              <w:t>（2）门滑道不应有油污、异物。</w:t>
            </w:r>
          </w:p>
          <w:p>
            <w:pPr>
              <w:rPr>
                <w:rFonts w:hint="eastAsia" w:ascii="宋体" w:hAnsi="宋体" w:cs="宋体"/>
                <w:sz w:val="24"/>
              </w:rPr>
            </w:pPr>
            <w:r>
              <w:rPr>
                <w:rFonts w:hint="eastAsia" w:ascii="宋体" w:hAnsi="宋体" w:cs="宋体"/>
                <w:sz w:val="24"/>
              </w:rPr>
              <w:t>（3）所有螺栓应索紧，钢丝绳张力适当，地坎槽应无异物，开门锁应灵活、有效。</w:t>
            </w:r>
          </w:p>
          <w:p>
            <w:pPr>
              <w:rPr>
                <w:rFonts w:hint="eastAsia" w:ascii="宋体" w:hAnsi="宋体" w:cs="宋体"/>
                <w:sz w:val="24"/>
              </w:rPr>
            </w:pPr>
            <w:r>
              <w:rPr>
                <w:rFonts w:hint="eastAsia" w:ascii="宋体" w:hAnsi="宋体" w:cs="宋体"/>
                <w:sz w:val="24"/>
              </w:rPr>
              <w:t>开关门应无振动、摩擦痕迹、异响。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24" w:type="dxa"/>
            <w:noWrap w:val="0"/>
            <w:vAlign w:val="center"/>
          </w:tcPr>
          <w:p>
            <w:pPr>
              <w:jc w:val="center"/>
              <w:rPr>
                <w:rFonts w:hint="eastAsia" w:ascii="宋体" w:hAnsi="宋体" w:cs="宋体"/>
                <w:sz w:val="24"/>
              </w:rPr>
            </w:pPr>
            <w:r>
              <w:rPr>
                <w:rFonts w:hint="eastAsia" w:ascii="宋体" w:hAnsi="宋体" w:cs="宋体"/>
                <w:sz w:val="24"/>
              </w:rPr>
              <w:t>（2）</w:t>
            </w:r>
          </w:p>
          <w:p>
            <w:pPr>
              <w:jc w:val="center"/>
              <w:rPr>
                <w:rFonts w:hint="eastAsia" w:ascii="宋体" w:hAnsi="宋体" w:cs="宋体"/>
                <w:sz w:val="24"/>
              </w:rPr>
            </w:pPr>
            <w:r>
              <w:rPr>
                <w:rFonts w:hint="eastAsia" w:ascii="宋体" w:hAnsi="宋体" w:cs="宋体"/>
                <w:sz w:val="24"/>
              </w:rPr>
              <w:t>电缆</w:t>
            </w:r>
          </w:p>
        </w:tc>
        <w:tc>
          <w:tcPr>
            <w:tcW w:w="480" w:type="dxa"/>
            <w:noWrap w:val="0"/>
            <w:vAlign w:val="center"/>
          </w:tcPr>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tc>
        <w:tc>
          <w:tcPr>
            <w:tcW w:w="836" w:type="dxa"/>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700" w:type="dxa"/>
            <w:noWrap w:val="0"/>
            <w:vAlign w:val="center"/>
          </w:tcPr>
          <w:p>
            <w:pPr>
              <w:rPr>
                <w:rFonts w:hint="eastAsia" w:ascii="宋体" w:hAnsi="宋体" w:cs="宋体"/>
                <w:sz w:val="24"/>
              </w:rPr>
            </w:pPr>
            <w:r>
              <w:rPr>
                <w:rFonts w:hint="eastAsia" w:ascii="宋体" w:hAnsi="宋体" w:cs="宋体"/>
                <w:sz w:val="24"/>
              </w:rPr>
              <w:t>位置及电缆本身</w:t>
            </w:r>
          </w:p>
        </w:tc>
        <w:tc>
          <w:tcPr>
            <w:tcW w:w="3780" w:type="dxa"/>
            <w:noWrap w:val="0"/>
            <w:vAlign w:val="center"/>
          </w:tcPr>
          <w:p>
            <w:pPr>
              <w:rPr>
                <w:rFonts w:hint="eastAsia" w:ascii="宋体" w:hAnsi="宋体" w:cs="宋体"/>
                <w:sz w:val="24"/>
              </w:rPr>
            </w:pPr>
          </w:p>
          <w:p>
            <w:pPr>
              <w:rPr>
                <w:rFonts w:hint="eastAsia" w:ascii="宋体" w:hAnsi="宋体" w:cs="宋体"/>
                <w:sz w:val="24"/>
              </w:rPr>
            </w:pPr>
            <w:r>
              <w:rPr>
                <w:rFonts w:hint="eastAsia" w:ascii="宋体" w:hAnsi="宋体" w:cs="宋体"/>
                <w:sz w:val="24"/>
              </w:rPr>
              <w:t>应无移位、不应有断裂、腐化。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24"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p>
            <w:pPr>
              <w:jc w:val="center"/>
              <w:rPr>
                <w:rFonts w:hint="eastAsia" w:ascii="宋体" w:hAnsi="宋体" w:cs="宋体"/>
                <w:sz w:val="24"/>
              </w:rPr>
            </w:pPr>
            <w:r>
              <w:rPr>
                <w:rFonts w:hint="eastAsia" w:ascii="宋体" w:hAnsi="宋体" w:cs="宋体"/>
                <w:sz w:val="24"/>
              </w:rPr>
              <w:t>井道各信息开关</w:t>
            </w:r>
          </w:p>
        </w:tc>
        <w:tc>
          <w:tcPr>
            <w:tcW w:w="480"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36" w:type="dxa"/>
            <w:tcBorders>
              <w:bottom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700" w:type="dxa"/>
            <w:tcBorders>
              <w:bottom w:val="single" w:color="auto" w:sz="4" w:space="0"/>
            </w:tcBorders>
            <w:noWrap w:val="0"/>
            <w:vAlign w:val="center"/>
          </w:tcPr>
          <w:p>
            <w:pPr>
              <w:numPr>
                <w:ilvl w:val="0"/>
                <w:numId w:val="8"/>
              </w:numPr>
              <w:ind w:left="0" w:firstLine="0"/>
              <w:rPr>
                <w:rFonts w:hint="eastAsia" w:ascii="宋体" w:hAnsi="宋体" w:cs="宋体"/>
                <w:sz w:val="24"/>
              </w:rPr>
            </w:pPr>
            <w:r>
              <w:rPr>
                <w:rFonts w:hint="eastAsia" w:ascii="宋体" w:hAnsi="宋体" w:cs="宋体"/>
                <w:sz w:val="24"/>
              </w:rPr>
              <w:t>极限、急停</w:t>
            </w:r>
          </w:p>
          <w:p>
            <w:pPr>
              <w:numPr>
                <w:ilvl w:val="0"/>
                <w:numId w:val="8"/>
              </w:numPr>
              <w:ind w:left="0" w:firstLine="0"/>
              <w:rPr>
                <w:rFonts w:hint="eastAsia" w:ascii="宋体" w:hAnsi="宋体" w:cs="宋体"/>
                <w:sz w:val="24"/>
              </w:rPr>
            </w:pPr>
            <w:r>
              <w:rPr>
                <w:rFonts w:hint="eastAsia" w:ascii="宋体" w:hAnsi="宋体" w:cs="宋体"/>
                <w:sz w:val="24"/>
              </w:rPr>
              <w:t>上下限位</w:t>
            </w:r>
          </w:p>
          <w:p>
            <w:pPr>
              <w:numPr>
                <w:ilvl w:val="0"/>
                <w:numId w:val="8"/>
              </w:numPr>
              <w:ind w:left="0" w:firstLine="0"/>
              <w:rPr>
                <w:rFonts w:hint="eastAsia" w:ascii="宋体" w:hAnsi="宋体" w:cs="宋体"/>
                <w:sz w:val="24"/>
              </w:rPr>
            </w:pPr>
            <w:r>
              <w:rPr>
                <w:rFonts w:hint="eastAsia" w:ascii="宋体" w:hAnsi="宋体" w:cs="宋体"/>
                <w:sz w:val="24"/>
              </w:rPr>
              <w:t>上下强迫减速</w:t>
            </w:r>
          </w:p>
        </w:tc>
        <w:tc>
          <w:tcPr>
            <w:tcW w:w="3780" w:type="dxa"/>
            <w:tcBorders>
              <w:bottom w:val="single" w:color="auto" w:sz="4" w:space="0"/>
            </w:tcBorders>
            <w:noWrap w:val="0"/>
            <w:vAlign w:val="center"/>
          </w:tcPr>
          <w:p>
            <w:pPr>
              <w:numPr>
                <w:ilvl w:val="0"/>
                <w:numId w:val="9"/>
              </w:numPr>
              <w:ind w:left="0" w:firstLine="0"/>
              <w:rPr>
                <w:rFonts w:hint="eastAsia" w:ascii="宋体" w:hAnsi="宋体" w:cs="宋体"/>
                <w:sz w:val="24"/>
              </w:rPr>
            </w:pPr>
            <w:r>
              <w:rPr>
                <w:rFonts w:hint="eastAsia" w:ascii="宋体" w:hAnsi="宋体" w:cs="宋体"/>
                <w:sz w:val="24"/>
              </w:rPr>
              <w:t>一经碰触，电梯应立即停止。</w:t>
            </w:r>
          </w:p>
          <w:p>
            <w:pPr>
              <w:numPr>
                <w:ilvl w:val="0"/>
                <w:numId w:val="9"/>
              </w:numPr>
              <w:ind w:left="0" w:firstLine="0"/>
              <w:rPr>
                <w:rFonts w:hint="eastAsia" w:ascii="宋体" w:hAnsi="宋体" w:cs="宋体"/>
                <w:sz w:val="24"/>
              </w:rPr>
            </w:pPr>
            <w:r>
              <w:rPr>
                <w:rFonts w:hint="eastAsia" w:ascii="宋体" w:hAnsi="宋体" w:cs="宋体"/>
                <w:sz w:val="24"/>
              </w:rPr>
              <w:t>上限位开关一经碰触，电梯应停止上行。</w:t>
            </w:r>
          </w:p>
          <w:p>
            <w:pPr>
              <w:numPr>
                <w:ilvl w:val="0"/>
                <w:numId w:val="9"/>
              </w:numPr>
              <w:ind w:left="0" w:firstLine="0"/>
              <w:rPr>
                <w:rFonts w:hint="eastAsia" w:ascii="宋体" w:hAnsi="宋体" w:cs="宋体"/>
                <w:sz w:val="24"/>
              </w:rPr>
            </w:pPr>
            <w:r>
              <w:rPr>
                <w:rFonts w:hint="eastAsia" w:ascii="宋体" w:hAnsi="宋体" w:cs="宋体"/>
                <w:sz w:val="24"/>
              </w:rPr>
              <w:t>一经碰触电梯应慢速行驶。</w:t>
            </w:r>
          </w:p>
          <w:p>
            <w:pPr>
              <w:rPr>
                <w:rFonts w:hint="eastAsia" w:ascii="宋体" w:hAnsi="宋体" w:cs="宋体"/>
                <w:sz w:val="24"/>
              </w:rPr>
            </w:pPr>
            <w:r>
              <w:rPr>
                <w:rFonts w:hint="eastAsia" w:ascii="宋体" w:hAnsi="宋体" w:cs="宋体"/>
                <w:sz w:val="24"/>
              </w:rPr>
              <w:t>开关盒至撞弓间距为8－10MM。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p>
            <w:pPr>
              <w:jc w:val="center"/>
              <w:rPr>
                <w:rFonts w:hint="eastAsia" w:ascii="宋体" w:hAnsi="宋体" w:cs="宋体"/>
                <w:sz w:val="24"/>
              </w:rPr>
            </w:pPr>
            <w:r>
              <w:rPr>
                <w:rFonts w:hint="eastAsia" w:ascii="宋体" w:hAnsi="宋体" w:cs="宋体"/>
                <w:sz w:val="24"/>
              </w:rPr>
              <w:t>隔磁板</w:t>
            </w:r>
          </w:p>
        </w:tc>
        <w:tc>
          <w:tcPr>
            <w:tcW w:w="480"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tc>
        <w:tc>
          <w:tcPr>
            <w:tcW w:w="836" w:type="dxa"/>
            <w:tcBorders>
              <w:bottom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700" w:type="dxa"/>
            <w:tcBorders>
              <w:bottom w:val="single" w:color="auto" w:sz="4" w:space="0"/>
            </w:tcBorders>
            <w:noWrap w:val="0"/>
            <w:vAlign w:val="center"/>
          </w:tcPr>
          <w:p>
            <w:pPr>
              <w:rPr>
                <w:rFonts w:hint="eastAsia" w:ascii="宋体" w:hAnsi="宋体" w:cs="宋体"/>
                <w:sz w:val="24"/>
              </w:rPr>
            </w:pPr>
            <w:r>
              <w:rPr>
                <w:rFonts w:hint="eastAsia" w:ascii="宋体" w:hAnsi="宋体" w:cs="宋体"/>
                <w:sz w:val="24"/>
              </w:rPr>
              <w:t>（1）固定情况</w:t>
            </w:r>
          </w:p>
          <w:p>
            <w:pPr>
              <w:rPr>
                <w:rFonts w:hint="eastAsia" w:ascii="宋体" w:hAnsi="宋体" w:cs="宋体"/>
                <w:sz w:val="24"/>
              </w:rPr>
            </w:pPr>
            <w:r>
              <w:rPr>
                <w:rFonts w:hint="eastAsia" w:ascii="宋体" w:hAnsi="宋体" w:cs="宋体"/>
                <w:sz w:val="24"/>
              </w:rPr>
              <w:t>（2）间距</w:t>
            </w:r>
          </w:p>
        </w:tc>
        <w:tc>
          <w:tcPr>
            <w:tcW w:w="3780" w:type="dxa"/>
            <w:tcBorders>
              <w:bottom w:val="single" w:color="auto" w:sz="4" w:space="0"/>
            </w:tcBorders>
            <w:noWrap w:val="0"/>
            <w:vAlign w:val="center"/>
          </w:tcPr>
          <w:p>
            <w:pPr>
              <w:rPr>
                <w:rFonts w:hint="eastAsia" w:ascii="宋体" w:hAnsi="宋体" w:cs="宋体"/>
                <w:sz w:val="24"/>
              </w:rPr>
            </w:pPr>
            <w:r>
              <w:rPr>
                <w:rFonts w:hint="eastAsia" w:ascii="宋体" w:hAnsi="宋体" w:cs="宋体"/>
                <w:sz w:val="24"/>
              </w:rPr>
              <w:t>（1）螺栓应紧固</w:t>
            </w:r>
          </w:p>
          <w:p>
            <w:pPr>
              <w:rPr>
                <w:rFonts w:hint="eastAsia" w:ascii="宋体" w:hAnsi="宋体" w:cs="宋体"/>
                <w:sz w:val="24"/>
              </w:rPr>
            </w:pPr>
            <w:r>
              <w:rPr>
                <w:rFonts w:hint="eastAsia" w:ascii="宋体" w:hAnsi="宋体" w:cs="宋体"/>
                <w:sz w:val="24"/>
              </w:rPr>
              <w:t>（2）应分中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424"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p>
            <w:pPr>
              <w:jc w:val="center"/>
              <w:rPr>
                <w:rFonts w:hint="eastAsia" w:ascii="宋体" w:hAnsi="宋体" w:cs="宋体"/>
                <w:sz w:val="24"/>
              </w:rPr>
            </w:pPr>
            <w:r>
              <w:rPr>
                <w:rFonts w:hint="eastAsia" w:ascii="宋体" w:hAnsi="宋体" w:cs="宋体"/>
                <w:sz w:val="24"/>
              </w:rPr>
              <w:t>配电盘</w:t>
            </w:r>
          </w:p>
        </w:tc>
        <w:tc>
          <w:tcPr>
            <w:tcW w:w="480"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tc>
        <w:tc>
          <w:tcPr>
            <w:tcW w:w="836" w:type="dxa"/>
            <w:tcBorders>
              <w:bottom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700" w:type="dxa"/>
            <w:tcBorders>
              <w:bottom w:val="single" w:color="auto" w:sz="4" w:space="0"/>
            </w:tcBorders>
            <w:noWrap w:val="0"/>
            <w:vAlign w:val="center"/>
          </w:tcPr>
          <w:p>
            <w:pPr>
              <w:rPr>
                <w:rFonts w:hint="eastAsia" w:ascii="宋体" w:hAnsi="宋体" w:cs="宋体"/>
                <w:sz w:val="24"/>
              </w:rPr>
            </w:pPr>
            <w:r>
              <w:rPr>
                <w:rFonts w:hint="eastAsia" w:ascii="宋体" w:hAnsi="宋体" w:cs="宋体"/>
                <w:sz w:val="24"/>
              </w:rPr>
              <w:t>配线检查</w:t>
            </w:r>
          </w:p>
        </w:tc>
        <w:tc>
          <w:tcPr>
            <w:tcW w:w="3780" w:type="dxa"/>
            <w:tcBorders>
              <w:bottom w:val="single" w:color="auto" w:sz="4" w:space="0"/>
            </w:tcBorders>
            <w:noWrap w:val="0"/>
            <w:vAlign w:val="center"/>
          </w:tcPr>
          <w:p>
            <w:pPr>
              <w:rPr>
                <w:rFonts w:hint="eastAsia" w:ascii="宋体" w:hAnsi="宋体" w:cs="宋体"/>
                <w:sz w:val="24"/>
              </w:rPr>
            </w:pPr>
            <w:r>
              <w:rPr>
                <w:rFonts w:hint="eastAsia" w:ascii="宋体" w:hAnsi="宋体" w:cs="宋体"/>
                <w:sz w:val="24"/>
              </w:rPr>
              <w:t>应排列整齐，固定良好，接点确实。</w:t>
            </w:r>
          </w:p>
        </w:tc>
      </w:tr>
    </w:tbl>
    <w:p>
      <w:pPr>
        <w:ind w:right="-125" w:rightChars="-52"/>
        <w:rPr>
          <w:rFonts w:hint="eastAsia" w:ascii="宋体" w:hAnsi="宋体" w:cs="宋体"/>
          <w:sz w:val="24"/>
        </w:rPr>
      </w:pPr>
    </w:p>
    <w:p>
      <w:pPr>
        <w:ind w:right="-125" w:rightChars="-52"/>
        <w:rPr>
          <w:rFonts w:hint="eastAsia" w:ascii="宋体" w:hAnsi="宋体" w:cs="宋体"/>
          <w:sz w:val="24"/>
        </w:rPr>
      </w:pPr>
      <w:r>
        <w:rPr>
          <w:rFonts w:hint="eastAsia" w:ascii="宋体" w:hAnsi="宋体" w:cs="宋体"/>
          <w:sz w:val="24"/>
        </w:rPr>
        <w:t>3、轿厢、外呼及底坑的保养</w:t>
      </w:r>
    </w:p>
    <w:tbl>
      <w:tblPr>
        <w:tblStyle w:val="19"/>
        <w:tblW w:w="9278"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495"/>
        <w:gridCol w:w="825"/>
        <w:gridCol w:w="2685"/>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top"/>
          </w:tcPr>
          <w:p>
            <w:pPr>
              <w:ind w:right="-125" w:rightChars="-52"/>
              <w:jc w:val="center"/>
              <w:rPr>
                <w:rFonts w:hint="eastAsia" w:ascii="宋体" w:hAnsi="宋体" w:cs="宋体"/>
                <w:sz w:val="24"/>
              </w:rPr>
            </w:pPr>
            <w:r>
              <w:rPr>
                <w:rFonts w:hint="eastAsia" w:ascii="宋体" w:hAnsi="宋体" w:cs="宋体"/>
                <w:sz w:val="24"/>
              </w:rPr>
              <w:t>检查项目</w:t>
            </w:r>
          </w:p>
        </w:tc>
        <w:tc>
          <w:tcPr>
            <w:tcW w:w="1320" w:type="dxa"/>
            <w:gridSpan w:val="2"/>
            <w:noWrap w:val="0"/>
            <w:vAlign w:val="top"/>
          </w:tcPr>
          <w:p>
            <w:pPr>
              <w:ind w:right="-125" w:rightChars="-52"/>
              <w:rPr>
                <w:rFonts w:hint="eastAsia" w:ascii="宋体" w:hAnsi="宋体" w:cs="宋体"/>
                <w:sz w:val="24"/>
              </w:rPr>
            </w:pPr>
            <w:r>
              <w:rPr>
                <w:rFonts w:hint="eastAsia" w:ascii="宋体" w:hAnsi="宋体" w:cs="宋体"/>
                <w:sz w:val="24"/>
              </w:rPr>
              <w:t>方式</w:t>
            </w:r>
          </w:p>
        </w:tc>
        <w:tc>
          <w:tcPr>
            <w:tcW w:w="2685" w:type="dxa"/>
            <w:noWrap w:val="0"/>
            <w:vAlign w:val="top"/>
          </w:tcPr>
          <w:p>
            <w:pPr>
              <w:ind w:right="-125" w:rightChars="-52"/>
              <w:jc w:val="center"/>
              <w:rPr>
                <w:rFonts w:hint="eastAsia" w:ascii="宋体" w:hAnsi="宋体" w:cs="宋体"/>
                <w:sz w:val="24"/>
              </w:rPr>
            </w:pPr>
            <w:r>
              <w:rPr>
                <w:rFonts w:hint="eastAsia" w:ascii="宋体" w:hAnsi="宋体" w:cs="宋体"/>
                <w:sz w:val="24"/>
              </w:rPr>
              <w:t>检查内容</w:t>
            </w:r>
          </w:p>
        </w:tc>
        <w:tc>
          <w:tcPr>
            <w:tcW w:w="3848" w:type="dxa"/>
            <w:noWrap w:val="0"/>
            <w:vAlign w:val="top"/>
          </w:tcPr>
          <w:p>
            <w:pPr>
              <w:ind w:right="-125" w:rightChars="-52"/>
              <w:jc w:val="center"/>
              <w:rPr>
                <w:rFonts w:hint="eastAsia" w:ascii="宋体" w:hAnsi="宋体" w:cs="宋体"/>
                <w:sz w:val="24"/>
              </w:rPr>
            </w:pPr>
            <w:r>
              <w:rPr>
                <w:rFonts w:hint="eastAsia" w:ascii="宋体" w:hAnsi="宋体" w:cs="宋体"/>
                <w:sz w:val="24"/>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trPr>
        <w:tc>
          <w:tcPr>
            <w:tcW w:w="1425"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p>
            <w:pPr>
              <w:jc w:val="center"/>
              <w:rPr>
                <w:rFonts w:hint="eastAsia" w:ascii="宋体" w:hAnsi="宋体" w:cs="宋体"/>
                <w:sz w:val="24"/>
              </w:rPr>
            </w:pPr>
            <w:r>
              <w:rPr>
                <w:rFonts w:hint="eastAsia" w:ascii="宋体" w:hAnsi="宋体" w:cs="宋体"/>
                <w:sz w:val="24"/>
              </w:rPr>
              <w:t>轿厢及周壁</w:t>
            </w:r>
          </w:p>
        </w:tc>
        <w:tc>
          <w:tcPr>
            <w:tcW w:w="495" w:type="dxa"/>
            <w:tcBorders>
              <w:bottom w:val="single" w:color="auto" w:sz="4" w:space="0"/>
            </w:tcBorders>
            <w:noWrap w:val="0"/>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tc>
        <w:tc>
          <w:tcPr>
            <w:tcW w:w="825" w:type="dxa"/>
            <w:tcBorders>
              <w:bottom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685" w:type="dxa"/>
            <w:tcBorders>
              <w:bottom w:val="single" w:color="auto" w:sz="4" w:space="0"/>
            </w:tcBorders>
            <w:noWrap w:val="0"/>
            <w:vAlign w:val="center"/>
          </w:tcPr>
          <w:p>
            <w:pPr>
              <w:ind w:right="-125" w:rightChars="-52"/>
              <w:rPr>
                <w:rFonts w:hint="eastAsia" w:ascii="宋体" w:hAnsi="宋体" w:cs="宋体"/>
                <w:sz w:val="24"/>
              </w:rPr>
            </w:pPr>
            <w:r>
              <w:rPr>
                <w:rFonts w:hint="eastAsia" w:ascii="宋体" w:hAnsi="宋体" w:cs="宋体"/>
                <w:sz w:val="24"/>
              </w:rPr>
              <w:t>1：主要结构</w:t>
            </w:r>
          </w:p>
          <w:p>
            <w:pPr>
              <w:ind w:right="-125" w:rightChars="-52"/>
              <w:rPr>
                <w:rFonts w:hint="eastAsia" w:ascii="宋体" w:hAnsi="宋体" w:cs="宋体"/>
                <w:sz w:val="24"/>
              </w:rPr>
            </w:pPr>
            <w:r>
              <w:rPr>
                <w:rFonts w:hint="eastAsia" w:ascii="宋体" w:hAnsi="宋体" w:cs="宋体"/>
                <w:sz w:val="24"/>
              </w:rPr>
              <w:t>2：两坎间隙</w:t>
            </w:r>
          </w:p>
          <w:p>
            <w:pPr>
              <w:ind w:right="-125" w:rightChars="-52"/>
              <w:rPr>
                <w:rFonts w:hint="eastAsia" w:ascii="宋体" w:hAnsi="宋体" w:cs="宋体"/>
                <w:sz w:val="24"/>
              </w:rPr>
            </w:pPr>
            <w:r>
              <w:rPr>
                <w:rFonts w:hint="eastAsia" w:ascii="宋体" w:hAnsi="宋体" w:cs="宋体"/>
                <w:sz w:val="24"/>
              </w:rPr>
              <w:t>3：通讯、照明、应急照明、通风及运行噪音。</w:t>
            </w:r>
          </w:p>
          <w:p>
            <w:pPr>
              <w:ind w:right="-125" w:rightChars="-52"/>
              <w:rPr>
                <w:rFonts w:hint="eastAsia" w:ascii="宋体" w:hAnsi="宋体" w:cs="宋体"/>
                <w:sz w:val="24"/>
              </w:rPr>
            </w:pPr>
            <w:r>
              <w:rPr>
                <w:rFonts w:hint="eastAsia" w:ascii="宋体" w:hAnsi="宋体" w:cs="宋体"/>
                <w:sz w:val="24"/>
              </w:rPr>
              <w:t>4：操作说明</w:t>
            </w:r>
          </w:p>
          <w:p>
            <w:pPr>
              <w:ind w:right="-125" w:rightChars="-52"/>
              <w:rPr>
                <w:rFonts w:hint="eastAsia" w:ascii="宋体" w:hAnsi="宋体" w:cs="宋体"/>
                <w:sz w:val="24"/>
              </w:rPr>
            </w:pPr>
            <w:r>
              <w:rPr>
                <w:rFonts w:hint="eastAsia" w:ascii="宋体" w:hAnsi="宋体" w:cs="宋体"/>
                <w:sz w:val="24"/>
              </w:rPr>
              <w:t>5：紧急联络说明</w:t>
            </w:r>
          </w:p>
          <w:p>
            <w:pPr>
              <w:ind w:right="-125" w:rightChars="-52"/>
              <w:rPr>
                <w:rFonts w:hint="eastAsia" w:ascii="宋体" w:hAnsi="宋体" w:cs="宋体"/>
                <w:sz w:val="24"/>
              </w:rPr>
            </w:pPr>
            <w:r>
              <w:rPr>
                <w:rFonts w:hint="eastAsia" w:ascii="宋体" w:hAnsi="宋体" w:cs="宋体"/>
                <w:sz w:val="24"/>
              </w:rPr>
              <w:t>6：载重量、保修单位及合格证</w:t>
            </w:r>
          </w:p>
        </w:tc>
        <w:tc>
          <w:tcPr>
            <w:tcW w:w="3848" w:type="dxa"/>
            <w:tcBorders>
              <w:bottom w:val="single" w:color="auto" w:sz="4" w:space="0"/>
            </w:tcBorders>
            <w:noWrap w:val="0"/>
            <w:vAlign w:val="center"/>
          </w:tcPr>
          <w:p>
            <w:pPr>
              <w:ind w:right="-125" w:rightChars="-52"/>
              <w:rPr>
                <w:rFonts w:hint="eastAsia" w:ascii="宋体" w:hAnsi="宋体" w:cs="宋体"/>
                <w:sz w:val="24"/>
              </w:rPr>
            </w:pPr>
            <w:r>
              <w:rPr>
                <w:rFonts w:hint="eastAsia" w:ascii="宋体" w:hAnsi="宋体" w:cs="宋体"/>
                <w:sz w:val="24"/>
              </w:rPr>
              <w:t>不应以易燃材料围堵轿壁，吊顶应安装牢固。</w:t>
            </w:r>
          </w:p>
          <w:p>
            <w:pPr>
              <w:ind w:right="-125" w:rightChars="-52"/>
              <w:rPr>
                <w:rFonts w:hint="eastAsia" w:ascii="宋体" w:hAnsi="宋体" w:cs="宋体"/>
                <w:sz w:val="24"/>
              </w:rPr>
            </w:pPr>
            <w:r>
              <w:rPr>
                <w:rFonts w:hint="eastAsia" w:ascii="宋体" w:hAnsi="宋体" w:cs="宋体"/>
                <w:sz w:val="24"/>
              </w:rPr>
              <w:t>间隙应在3CM＋3MM之内。</w:t>
            </w:r>
          </w:p>
          <w:p>
            <w:pPr>
              <w:ind w:right="-125" w:rightChars="-52"/>
              <w:rPr>
                <w:rFonts w:hint="eastAsia" w:ascii="宋体" w:hAnsi="宋体" w:cs="宋体"/>
                <w:sz w:val="24"/>
              </w:rPr>
            </w:pPr>
            <w:r>
              <w:rPr>
                <w:rFonts w:hint="eastAsia" w:ascii="宋体" w:hAnsi="宋体" w:cs="宋体"/>
                <w:sz w:val="24"/>
              </w:rPr>
              <w:t>对讲机、应急灯应工作正常，通风机照明情况应良好。</w:t>
            </w:r>
          </w:p>
          <w:p>
            <w:pPr>
              <w:ind w:right="-125" w:rightChars="-52"/>
              <w:rPr>
                <w:rFonts w:hint="eastAsia" w:ascii="宋体" w:hAnsi="宋体" w:cs="宋体"/>
                <w:sz w:val="24"/>
              </w:rPr>
            </w:pPr>
            <w:r>
              <w:rPr>
                <w:rFonts w:hint="eastAsia" w:ascii="宋体" w:hAnsi="宋体" w:cs="宋体"/>
                <w:sz w:val="24"/>
              </w:rPr>
              <w:t>电梯运行时应无异常噪音。</w:t>
            </w:r>
          </w:p>
          <w:p>
            <w:pPr>
              <w:ind w:right="-125" w:rightChars="-52"/>
              <w:rPr>
                <w:rFonts w:hint="eastAsia" w:ascii="宋体" w:hAnsi="宋体" w:cs="宋体"/>
                <w:sz w:val="24"/>
              </w:rPr>
            </w:pPr>
            <w:r>
              <w:rPr>
                <w:rFonts w:hint="eastAsia" w:ascii="宋体" w:hAnsi="宋体" w:cs="宋体"/>
                <w:sz w:val="24"/>
              </w:rPr>
              <w:t>操作说明应清楚易懂，应贴于易见之处。</w:t>
            </w:r>
          </w:p>
          <w:p>
            <w:pPr>
              <w:ind w:right="-125" w:rightChars="-52"/>
              <w:rPr>
                <w:rFonts w:hint="eastAsia" w:ascii="宋体" w:hAnsi="宋体" w:cs="宋体"/>
                <w:sz w:val="24"/>
              </w:rPr>
            </w:pPr>
            <w:r>
              <w:rPr>
                <w:rFonts w:hint="eastAsia" w:ascii="宋体" w:hAnsi="宋体" w:cs="宋体"/>
                <w:sz w:val="24"/>
              </w:rPr>
              <w:t>应详细清楚应贴于易见之处。</w:t>
            </w:r>
          </w:p>
          <w:p>
            <w:pPr>
              <w:ind w:right="-125" w:rightChars="-52"/>
              <w:rPr>
                <w:rFonts w:hint="eastAsia" w:ascii="宋体" w:hAnsi="宋体" w:cs="宋体"/>
                <w:sz w:val="24"/>
              </w:rPr>
            </w:pPr>
            <w:r>
              <w:rPr>
                <w:rFonts w:hint="eastAsia" w:ascii="宋体" w:hAnsi="宋体" w:cs="宋体"/>
                <w:sz w:val="24"/>
              </w:rPr>
              <w:t>内容应确实，应贴于易见之处。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25" w:type="dxa"/>
            <w:noWrap w:val="0"/>
            <w:vAlign w:val="center"/>
          </w:tcPr>
          <w:p>
            <w:pPr>
              <w:jc w:val="center"/>
              <w:rPr>
                <w:rFonts w:hint="eastAsia" w:ascii="宋体" w:hAnsi="宋体" w:cs="宋体"/>
                <w:sz w:val="24"/>
              </w:rPr>
            </w:pPr>
            <w:r>
              <w:rPr>
                <w:rFonts w:hint="eastAsia" w:ascii="宋体" w:hAnsi="宋体" w:cs="宋体"/>
                <w:sz w:val="24"/>
              </w:rPr>
              <w:t>（2）</w:t>
            </w:r>
          </w:p>
          <w:p>
            <w:pPr>
              <w:jc w:val="center"/>
              <w:rPr>
                <w:rFonts w:hint="eastAsia" w:ascii="宋体" w:hAnsi="宋体" w:cs="宋体"/>
                <w:sz w:val="24"/>
              </w:rPr>
            </w:pPr>
            <w:r>
              <w:rPr>
                <w:rFonts w:hint="eastAsia" w:ascii="宋体" w:hAnsi="宋体" w:cs="宋体"/>
                <w:sz w:val="24"/>
              </w:rPr>
              <w:t>轿门系统</w:t>
            </w:r>
          </w:p>
        </w:tc>
        <w:tc>
          <w:tcPr>
            <w:tcW w:w="495" w:type="dxa"/>
            <w:noWrap w:val="0"/>
            <w:vAlign w:val="center"/>
          </w:tcPr>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25" w:type="dxa"/>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685" w:type="dxa"/>
            <w:noWrap w:val="0"/>
            <w:vAlign w:val="center"/>
          </w:tcPr>
          <w:p>
            <w:pPr>
              <w:ind w:right="-125" w:rightChars="-52"/>
              <w:rPr>
                <w:rFonts w:hint="eastAsia" w:ascii="宋体" w:hAnsi="宋体" w:cs="宋体"/>
                <w:sz w:val="24"/>
              </w:rPr>
            </w:pPr>
            <w:r>
              <w:rPr>
                <w:rFonts w:hint="eastAsia" w:ascii="宋体" w:hAnsi="宋体" w:cs="宋体"/>
                <w:sz w:val="24"/>
              </w:rPr>
              <w:t>1：安全触板、光幕</w:t>
            </w:r>
          </w:p>
          <w:p>
            <w:pPr>
              <w:ind w:right="-125" w:rightChars="-52"/>
              <w:rPr>
                <w:rFonts w:hint="eastAsia" w:ascii="宋体" w:hAnsi="宋体" w:cs="宋体"/>
                <w:sz w:val="24"/>
              </w:rPr>
            </w:pPr>
            <w:r>
              <w:rPr>
                <w:rFonts w:hint="eastAsia" w:ascii="宋体" w:hAnsi="宋体" w:cs="宋体"/>
                <w:sz w:val="24"/>
              </w:rPr>
              <w:t>2：轿门尺寸</w:t>
            </w:r>
          </w:p>
        </w:tc>
        <w:tc>
          <w:tcPr>
            <w:tcW w:w="3848" w:type="dxa"/>
            <w:noWrap w:val="0"/>
            <w:vAlign w:val="center"/>
          </w:tcPr>
          <w:p>
            <w:pPr>
              <w:ind w:right="-125" w:rightChars="-52"/>
              <w:rPr>
                <w:rFonts w:hint="eastAsia" w:ascii="宋体" w:hAnsi="宋体" w:cs="宋体"/>
                <w:sz w:val="24"/>
              </w:rPr>
            </w:pPr>
            <w:r>
              <w:rPr>
                <w:rFonts w:hint="eastAsia" w:ascii="宋体" w:hAnsi="宋体" w:cs="宋体"/>
                <w:sz w:val="24"/>
              </w:rPr>
              <w:t>应灵活有效，开关门无噪声。</w:t>
            </w:r>
          </w:p>
          <w:p>
            <w:pPr>
              <w:ind w:right="-125" w:rightChars="-52"/>
              <w:rPr>
                <w:rFonts w:hint="eastAsia" w:ascii="宋体" w:hAnsi="宋体" w:cs="宋体"/>
                <w:sz w:val="24"/>
              </w:rPr>
            </w:pPr>
            <w:r>
              <w:rPr>
                <w:rFonts w:hint="eastAsia" w:ascii="宋体" w:hAnsi="宋体" w:cs="宋体"/>
                <w:sz w:val="24"/>
              </w:rPr>
              <w:t>与门套间隙＋－5MM，中缝不大于4MM。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425" w:type="dxa"/>
            <w:noWrap w:val="0"/>
            <w:vAlign w:val="center"/>
          </w:tcPr>
          <w:p>
            <w:pPr>
              <w:jc w:val="center"/>
              <w:rPr>
                <w:rFonts w:hint="eastAsia" w:ascii="宋体" w:hAnsi="宋体" w:cs="宋体"/>
                <w:sz w:val="24"/>
              </w:rPr>
            </w:pPr>
            <w:r>
              <w:rPr>
                <w:rFonts w:hint="eastAsia" w:ascii="宋体" w:hAnsi="宋体" w:cs="宋体"/>
                <w:sz w:val="24"/>
              </w:rPr>
              <w:t>（3）底坑</w:t>
            </w:r>
          </w:p>
        </w:tc>
        <w:tc>
          <w:tcPr>
            <w:tcW w:w="495" w:type="dxa"/>
            <w:noWrap w:val="0"/>
            <w:vAlign w:val="center"/>
          </w:tcPr>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25" w:type="dxa"/>
            <w:noWrap w:val="0"/>
            <w:vAlign w:val="center"/>
          </w:tcPr>
          <w:p>
            <w:pPr>
              <w:widowControl/>
              <w:jc w:val="center"/>
              <w:rPr>
                <w:rFonts w:hint="eastAsia" w:ascii="宋体" w:hAnsi="宋体" w:cs="宋体"/>
                <w:sz w:val="24"/>
              </w:rPr>
            </w:pPr>
            <w:r>
              <w:rPr>
                <w:rFonts w:hint="eastAsia" w:ascii="宋体" w:hAnsi="宋体" w:cs="宋体"/>
                <w:sz w:val="24"/>
              </w:rPr>
              <w:t>每</w:t>
            </w:r>
          </w:p>
          <w:p>
            <w:pPr>
              <w:widowControl/>
              <w:jc w:val="center"/>
              <w:rPr>
                <w:rFonts w:hint="eastAsia" w:ascii="宋体" w:hAnsi="宋体" w:cs="宋体"/>
                <w:sz w:val="24"/>
              </w:rPr>
            </w:pPr>
            <w:r>
              <w:rPr>
                <w:rFonts w:hint="eastAsia" w:ascii="宋体" w:hAnsi="宋体" w:cs="宋体"/>
                <w:sz w:val="24"/>
              </w:rPr>
              <w:t>月</w:t>
            </w:r>
          </w:p>
          <w:p>
            <w:pPr>
              <w:widowControl/>
              <w:jc w:val="center"/>
              <w:rPr>
                <w:rFonts w:hint="eastAsia" w:ascii="宋体" w:hAnsi="宋体" w:cs="宋体"/>
                <w:sz w:val="24"/>
              </w:rPr>
            </w:pPr>
            <w:r>
              <w:rPr>
                <w:rFonts w:hint="eastAsia" w:ascii="宋体" w:hAnsi="宋体" w:cs="宋体"/>
                <w:sz w:val="24"/>
              </w:rPr>
              <w:t>二</w:t>
            </w:r>
          </w:p>
          <w:p>
            <w:pPr>
              <w:widowControl/>
              <w:jc w:val="center"/>
              <w:rPr>
                <w:rFonts w:hint="eastAsia" w:ascii="宋体" w:hAnsi="宋体" w:cs="宋体"/>
                <w:sz w:val="24"/>
              </w:rPr>
            </w:pPr>
            <w:r>
              <w:rPr>
                <w:rFonts w:hint="eastAsia" w:ascii="宋体" w:hAnsi="宋体" w:cs="宋体"/>
                <w:sz w:val="24"/>
              </w:rPr>
              <w:t>次</w:t>
            </w:r>
          </w:p>
        </w:tc>
        <w:tc>
          <w:tcPr>
            <w:tcW w:w="2685" w:type="dxa"/>
            <w:noWrap w:val="0"/>
            <w:vAlign w:val="center"/>
          </w:tcPr>
          <w:p>
            <w:pPr>
              <w:ind w:right="-125" w:rightChars="-52"/>
              <w:rPr>
                <w:rFonts w:hint="eastAsia" w:ascii="宋体" w:hAnsi="宋体" w:cs="宋体"/>
                <w:sz w:val="24"/>
              </w:rPr>
            </w:pPr>
            <w:r>
              <w:rPr>
                <w:rFonts w:hint="eastAsia" w:ascii="宋体" w:hAnsi="宋体" w:cs="宋体"/>
                <w:sz w:val="24"/>
              </w:rPr>
              <w:t>1：安全开关</w:t>
            </w:r>
          </w:p>
          <w:p>
            <w:pPr>
              <w:ind w:right="-125" w:rightChars="-52"/>
              <w:rPr>
                <w:rFonts w:hint="eastAsia" w:ascii="宋体" w:hAnsi="宋体" w:cs="宋体"/>
                <w:sz w:val="24"/>
              </w:rPr>
            </w:pPr>
            <w:r>
              <w:rPr>
                <w:rFonts w:hint="eastAsia" w:ascii="宋体" w:hAnsi="宋体" w:cs="宋体"/>
                <w:sz w:val="24"/>
              </w:rPr>
              <w:t>2：照明</w:t>
            </w:r>
          </w:p>
          <w:p>
            <w:pPr>
              <w:ind w:right="-125" w:rightChars="-52"/>
              <w:rPr>
                <w:rFonts w:hint="eastAsia" w:ascii="宋体" w:hAnsi="宋体" w:cs="宋体"/>
                <w:sz w:val="24"/>
              </w:rPr>
            </w:pPr>
            <w:r>
              <w:rPr>
                <w:rFonts w:hint="eastAsia" w:ascii="宋体" w:hAnsi="宋体" w:cs="宋体"/>
                <w:sz w:val="24"/>
              </w:rPr>
              <w:t>3：安全距离</w:t>
            </w:r>
          </w:p>
          <w:p>
            <w:pPr>
              <w:ind w:right="-125" w:rightChars="-52"/>
              <w:rPr>
                <w:rFonts w:hint="eastAsia" w:ascii="宋体" w:hAnsi="宋体" w:cs="宋体"/>
                <w:sz w:val="24"/>
              </w:rPr>
            </w:pPr>
            <w:r>
              <w:rPr>
                <w:rFonts w:hint="eastAsia" w:ascii="宋体" w:hAnsi="宋体" w:cs="宋体"/>
                <w:sz w:val="24"/>
              </w:rPr>
              <w:t>4：底坑地面</w:t>
            </w:r>
          </w:p>
          <w:p>
            <w:pPr>
              <w:ind w:right="-125" w:rightChars="-52"/>
              <w:rPr>
                <w:rFonts w:hint="eastAsia" w:ascii="宋体" w:hAnsi="宋体" w:cs="宋体"/>
                <w:sz w:val="24"/>
              </w:rPr>
            </w:pPr>
            <w:r>
              <w:rPr>
                <w:rFonts w:hint="eastAsia" w:ascii="宋体" w:hAnsi="宋体" w:cs="宋体"/>
                <w:sz w:val="24"/>
              </w:rPr>
              <w:t>5：张力轮</w:t>
            </w:r>
          </w:p>
          <w:p>
            <w:pPr>
              <w:ind w:right="-125" w:rightChars="-52"/>
              <w:rPr>
                <w:rFonts w:hint="eastAsia" w:ascii="宋体" w:hAnsi="宋体" w:cs="宋体"/>
                <w:sz w:val="24"/>
              </w:rPr>
            </w:pPr>
            <w:r>
              <w:rPr>
                <w:rFonts w:hint="eastAsia" w:ascii="宋体" w:hAnsi="宋体" w:cs="宋体"/>
                <w:sz w:val="24"/>
              </w:rPr>
              <w:t>6：补偿链</w:t>
            </w:r>
          </w:p>
          <w:p>
            <w:pPr>
              <w:ind w:right="-125" w:rightChars="-52"/>
              <w:rPr>
                <w:rFonts w:hint="eastAsia" w:ascii="宋体" w:hAnsi="宋体" w:cs="宋体"/>
                <w:sz w:val="24"/>
              </w:rPr>
            </w:pPr>
            <w:r>
              <w:rPr>
                <w:rFonts w:hint="eastAsia" w:ascii="宋体" w:hAnsi="宋体" w:cs="宋体"/>
                <w:sz w:val="24"/>
              </w:rPr>
              <w:t>7：缓冲器</w:t>
            </w:r>
          </w:p>
        </w:tc>
        <w:tc>
          <w:tcPr>
            <w:tcW w:w="3848" w:type="dxa"/>
            <w:noWrap w:val="0"/>
            <w:vAlign w:val="center"/>
          </w:tcPr>
          <w:p>
            <w:pPr>
              <w:ind w:right="-125" w:rightChars="-52"/>
              <w:rPr>
                <w:rFonts w:hint="eastAsia" w:ascii="宋体" w:hAnsi="宋体" w:cs="宋体"/>
                <w:sz w:val="24"/>
              </w:rPr>
            </w:pPr>
            <w:r>
              <w:rPr>
                <w:rFonts w:hint="eastAsia" w:ascii="宋体" w:hAnsi="宋体" w:cs="宋体"/>
                <w:sz w:val="24"/>
              </w:rPr>
              <w:t>1：各安全开关应动作可靠，一经碰触电梯应立即停止。</w:t>
            </w:r>
          </w:p>
          <w:p>
            <w:pPr>
              <w:ind w:right="-125" w:rightChars="-52"/>
              <w:rPr>
                <w:rFonts w:hint="eastAsia" w:ascii="宋体" w:hAnsi="宋体" w:cs="宋体"/>
                <w:sz w:val="24"/>
              </w:rPr>
            </w:pPr>
            <w:r>
              <w:rPr>
                <w:rFonts w:hint="eastAsia" w:ascii="宋体" w:hAnsi="宋体" w:cs="宋体"/>
                <w:sz w:val="24"/>
              </w:rPr>
              <w:t>2；应为36V，100米烛光以上。</w:t>
            </w:r>
          </w:p>
          <w:p>
            <w:pPr>
              <w:ind w:right="-125" w:rightChars="-52"/>
              <w:rPr>
                <w:rFonts w:hint="eastAsia" w:ascii="宋体" w:hAnsi="宋体" w:cs="宋体"/>
                <w:sz w:val="24"/>
              </w:rPr>
            </w:pPr>
            <w:r>
              <w:rPr>
                <w:rFonts w:hint="eastAsia" w:ascii="宋体" w:hAnsi="宋体" w:cs="宋体"/>
                <w:sz w:val="24"/>
              </w:rPr>
              <w:t>3：底坑深度应符合规范，电梯首层平层时，轿厢缓冲距离；油压式为150－400MM；弹簧式为200－350MM。</w:t>
            </w:r>
          </w:p>
          <w:p>
            <w:pPr>
              <w:ind w:right="-125" w:rightChars="-52"/>
              <w:rPr>
                <w:rFonts w:hint="eastAsia" w:ascii="宋体" w:hAnsi="宋体" w:cs="宋体"/>
                <w:sz w:val="24"/>
              </w:rPr>
            </w:pPr>
            <w:r>
              <w:rPr>
                <w:rFonts w:hint="eastAsia" w:ascii="宋体" w:hAnsi="宋体" w:cs="宋体"/>
                <w:sz w:val="24"/>
              </w:rPr>
              <w:t>电梯顶层平层时，对重缓冲距离；油压式为150－400MM，弹簧式为200－350MM</w:t>
            </w:r>
          </w:p>
          <w:p>
            <w:pPr>
              <w:ind w:right="-125" w:rightChars="-52"/>
              <w:rPr>
                <w:rFonts w:hint="eastAsia" w:ascii="宋体" w:hAnsi="宋体" w:cs="宋体"/>
                <w:sz w:val="24"/>
              </w:rPr>
            </w:pPr>
            <w:r>
              <w:rPr>
                <w:rFonts w:hint="eastAsia" w:ascii="宋体" w:hAnsi="宋体" w:cs="宋体"/>
                <w:sz w:val="24"/>
              </w:rPr>
              <w:t>4：底坑地面应无漏水、油污，防护栏安装适当。</w:t>
            </w:r>
          </w:p>
          <w:p>
            <w:pPr>
              <w:ind w:right="-125" w:rightChars="-52"/>
              <w:rPr>
                <w:rFonts w:hint="eastAsia" w:ascii="宋体" w:hAnsi="宋体" w:cs="宋体"/>
                <w:sz w:val="24"/>
              </w:rPr>
            </w:pPr>
            <w:r>
              <w:rPr>
                <w:rFonts w:hint="eastAsia" w:ascii="宋体" w:hAnsi="宋体" w:cs="宋体"/>
                <w:sz w:val="24"/>
              </w:rPr>
              <w:t>5：张力轮运行时应无噪音，与地面距离不小于300MM。</w:t>
            </w:r>
          </w:p>
          <w:p>
            <w:pPr>
              <w:ind w:right="-125" w:rightChars="-52"/>
              <w:rPr>
                <w:rFonts w:hint="eastAsia" w:ascii="宋体" w:hAnsi="宋体" w:cs="宋体"/>
                <w:sz w:val="24"/>
              </w:rPr>
            </w:pPr>
            <w:r>
              <w:rPr>
                <w:rFonts w:hint="eastAsia" w:ascii="宋体" w:hAnsi="宋体" w:cs="宋体"/>
                <w:sz w:val="24"/>
              </w:rPr>
              <w:t>6：应牢固，无扭曲与地面距离不小于150MM。</w:t>
            </w:r>
          </w:p>
          <w:p>
            <w:pPr>
              <w:ind w:right="-125" w:rightChars="-52"/>
              <w:rPr>
                <w:rFonts w:hint="eastAsia" w:ascii="宋体" w:hAnsi="宋体" w:cs="宋体"/>
                <w:sz w:val="24"/>
              </w:rPr>
            </w:pPr>
            <w:r>
              <w:rPr>
                <w:rFonts w:hint="eastAsia" w:ascii="宋体" w:hAnsi="宋体" w:cs="宋体"/>
                <w:sz w:val="24"/>
              </w:rPr>
              <w:t>7：应无锈蚀，复位时间符合要求，油量适当。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25" w:type="dxa"/>
            <w:noWrap w:val="0"/>
            <w:vAlign w:val="center"/>
          </w:tcPr>
          <w:p>
            <w:pPr>
              <w:jc w:val="center"/>
              <w:rPr>
                <w:rFonts w:hint="eastAsia" w:ascii="宋体" w:hAnsi="宋体" w:cs="宋体"/>
                <w:sz w:val="24"/>
              </w:rPr>
            </w:pPr>
            <w:r>
              <w:rPr>
                <w:rFonts w:hint="eastAsia" w:ascii="宋体" w:hAnsi="宋体" w:cs="宋体"/>
                <w:sz w:val="24"/>
              </w:rPr>
              <w:t>（4）</w:t>
            </w:r>
          </w:p>
          <w:p>
            <w:pPr>
              <w:jc w:val="center"/>
              <w:rPr>
                <w:rFonts w:hint="eastAsia" w:ascii="宋体" w:hAnsi="宋体" w:cs="宋体"/>
                <w:sz w:val="24"/>
              </w:rPr>
            </w:pPr>
            <w:r>
              <w:rPr>
                <w:rFonts w:hint="eastAsia" w:ascii="宋体" w:hAnsi="宋体" w:cs="宋体"/>
                <w:sz w:val="24"/>
              </w:rPr>
              <w:t>外呼面板及显示器</w:t>
            </w:r>
          </w:p>
        </w:tc>
        <w:tc>
          <w:tcPr>
            <w:tcW w:w="495" w:type="dxa"/>
            <w:noWrap w:val="0"/>
            <w:vAlign w:val="center"/>
          </w:tcPr>
          <w:p>
            <w:pPr>
              <w:jc w:val="center"/>
              <w:rPr>
                <w:rFonts w:hint="eastAsia" w:ascii="宋体" w:hAnsi="宋体" w:cs="宋体"/>
                <w:sz w:val="24"/>
              </w:rPr>
            </w:pPr>
            <w:r>
              <w:rPr>
                <w:rFonts w:hint="eastAsia" w:ascii="宋体" w:hAnsi="宋体" w:cs="宋体"/>
                <w:sz w:val="24"/>
              </w:rPr>
              <w:t>目</w:t>
            </w:r>
          </w:p>
          <w:p>
            <w:pPr>
              <w:jc w:val="center"/>
              <w:rPr>
                <w:rFonts w:hint="eastAsia" w:ascii="宋体" w:hAnsi="宋体" w:cs="宋体"/>
                <w:sz w:val="24"/>
              </w:rPr>
            </w:pPr>
            <w:r>
              <w:rPr>
                <w:rFonts w:hint="eastAsia" w:ascii="宋体" w:hAnsi="宋体" w:cs="宋体"/>
                <w:sz w:val="24"/>
              </w:rPr>
              <w:t>视</w:t>
            </w:r>
          </w:p>
        </w:tc>
        <w:tc>
          <w:tcPr>
            <w:tcW w:w="825" w:type="dxa"/>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685" w:type="dxa"/>
            <w:noWrap w:val="0"/>
            <w:vAlign w:val="center"/>
          </w:tcPr>
          <w:p>
            <w:pPr>
              <w:ind w:right="-125" w:rightChars="-52"/>
              <w:rPr>
                <w:rFonts w:hint="eastAsia" w:ascii="宋体" w:hAnsi="宋体" w:cs="宋体"/>
                <w:sz w:val="24"/>
              </w:rPr>
            </w:pPr>
            <w:r>
              <w:rPr>
                <w:rFonts w:hint="eastAsia" w:ascii="宋体" w:hAnsi="宋体" w:cs="宋体"/>
                <w:sz w:val="24"/>
              </w:rPr>
              <w:t>1：呼梯按钮</w:t>
            </w:r>
          </w:p>
          <w:p>
            <w:pPr>
              <w:ind w:right="-125" w:rightChars="-52"/>
              <w:rPr>
                <w:rFonts w:hint="eastAsia" w:ascii="宋体" w:hAnsi="宋体" w:cs="宋体"/>
                <w:sz w:val="24"/>
              </w:rPr>
            </w:pPr>
            <w:r>
              <w:rPr>
                <w:rFonts w:hint="eastAsia" w:ascii="宋体" w:hAnsi="宋体" w:cs="宋体"/>
                <w:sz w:val="24"/>
              </w:rPr>
              <w:t>2：显示面板</w:t>
            </w:r>
          </w:p>
        </w:tc>
        <w:tc>
          <w:tcPr>
            <w:tcW w:w="3848" w:type="dxa"/>
            <w:noWrap w:val="0"/>
            <w:vAlign w:val="center"/>
          </w:tcPr>
          <w:p>
            <w:pPr>
              <w:ind w:right="-125" w:rightChars="-52"/>
              <w:rPr>
                <w:rFonts w:hint="eastAsia" w:ascii="宋体" w:hAnsi="宋体" w:cs="宋体"/>
                <w:sz w:val="24"/>
              </w:rPr>
            </w:pPr>
            <w:r>
              <w:rPr>
                <w:rFonts w:hint="eastAsia" w:ascii="宋体" w:hAnsi="宋体" w:cs="宋体"/>
                <w:sz w:val="24"/>
              </w:rPr>
              <w:t>1；动作灵活、有效，无损伤。</w:t>
            </w:r>
          </w:p>
          <w:p>
            <w:pPr>
              <w:ind w:right="-125" w:rightChars="-52"/>
              <w:rPr>
                <w:rFonts w:hint="eastAsia" w:ascii="宋体" w:hAnsi="宋体" w:cs="宋体"/>
                <w:sz w:val="24"/>
              </w:rPr>
            </w:pPr>
            <w:r>
              <w:rPr>
                <w:rFonts w:hint="eastAsia" w:ascii="宋体" w:hAnsi="宋体" w:cs="宋体"/>
                <w:sz w:val="24"/>
              </w:rPr>
              <w:t>2：显示正确，无损伤。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25"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p>
            <w:pPr>
              <w:jc w:val="center"/>
              <w:rPr>
                <w:rFonts w:hint="eastAsia" w:ascii="宋体" w:hAnsi="宋体" w:cs="宋体"/>
                <w:sz w:val="24"/>
              </w:rPr>
            </w:pPr>
            <w:r>
              <w:rPr>
                <w:rFonts w:hint="eastAsia" w:ascii="宋体" w:hAnsi="宋体" w:cs="宋体"/>
                <w:sz w:val="24"/>
              </w:rPr>
              <w:t>厅门</w:t>
            </w:r>
          </w:p>
        </w:tc>
        <w:tc>
          <w:tcPr>
            <w:tcW w:w="495"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实</w:t>
            </w:r>
          </w:p>
          <w:p>
            <w:pPr>
              <w:jc w:val="center"/>
              <w:rPr>
                <w:rFonts w:hint="eastAsia" w:ascii="宋体" w:hAnsi="宋体" w:cs="宋体"/>
                <w:sz w:val="24"/>
              </w:rPr>
            </w:pPr>
            <w:r>
              <w:rPr>
                <w:rFonts w:hint="eastAsia" w:ascii="宋体" w:hAnsi="宋体" w:cs="宋体"/>
                <w:sz w:val="24"/>
              </w:rPr>
              <w:t>测</w:t>
            </w:r>
          </w:p>
        </w:tc>
        <w:tc>
          <w:tcPr>
            <w:tcW w:w="825" w:type="dxa"/>
            <w:tcBorders>
              <w:bottom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每月</w:t>
            </w:r>
          </w:p>
          <w:p>
            <w:pPr>
              <w:widowControl/>
              <w:jc w:val="center"/>
              <w:rPr>
                <w:rFonts w:hint="eastAsia" w:ascii="宋体" w:hAnsi="宋体" w:cs="宋体"/>
                <w:sz w:val="24"/>
              </w:rPr>
            </w:pPr>
            <w:r>
              <w:rPr>
                <w:rFonts w:hint="eastAsia" w:ascii="宋体" w:hAnsi="宋体" w:cs="宋体"/>
                <w:sz w:val="24"/>
              </w:rPr>
              <w:t>二次</w:t>
            </w:r>
          </w:p>
        </w:tc>
        <w:tc>
          <w:tcPr>
            <w:tcW w:w="2685" w:type="dxa"/>
            <w:tcBorders>
              <w:bottom w:val="single" w:color="auto" w:sz="4" w:space="0"/>
            </w:tcBorders>
            <w:noWrap w:val="0"/>
            <w:vAlign w:val="center"/>
          </w:tcPr>
          <w:p>
            <w:pPr>
              <w:ind w:right="-125" w:rightChars="-52"/>
              <w:rPr>
                <w:rFonts w:hint="eastAsia" w:ascii="宋体" w:hAnsi="宋体" w:cs="宋体"/>
                <w:sz w:val="24"/>
              </w:rPr>
            </w:pPr>
            <w:r>
              <w:rPr>
                <w:rFonts w:hint="eastAsia" w:ascii="宋体" w:hAnsi="宋体" w:cs="宋体"/>
                <w:sz w:val="24"/>
              </w:rPr>
              <w:t>1：紧急开门装置</w:t>
            </w:r>
          </w:p>
          <w:p>
            <w:pPr>
              <w:ind w:right="-125" w:rightChars="-52"/>
              <w:rPr>
                <w:rFonts w:hint="eastAsia" w:ascii="宋体" w:hAnsi="宋体" w:cs="宋体"/>
                <w:sz w:val="24"/>
              </w:rPr>
            </w:pPr>
            <w:r>
              <w:rPr>
                <w:rFonts w:hint="eastAsia" w:ascii="宋体" w:hAnsi="宋体" w:cs="宋体"/>
                <w:sz w:val="24"/>
              </w:rPr>
              <w:t>2：机械锁</w:t>
            </w:r>
          </w:p>
          <w:p>
            <w:pPr>
              <w:ind w:right="-125" w:rightChars="-52"/>
              <w:rPr>
                <w:rFonts w:hint="eastAsia" w:ascii="宋体" w:hAnsi="宋体" w:cs="宋体"/>
                <w:sz w:val="24"/>
              </w:rPr>
            </w:pPr>
            <w:r>
              <w:rPr>
                <w:rFonts w:hint="eastAsia" w:ascii="宋体" w:hAnsi="宋体" w:cs="宋体"/>
                <w:sz w:val="24"/>
              </w:rPr>
              <w:t>3：门间隙</w:t>
            </w:r>
          </w:p>
        </w:tc>
        <w:tc>
          <w:tcPr>
            <w:tcW w:w="3848" w:type="dxa"/>
            <w:tcBorders>
              <w:bottom w:val="single" w:color="auto" w:sz="4" w:space="0"/>
            </w:tcBorders>
            <w:noWrap w:val="0"/>
            <w:vAlign w:val="center"/>
          </w:tcPr>
          <w:p>
            <w:pPr>
              <w:ind w:right="-125" w:rightChars="-52"/>
              <w:rPr>
                <w:rFonts w:hint="eastAsia" w:ascii="宋体" w:hAnsi="宋体" w:cs="宋体"/>
                <w:sz w:val="24"/>
              </w:rPr>
            </w:pPr>
            <w:r>
              <w:rPr>
                <w:rFonts w:hint="eastAsia" w:ascii="宋体" w:hAnsi="宋体" w:cs="宋体"/>
                <w:sz w:val="24"/>
              </w:rPr>
              <w:t>1：应用三角钥匙才能开门。</w:t>
            </w:r>
          </w:p>
          <w:p>
            <w:pPr>
              <w:ind w:right="-125" w:rightChars="-52"/>
              <w:rPr>
                <w:rFonts w:hint="eastAsia" w:ascii="宋体" w:hAnsi="宋体" w:cs="宋体"/>
                <w:sz w:val="24"/>
              </w:rPr>
            </w:pPr>
            <w:r>
              <w:rPr>
                <w:rFonts w:hint="eastAsia" w:ascii="宋体" w:hAnsi="宋体" w:cs="宋体"/>
                <w:sz w:val="24"/>
              </w:rPr>
              <w:t>2：动作良好。</w:t>
            </w:r>
          </w:p>
          <w:p>
            <w:pPr>
              <w:ind w:right="-125" w:rightChars="-52"/>
              <w:rPr>
                <w:rFonts w:hint="eastAsia" w:ascii="宋体" w:hAnsi="宋体" w:cs="宋体"/>
                <w:sz w:val="24"/>
              </w:rPr>
            </w:pPr>
            <w:r>
              <w:rPr>
                <w:rFonts w:hint="eastAsia" w:ascii="宋体" w:hAnsi="宋体" w:cs="宋体"/>
                <w:sz w:val="24"/>
              </w:rPr>
              <w:t>3：间隙为5MM左右。</w:t>
            </w:r>
          </w:p>
        </w:tc>
      </w:tr>
    </w:tbl>
    <w:p>
      <w:pPr>
        <w:ind w:right="-125" w:rightChars="-52" w:firstLine="480" w:firstLineChars="200"/>
        <w:rPr>
          <w:rFonts w:hint="eastAsia" w:ascii="宋体" w:hAnsi="宋体" w:cs="宋体"/>
          <w:sz w:val="24"/>
        </w:rPr>
      </w:pPr>
    </w:p>
    <w:p>
      <w:pPr>
        <w:ind w:right="-125" w:rightChars="-52" w:firstLine="480" w:firstLineChars="200"/>
        <w:rPr>
          <w:rFonts w:hint="eastAsia" w:ascii="宋体" w:hAnsi="宋体" w:cs="宋体"/>
          <w:sz w:val="24"/>
        </w:rPr>
      </w:pPr>
      <w:r>
        <w:rPr>
          <w:rFonts w:hint="eastAsia" w:ascii="宋体" w:hAnsi="宋体" w:cs="宋体"/>
          <w:sz w:val="24"/>
        </w:rPr>
        <w:t>4、电梯的定期保养项目</w:t>
      </w:r>
    </w:p>
    <w:tbl>
      <w:tblPr>
        <w:tblStyle w:val="1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688"/>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92" w:type="dxa"/>
            <w:tcBorders>
              <w:top w:val="single" w:color="auto" w:sz="4" w:space="0"/>
              <w:left w:val="single" w:color="auto" w:sz="4" w:space="0"/>
              <w:bottom w:val="single" w:color="auto" w:sz="4" w:space="0"/>
              <w:right w:val="nil"/>
            </w:tcBorders>
            <w:noWrap w:val="0"/>
            <w:vAlign w:val="center"/>
          </w:tcPr>
          <w:p>
            <w:pPr>
              <w:ind w:right="-125" w:rightChars="-52"/>
              <w:jc w:val="center"/>
              <w:rPr>
                <w:rFonts w:hint="eastAsia" w:ascii="宋体" w:hAnsi="宋体" w:cs="宋体"/>
                <w:sz w:val="24"/>
              </w:rPr>
            </w:pPr>
            <w:r>
              <w:rPr>
                <w:rFonts w:hint="eastAsia" w:ascii="宋体" w:hAnsi="宋体" w:cs="宋体"/>
                <w:sz w:val="24"/>
              </w:rPr>
              <w:t>位置</w:t>
            </w:r>
          </w:p>
        </w:tc>
        <w:tc>
          <w:tcPr>
            <w:tcW w:w="2688" w:type="dxa"/>
            <w:tcBorders>
              <w:top w:val="single" w:color="auto" w:sz="4" w:space="0"/>
              <w:left w:val="single" w:color="auto" w:sz="4" w:space="0"/>
              <w:bottom w:val="single" w:color="auto" w:sz="4" w:space="0"/>
              <w:right w:val="nil"/>
            </w:tcBorders>
            <w:noWrap w:val="0"/>
            <w:vAlign w:val="center"/>
          </w:tcPr>
          <w:p>
            <w:pPr>
              <w:ind w:right="-125" w:rightChars="-52"/>
              <w:jc w:val="center"/>
              <w:rPr>
                <w:rFonts w:hint="eastAsia" w:ascii="宋体" w:hAnsi="宋体" w:cs="宋体"/>
                <w:sz w:val="24"/>
              </w:rPr>
            </w:pPr>
            <w:r>
              <w:rPr>
                <w:rFonts w:hint="eastAsia" w:ascii="宋体" w:hAnsi="宋体" w:cs="宋体"/>
                <w:sz w:val="24"/>
              </w:rPr>
              <w:t>项目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left="-24" w:leftChars="-85" w:right="-125" w:rightChars="-52" w:hanging="180" w:hangingChars="75"/>
              <w:jc w:val="center"/>
              <w:rPr>
                <w:rFonts w:hint="eastAsia" w:ascii="宋体" w:hAnsi="宋体" w:cs="宋体"/>
                <w:sz w:val="24"/>
              </w:rPr>
            </w:pPr>
            <w:r>
              <w:rPr>
                <w:rFonts w:hint="eastAsia" w:ascii="宋体" w:hAnsi="宋体" w:cs="宋体"/>
                <w:sz w:val="24"/>
              </w:rPr>
              <w:t>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right="-125" w:rightChars="-52"/>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92" w:type="dxa"/>
            <w:vMerge w:val="restart"/>
            <w:tcBorders>
              <w:top w:val="single" w:color="auto" w:sz="4" w:space="0"/>
              <w:left w:val="single" w:color="auto" w:sz="4" w:space="0"/>
              <w:right w:val="nil"/>
            </w:tcBorders>
            <w:noWrap w:val="0"/>
            <w:vAlign w:val="center"/>
          </w:tcPr>
          <w:p>
            <w:pPr>
              <w:ind w:right="-125" w:rightChars="-52"/>
              <w:jc w:val="center"/>
              <w:rPr>
                <w:rFonts w:hint="eastAsia" w:ascii="宋体" w:hAnsi="宋体" w:cs="宋体"/>
                <w:sz w:val="24"/>
              </w:rPr>
            </w:pPr>
            <w:r>
              <w:rPr>
                <w:rFonts w:hint="eastAsia" w:ascii="宋体" w:hAnsi="宋体" w:cs="宋体"/>
                <w:sz w:val="24"/>
              </w:rPr>
              <w:t>(1)</w:t>
            </w:r>
          </w:p>
          <w:p>
            <w:pPr>
              <w:ind w:right="-125" w:rightChars="-52"/>
              <w:jc w:val="center"/>
              <w:rPr>
                <w:rFonts w:hint="eastAsia" w:ascii="宋体" w:hAnsi="宋体" w:cs="宋体"/>
                <w:sz w:val="24"/>
              </w:rPr>
            </w:pPr>
            <w:r>
              <w:rPr>
                <w:rFonts w:hint="eastAsia" w:ascii="宋体" w:hAnsi="宋体" w:cs="宋体"/>
                <w:sz w:val="24"/>
              </w:rPr>
              <w:t>机</w:t>
            </w:r>
          </w:p>
          <w:p>
            <w:pPr>
              <w:ind w:right="-125" w:rightChars="-52"/>
              <w:jc w:val="center"/>
              <w:rPr>
                <w:rFonts w:hint="eastAsia" w:ascii="宋体" w:hAnsi="宋体" w:cs="宋体"/>
                <w:sz w:val="24"/>
              </w:rPr>
            </w:pPr>
            <w:r>
              <w:rPr>
                <w:rFonts w:hint="eastAsia" w:ascii="宋体" w:hAnsi="宋体" w:cs="宋体"/>
                <w:sz w:val="24"/>
              </w:rPr>
              <w:t>房</w:t>
            </w: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曳引轮垂直度校正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0＋2－0毫米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92" w:type="dxa"/>
            <w:vMerge w:val="continue"/>
            <w:tcBorders>
              <w:left w:val="single" w:color="auto" w:sz="4" w:space="0"/>
              <w:right w:val="nil"/>
            </w:tcBorders>
            <w:noWrap w:val="0"/>
            <w:vAlign w:val="center"/>
          </w:tcPr>
          <w:p>
            <w:pPr>
              <w:ind w:right="-125" w:rightChars="-52"/>
              <w:jc w:val="center"/>
              <w:rPr>
                <w:rFonts w:hint="eastAsia" w:ascii="宋体" w:hAnsi="宋体" w:cs="宋体"/>
                <w:sz w:val="24"/>
              </w:rPr>
            </w:pP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导向轮垂直度校正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0±1.5毫米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092" w:type="dxa"/>
            <w:vMerge w:val="continue"/>
            <w:tcBorders>
              <w:left w:val="single" w:color="auto" w:sz="4" w:space="0"/>
              <w:right w:val="nil"/>
            </w:tcBorders>
            <w:noWrap w:val="0"/>
            <w:vAlign w:val="center"/>
          </w:tcPr>
          <w:p>
            <w:pPr>
              <w:ind w:right="-125" w:rightChars="-52"/>
              <w:jc w:val="center"/>
              <w:rPr>
                <w:rFonts w:hint="eastAsia" w:ascii="宋体" w:hAnsi="宋体" w:cs="宋体"/>
                <w:sz w:val="24"/>
              </w:rPr>
            </w:pP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导向轮与曳引轮平行度校正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误差≤1毫米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92" w:type="dxa"/>
            <w:vMerge w:val="continue"/>
            <w:tcBorders>
              <w:left w:val="single" w:color="auto" w:sz="4" w:space="0"/>
              <w:right w:val="nil"/>
            </w:tcBorders>
            <w:noWrap w:val="0"/>
            <w:vAlign w:val="center"/>
          </w:tcPr>
          <w:p>
            <w:pPr>
              <w:ind w:right="-125" w:rightChars="-52"/>
              <w:jc w:val="center"/>
              <w:rPr>
                <w:rFonts w:hint="eastAsia" w:ascii="宋体" w:hAnsi="宋体" w:cs="宋体"/>
                <w:sz w:val="24"/>
              </w:rPr>
            </w:pP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制动器拆洗</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92" w:type="dxa"/>
            <w:vMerge w:val="continue"/>
            <w:tcBorders>
              <w:left w:val="single" w:color="auto" w:sz="4" w:space="0"/>
              <w:right w:val="nil"/>
            </w:tcBorders>
            <w:noWrap w:val="0"/>
            <w:vAlign w:val="center"/>
          </w:tcPr>
          <w:p>
            <w:pPr>
              <w:ind w:right="-125" w:rightChars="-52"/>
              <w:jc w:val="center"/>
              <w:rPr>
                <w:rFonts w:hint="eastAsia" w:ascii="宋体" w:hAnsi="宋体" w:cs="宋体"/>
                <w:sz w:val="24"/>
              </w:rPr>
            </w:pPr>
          </w:p>
        </w:tc>
        <w:tc>
          <w:tcPr>
            <w:tcW w:w="2688" w:type="dxa"/>
            <w:tcBorders>
              <w:top w:val="single" w:color="auto" w:sz="4" w:space="0"/>
              <w:left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钢丝绳平层标志刷新</w:t>
            </w:r>
          </w:p>
        </w:tc>
        <w:tc>
          <w:tcPr>
            <w:tcW w:w="234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红漆或黄漆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restart"/>
            <w:tcBorders>
              <w:left w:val="single" w:color="auto" w:sz="4" w:space="0"/>
              <w:right w:val="nil"/>
            </w:tcBorders>
            <w:noWrap w:val="0"/>
            <w:vAlign w:val="center"/>
          </w:tcPr>
          <w:p>
            <w:pPr>
              <w:ind w:right="-125" w:rightChars="-52"/>
              <w:jc w:val="center"/>
              <w:rPr>
                <w:rFonts w:hint="eastAsia" w:ascii="宋体" w:hAnsi="宋体" w:cs="宋体"/>
                <w:sz w:val="24"/>
              </w:rPr>
            </w:pPr>
            <w:r>
              <w:rPr>
                <w:rFonts w:hint="eastAsia" w:ascii="宋体" w:hAnsi="宋体" w:cs="宋体"/>
                <w:sz w:val="24"/>
              </w:rPr>
              <w:t>（2）</w:t>
            </w:r>
          </w:p>
          <w:p>
            <w:pPr>
              <w:ind w:right="-125" w:rightChars="-52"/>
              <w:jc w:val="center"/>
              <w:rPr>
                <w:rFonts w:hint="eastAsia" w:ascii="宋体" w:hAnsi="宋体" w:cs="宋体"/>
                <w:sz w:val="24"/>
              </w:rPr>
            </w:pPr>
            <w:r>
              <w:rPr>
                <w:rFonts w:hint="eastAsia" w:ascii="宋体" w:hAnsi="宋体" w:cs="宋体"/>
                <w:sz w:val="24"/>
              </w:rPr>
              <w:t>轿</w:t>
            </w:r>
          </w:p>
          <w:p>
            <w:pPr>
              <w:ind w:right="-125" w:rightChars="-52"/>
              <w:jc w:val="center"/>
              <w:rPr>
                <w:rFonts w:hint="eastAsia" w:ascii="宋体" w:hAnsi="宋体" w:cs="宋体"/>
                <w:sz w:val="24"/>
              </w:rPr>
            </w:pPr>
            <w:r>
              <w:rPr>
                <w:rFonts w:hint="eastAsia" w:ascii="宋体" w:hAnsi="宋体" w:cs="宋体"/>
                <w:sz w:val="24"/>
              </w:rPr>
              <w:t>厢</w:t>
            </w:r>
          </w:p>
        </w:tc>
        <w:tc>
          <w:tcPr>
            <w:tcW w:w="268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载荷校正</w:t>
            </w:r>
          </w:p>
        </w:tc>
        <w:tc>
          <w:tcPr>
            <w:tcW w:w="234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砝码校正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25" w:rightChars="-52"/>
              <w:jc w:val="center"/>
              <w:rPr>
                <w:rFonts w:hint="eastAsia" w:ascii="宋体" w:hAnsi="宋体" w:cs="宋体"/>
                <w:sz w:val="24"/>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轿厢垂直校正</w:t>
            </w: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25" w:rightChars="-52"/>
              <w:jc w:val="center"/>
              <w:rPr>
                <w:rFonts w:hint="eastAsia" w:ascii="宋体" w:hAnsi="宋体" w:cs="宋体"/>
                <w:sz w:val="24"/>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安全钳拆洗调整</w:t>
            </w: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煤油清洗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bottom w:val="single" w:color="auto" w:sz="4" w:space="0"/>
              <w:right w:val="single" w:color="auto" w:sz="4" w:space="0"/>
            </w:tcBorders>
            <w:noWrap w:val="0"/>
            <w:vAlign w:val="center"/>
          </w:tcPr>
          <w:p>
            <w:pPr>
              <w:ind w:right="-125" w:rightChars="-52"/>
              <w:jc w:val="center"/>
              <w:rPr>
                <w:rFonts w:hint="eastAsia" w:ascii="宋体" w:hAnsi="宋体" w:cs="宋体"/>
                <w:sz w:val="24"/>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启动舒适感调整</w:t>
            </w: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restart"/>
            <w:tcBorders>
              <w:left w:val="single" w:color="auto" w:sz="4" w:space="0"/>
              <w:right w:val="single" w:color="auto" w:sz="4" w:space="0"/>
            </w:tcBorders>
            <w:noWrap w:val="0"/>
            <w:vAlign w:val="center"/>
          </w:tcPr>
          <w:p>
            <w:pPr>
              <w:ind w:right="-125" w:rightChars="-52"/>
              <w:jc w:val="center"/>
              <w:rPr>
                <w:rFonts w:hint="eastAsia" w:ascii="宋体" w:hAnsi="宋体" w:cs="宋体"/>
                <w:sz w:val="24"/>
              </w:rPr>
            </w:pPr>
            <w:r>
              <w:rPr>
                <w:rFonts w:hint="eastAsia" w:ascii="宋体" w:hAnsi="宋体" w:cs="宋体"/>
                <w:sz w:val="24"/>
              </w:rPr>
              <w:t>（3）</w:t>
            </w:r>
          </w:p>
          <w:p>
            <w:pPr>
              <w:ind w:right="-125" w:rightChars="-52"/>
              <w:jc w:val="center"/>
              <w:rPr>
                <w:rFonts w:hint="eastAsia" w:ascii="宋体" w:hAnsi="宋体" w:cs="宋体"/>
                <w:sz w:val="24"/>
              </w:rPr>
            </w:pPr>
            <w:r>
              <w:rPr>
                <w:rFonts w:hint="eastAsia" w:ascii="宋体" w:hAnsi="宋体" w:cs="宋体"/>
                <w:sz w:val="24"/>
              </w:rPr>
              <w:t>井</w:t>
            </w:r>
          </w:p>
          <w:p>
            <w:pPr>
              <w:ind w:right="-125" w:rightChars="-52"/>
              <w:jc w:val="center"/>
              <w:rPr>
                <w:rFonts w:hint="eastAsia" w:ascii="宋体" w:hAnsi="宋体" w:cs="宋体"/>
                <w:sz w:val="24"/>
              </w:rPr>
            </w:pPr>
            <w:r>
              <w:rPr>
                <w:rFonts w:hint="eastAsia" w:ascii="宋体" w:hAnsi="宋体" w:cs="宋体"/>
                <w:sz w:val="24"/>
              </w:rPr>
              <w:t>道</w:t>
            </w:r>
          </w:p>
        </w:tc>
        <w:tc>
          <w:tcPr>
            <w:tcW w:w="2688" w:type="dxa"/>
            <w:tcBorders>
              <w:top w:val="single" w:color="auto" w:sz="4" w:space="0"/>
              <w:left w:val="single" w:color="auto" w:sz="4" w:space="0"/>
            </w:tcBorders>
            <w:noWrap w:val="0"/>
            <w:vAlign w:val="center"/>
          </w:tcPr>
          <w:p>
            <w:pPr>
              <w:jc w:val="center"/>
              <w:rPr>
                <w:rFonts w:hint="eastAsia" w:ascii="宋体" w:hAnsi="宋体" w:cs="宋体"/>
                <w:sz w:val="24"/>
              </w:rPr>
            </w:pPr>
            <w:r>
              <w:rPr>
                <w:rFonts w:hint="eastAsia" w:ascii="宋体" w:hAnsi="宋体" w:cs="宋体"/>
                <w:sz w:val="24"/>
              </w:rPr>
              <w:t>缓冲器复位试验</w:t>
            </w:r>
          </w:p>
        </w:tc>
        <w:tc>
          <w:tcPr>
            <w:tcW w:w="2340" w:type="dxa"/>
            <w:tcBorders>
              <w:top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nil"/>
            </w:tcBorders>
            <w:noWrap w:val="0"/>
            <w:vAlign w:val="center"/>
          </w:tcPr>
          <w:p>
            <w:pPr>
              <w:jc w:val="center"/>
              <w:rPr>
                <w:rFonts w:hint="eastAsia" w:ascii="宋体" w:hAnsi="宋体" w:cs="宋体"/>
                <w:sz w:val="24"/>
              </w:rPr>
            </w:pPr>
            <w:r>
              <w:rPr>
                <w:rFonts w:hint="eastAsia" w:ascii="宋体" w:hAnsi="宋体" w:cs="宋体"/>
                <w:sz w:val="24"/>
              </w:rPr>
              <w:t>复位时间＜120S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25" w:rightChars="-52"/>
              <w:rPr>
                <w:rFonts w:hint="eastAsia" w:ascii="宋体" w:hAnsi="宋体" w:cs="宋体"/>
                <w:sz w:val="24"/>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曳引钢丝绳伸长测量</w:t>
            </w: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pacing w:val="-20"/>
                <w:sz w:val="24"/>
              </w:rPr>
            </w:pPr>
            <w:r>
              <w:rPr>
                <w:rFonts w:hint="eastAsia" w:ascii="宋体" w:hAnsi="宋体" w:cs="宋体"/>
                <w:spacing w:val="-20"/>
                <w:sz w:val="24"/>
              </w:rPr>
              <w:t>缓冲行程超标给与截断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25" w:rightChars="-52"/>
              <w:rPr>
                <w:rFonts w:hint="eastAsia" w:ascii="宋体" w:hAnsi="宋体" w:cs="宋体"/>
                <w:sz w:val="24"/>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轨道清洗</w:t>
            </w:r>
          </w:p>
        </w:tc>
        <w:tc>
          <w:tcPr>
            <w:tcW w:w="2340" w:type="dxa"/>
            <w:tcBorders>
              <w:top w:val="single" w:color="auto" w:sz="4" w:space="0"/>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煤、柴油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25" w:rightChars="-52"/>
              <w:rPr>
                <w:rFonts w:hint="eastAsia" w:ascii="宋体" w:hAnsi="宋体" w:cs="宋体"/>
                <w:sz w:val="24"/>
              </w:rPr>
            </w:pPr>
          </w:p>
        </w:tc>
        <w:tc>
          <w:tcPr>
            <w:tcW w:w="2688" w:type="dxa"/>
            <w:tcBorders>
              <w:top w:val="single" w:color="auto" w:sz="4" w:space="0"/>
              <w:left w:val="single" w:color="auto" w:sz="4" w:space="0"/>
            </w:tcBorders>
            <w:noWrap w:val="0"/>
            <w:vAlign w:val="center"/>
          </w:tcPr>
          <w:p>
            <w:pPr>
              <w:jc w:val="center"/>
              <w:rPr>
                <w:rFonts w:hint="eastAsia" w:ascii="宋体" w:hAnsi="宋体" w:cs="宋体"/>
                <w:sz w:val="24"/>
              </w:rPr>
            </w:pPr>
            <w:r>
              <w:rPr>
                <w:rFonts w:hint="eastAsia" w:ascii="宋体" w:hAnsi="宋体" w:cs="宋体"/>
                <w:sz w:val="24"/>
              </w:rPr>
              <w:t>轨道末端、地坑部件补漆</w:t>
            </w:r>
          </w:p>
        </w:tc>
        <w:tc>
          <w:tcPr>
            <w:tcW w:w="2340" w:type="dxa"/>
            <w:tcBorders>
              <w:top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12个月／次</w:t>
            </w:r>
          </w:p>
        </w:tc>
        <w:tc>
          <w:tcPr>
            <w:tcW w:w="2700" w:type="dxa"/>
            <w:tcBorders>
              <w:top w:val="single" w:color="auto" w:sz="4" w:space="0"/>
              <w:left w:val="nil"/>
            </w:tcBorders>
            <w:noWrap w:val="0"/>
            <w:vAlign w:val="center"/>
          </w:tcPr>
          <w:p>
            <w:pPr>
              <w:jc w:val="center"/>
              <w:rPr>
                <w:rFonts w:hint="eastAsia" w:ascii="宋体" w:hAnsi="宋体" w:cs="宋体"/>
                <w:sz w:val="24"/>
              </w:rPr>
            </w:pPr>
            <w:r>
              <w:rPr>
                <w:rFonts w:hint="eastAsia" w:ascii="宋体" w:hAnsi="宋体" w:cs="宋体"/>
                <w:sz w:val="24"/>
              </w:rPr>
              <w:t>防锈漆</w:t>
            </w:r>
          </w:p>
        </w:tc>
      </w:tr>
    </w:tbl>
    <w:p>
      <w:pPr>
        <w:ind w:right="-125" w:rightChars="-52"/>
        <w:rPr>
          <w:rFonts w:hint="eastAsia" w:ascii="楷体_GB2312" w:eastAsia="楷体_GB2312"/>
          <w:sz w:val="24"/>
        </w:rPr>
      </w:pPr>
    </w:p>
    <w:p>
      <w:pPr>
        <w:ind w:right="-125" w:rightChars="-52"/>
        <w:rPr>
          <w:rFonts w:hint="eastAsia"/>
        </w:rPr>
      </w:pPr>
      <w:r>
        <w:rPr>
          <w:rFonts w:hint="eastAsia" w:ascii="宋体" w:hAnsi="宋体" w:cs="宋体"/>
          <w:sz w:val="24"/>
        </w:rPr>
        <w:t>5、电梯的润滑保养</w:t>
      </w:r>
    </w:p>
    <w:tbl>
      <w:tblPr>
        <w:tblStyle w:val="19"/>
        <w:tblW w:w="883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911"/>
        <w:gridCol w:w="774"/>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10"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润滑项目</w:t>
            </w: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润滑位置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润滑周期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润滑材料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10" w:type="dxa"/>
            <w:vMerge w:val="restart"/>
            <w:tcBorders>
              <w:top w:val="single" w:color="auto" w:sz="4" w:space="0"/>
              <w:left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(1)</w:t>
            </w:r>
          </w:p>
          <w:p>
            <w:pPr>
              <w:jc w:val="center"/>
              <w:rPr>
                <w:rFonts w:hint="eastAsia" w:ascii="宋体" w:hAnsi="宋体" w:cs="宋体"/>
                <w:sz w:val="24"/>
              </w:rPr>
            </w:pPr>
            <w:r>
              <w:rPr>
                <w:rFonts w:hint="eastAsia" w:ascii="宋体" w:hAnsi="宋体" w:cs="宋体"/>
                <w:sz w:val="24"/>
              </w:rPr>
              <w:t>机房</w:t>
            </w:r>
          </w:p>
          <w:p>
            <w:pPr>
              <w:jc w:val="center"/>
              <w:rPr>
                <w:rFonts w:hint="eastAsia" w:ascii="宋体" w:hAnsi="宋体" w:cs="宋体"/>
                <w:sz w:val="24"/>
              </w:rPr>
            </w:pPr>
          </w:p>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齿轮箱</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新梯6个月,一年后每12个月更换一次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80W－100W－G5齿轮油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蜗轮蜗杆的滚动轴承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制动器的轴销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电磁铁可动铁心与铜套之间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石墨粉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电机滚动轴承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电机滑动轴承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导向轮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限速器</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restart"/>
            <w:tcBorders>
              <w:left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（2）</w:t>
            </w:r>
          </w:p>
          <w:p>
            <w:pPr>
              <w:jc w:val="center"/>
              <w:rPr>
                <w:rFonts w:hint="eastAsia" w:ascii="宋体" w:hAnsi="宋体" w:cs="宋体"/>
                <w:sz w:val="24"/>
              </w:rPr>
            </w:pPr>
            <w:r>
              <w:rPr>
                <w:rFonts w:hint="eastAsia" w:ascii="宋体" w:hAnsi="宋体" w:cs="宋体"/>
                <w:sz w:val="24"/>
              </w:rPr>
              <w:t>轿厢</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导靴油杯</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油量少于四分之一时需添加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40＃机油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110" w:type="dxa"/>
            <w:vMerge w:val="continue"/>
            <w:tcBorders>
              <w:left w:val="single" w:color="auto" w:sz="4" w:space="0"/>
              <w:right w:val="nil"/>
            </w:tcBorders>
            <w:noWrap w:val="0"/>
            <w:vAlign w:val="center"/>
          </w:tcPr>
          <w:p>
            <w:pPr>
              <w:jc w:val="center"/>
              <w:rPr>
                <w:rFonts w:hint="eastAsia" w:ascii="宋体" w:hAnsi="宋体" w:cs="宋体"/>
                <w:sz w:val="24"/>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轿顶轮、对重轮、复绕轮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6个月</w:t>
            </w:r>
          </w:p>
        </w:tc>
        <w:tc>
          <w:tcPr>
            <w:tcW w:w="2700" w:type="dxa"/>
            <w:tcBorders>
              <w:top w:val="single" w:color="auto" w:sz="4" w:space="0"/>
              <w:left w:val="single" w:color="auto" w:sz="4" w:space="0"/>
              <w:bottom w:val="nil"/>
              <w:right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10" w:type="dxa"/>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门机构轴承</w:t>
            </w:r>
          </w:p>
        </w:tc>
        <w:tc>
          <w:tcPr>
            <w:tcW w:w="774" w:type="dxa"/>
            <w:tcBorders>
              <w:top w:val="single" w:color="auto" w:sz="4" w:space="0"/>
              <w:left w:val="nil"/>
              <w:bottom w:val="single" w:color="auto" w:sz="4" w:space="0"/>
            </w:tcBorders>
            <w:noWrap w:val="0"/>
            <w:vAlign w:val="center"/>
          </w:tcPr>
          <w:p>
            <w:pPr>
              <w:jc w:val="center"/>
              <w:rPr>
                <w:rFonts w:hint="eastAsia" w:ascii="宋体" w:hAnsi="宋体" w:cs="宋体"/>
                <w:sz w:val="24"/>
              </w:rPr>
            </w:pP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3个月</w:t>
            </w:r>
          </w:p>
        </w:tc>
        <w:tc>
          <w:tcPr>
            <w:tcW w:w="2700" w:type="dxa"/>
            <w:tcBorders>
              <w:top w:val="single" w:color="auto" w:sz="4" w:space="0"/>
              <w:left w:val="nil"/>
              <w:bottom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110" w:type="dxa"/>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安全触板</w:t>
            </w:r>
          </w:p>
        </w:tc>
        <w:tc>
          <w:tcPr>
            <w:tcW w:w="774" w:type="dxa"/>
            <w:tcBorders>
              <w:top w:val="single" w:color="auto" w:sz="4" w:space="0"/>
              <w:left w:val="nil"/>
              <w:bottom w:val="single" w:color="auto" w:sz="4" w:space="0"/>
            </w:tcBorders>
            <w:noWrap w:val="0"/>
            <w:vAlign w:val="center"/>
          </w:tcPr>
          <w:p>
            <w:pPr>
              <w:jc w:val="center"/>
              <w:rPr>
                <w:rFonts w:hint="eastAsia" w:ascii="宋体" w:hAnsi="宋体" w:cs="宋体"/>
                <w:sz w:val="24"/>
              </w:rPr>
            </w:pPr>
          </w:p>
          <w:p>
            <w:pPr>
              <w:jc w:val="center"/>
              <w:rPr>
                <w:rFonts w:hint="eastAsia" w:ascii="宋体" w:hAnsi="宋体" w:cs="宋体"/>
                <w:sz w:val="24"/>
              </w:rPr>
            </w:pP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3个月</w:t>
            </w:r>
          </w:p>
        </w:tc>
        <w:tc>
          <w:tcPr>
            <w:tcW w:w="2700" w:type="dxa"/>
            <w:tcBorders>
              <w:top w:val="single" w:color="auto" w:sz="4" w:space="0"/>
              <w:left w:val="nil"/>
              <w:bottom w:val="single" w:color="auto" w:sz="4" w:space="0"/>
            </w:tcBorders>
            <w:noWrap w:val="0"/>
            <w:vAlign w:val="center"/>
          </w:tcPr>
          <w:p>
            <w:pPr>
              <w:ind w:firstLine="432" w:firstLineChars="180"/>
              <w:jc w:val="center"/>
              <w:rPr>
                <w:rFonts w:hint="eastAsia" w:ascii="宋体" w:hAnsi="宋体" w:cs="宋体"/>
                <w:sz w:val="24"/>
              </w:rPr>
            </w:pPr>
            <w:r>
              <w:rPr>
                <w:rFonts w:hint="eastAsia" w:ascii="宋体" w:hAnsi="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安全钳</w:t>
            </w:r>
          </w:p>
        </w:tc>
        <w:tc>
          <w:tcPr>
            <w:tcW w:w="774" w:type="dxa"/>
            <w:tcBorders>
              <w:top w:val="single" w:color="auto" w:sz="4" w:space="0"/>
              <w:left w:val="nil"/>
              <w:bottom w:val="single" w:color="auto" w:sz="4" w:space="0"/>
            </w:tcBorders>
            <w:noWrap w:val="0"/>
            <w:vAlign w:val="center"/>
          </w:tcPr>
          <w:p>
            <w:pPr>
              <w:jc w:val="center"/>
              <w:rPr>
                <w:rFonts w:hint="eastAsia" w:ascii="宋体" w:hAnsi="宋体" w:cs="宋体"/>
                <w:sz w:val="24"/>
              </w:rPr>
            </w:pP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6个月</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普通机油</w:t>
            </w:r>
          </w:p>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10" w:type="dxa"/>
            <w:vMerge w:val="restart"/>
            <w:tcBorders>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p>
            <w:pPr>
              <w:jc w:val="center"/>
              <w:rPr>
                <w:rFonts w:hint="eastAsia" w:ascii="宋体" w:hAnsi="宋体" w:cs="宋体"/>
                <w:sz w:val="24"/>
              </w:rPr>
            </w:pPr>
            <w:r>
              <w:rPr>
                <w:rFonts w:hint="eastAsia" w:ascii="宋体" w:hAnsi="宋体" w:cs="宋体"/>
                <w:sz w:val="24"/>
              </w:rPr>
              <w:t>井道</w:t>
            </w: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门机构</w:t>
            </w:r>
          </w:p>
        </w:tc>
        <w:tc>
          <w:tcPr>
            <w:tcW w:w="774" w:type="dxa"/>
            <w:tcBorders>
              <w:top w:val="single" w:color="auto" w:sz="4" w:space="0"/>
              <w:left w:val="nil"/>
              <w:bottom w:val="single" w:color="auto" w:sz="4" w:space="0"/>
            </w:tcBorders>
            <w:noWrap w:val="0"/>
            <w:vAlign w:val="center"/>
          </w:tcPr>
          <w:p>
            <w:pPr>
              <w:jc w:val="center"/>
              <w:rPr>
                <w:rFonts w:hint="eastAsia" w:ascii="宋体" w:hAnsi="宋体" w:cs="宋体"/>
                <w:sz w:val="24"/>
              </w:rPr>
            </w:pP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3个月</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普通机油</w:t>
            </w:r>
          </w:p>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涨紧轮</w:t>
            </w:r>
          </w:p>
        </w:tc>
        <w:tc>
          <w:tcPr>
            <w:tcW w:w="774" w:type="dxa"/>
            <w:tcBorders>
              <w:top w:val="single" w:color="auto" w:sz="4" w:space="0"/>
              <w:left w:val="nil"/>
              <w:bottom w:val="single" w:color="auto" w:sz="4" w:space="0"/>
            </w:tcBorders>
            <w:noWrap w:val="0"/>
            <w:vAlign w:val="center"/>
          </w:tcPr>
          <w:p>
            <w:pPr>
              <w:jc w:val="center"/>
              <w:rPr>
                <w:rFonts w:hint="eastAsia" w:ascii="宋体" w:hAnsi="宋体" w:cs="宋体"/>
                <w:sz w:val="24"/>
              </w:rPr>
            </w:pPr>
          </w:p>
          <w:p>
            <w:pPr>
              <w:jc w:val="center"/>
              <w:rPr>
                <w:rFonts w:hint="eastAsia" w:ascii="宋体" w:hAnsi="宋体" w:cs="宋体"/>
                <w:sz w:val="24"/>
              </w:rPr>
            </w:pP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3个月</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缓冲器</w:t>
            </w:r>
          </w:p>
        </w:tc>
        <w:tc>
          <w:tcPr>
            <w:tcW w:w="774" w:type="dxa"/>
            <w:tcBorders>
              <w:top w:val="single" w:color="auto" w:sz="4" w:space="0"/>
              <w:left w:val="nil"/>
              <w:bottom w:val="single" w:color="auto" w:sz="4" w:space="0"/>
            </w:tcBorders>
            <w:noWrap w:val="0"/>
            <w:vAlign w:val="center"/>
          </w:tcPr>
          <w:p>
            <w:pPr>
              <w:jc w:val="center"/>
              <w:rPr>
                <w:rFonts w:hint="eastAsia" w:ascii="宋体" w:hAnsi="宋体" w:cs="宋体"/>
                <w:sz w:val="24"/>
              </w:rPr>
            </w:pP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6个月添加一次，12个月更换一次</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1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sz w:val="24"/>
              </w:rPr>
            </w:pPr>
            <w:r>
              <w:rPr>
                <w:rFonts w:hint="eastAsia" w:ascii="宋体" w:hAnsi="宋体" w:cs="宋体"/>
                <w:sz w:val="24"/>
              </w:rPr>
              <w:t>井道信息件开关</w:t>
            </w:r>
          </w:p>
        </w:tc>
        <w:tc>
          <w:tcPr>
            <w:tcW w:w="774" w:type="dxa"/>
            <w:tcBorders>
              <w:top w:val="single" w:color="auto" w:sz="4" w:space="0"/>
              <w:left w:val="nil"/>
              <w:bottom w:val="single" w:color="auto" w:sz="4" w:space="0"/>
            </w:tcBorders>
            <w:noWrap w:val="0"/>
            <w:vAlign w:val="center"/>
          </w:tcPr>
          <w:p>
            <w:pPr>
              <w:jc w:val="center"/>
              <w:rPr>
                <w:rFonts w:hint="eastAsia" w:ascii="宋体" w:hAnsi="宋体" w:cs="宋体"/>
                <w:sz w:val="24"/>
              </w:rPr>
            </w:pPr>
          </w:p>
        </w:tc>
        <w:tc>
          <w:tcPr>
            <w:tcW w:w="234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3个月</w:t>
            </w:r>
          </w:p>
        </w:tc>
        <w:tc>
          <w:tcPr>
            <w:tcW w:w="2700" w:type="dxa"/>
            <w:tcBorders>
              <w:top w:val="single" w:color="auto" w:sz="4" w:space="0"/>
              <w:left w:val="nil"/>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普通机油</w:t>
            </w:r>
          </w:p>
        </w:tc>
      </w:tr>
    </w:tbl>
    <w:p>
      <w:pPr>
        <w:spacing w:line="500" w:lineRule="exact"/>
        <w:ind w:right="-125" w:rightChars="-52"/>
        <w:rPr>
          <w:rFonts w:hint="eastAsia" w:ascii="楷体_GB2312" w:eastAsia="楷体_GB2312"/>
          <w:sz w:val="24"/>
        </w:rPr>
      </w:pPr>
    </w:p>
    <w:p>
      <w:pPr>
        <w:spacing w:line="500" w:lineRule="exact"/>
        <w:ind w:firstLine="480" w:firstLineChars="200"/>
        <w:rPr>
          <w:rFonts w:hint="eastAsia" w:ascii="宋体" w:hAnsi="宋体" w:cs="宋体"/>
          <w:sz w:val="24"/>
        </w:rPr>
      </w:pPr>
      <w:r>
        <w:rPr>
          <w:rFonts w:hint="eastAsia" w:ascii="宋体" w:hAnsi="宋体" w:cs="宋体"/>
          <w:sz w:val="24"/>
        </w:rPr>
        <w:t>三、电梯维保安全操作规程</w:t>
      </w:r>
    </w:p>
    <w:p>
      <w:pPr>
        <w:spacing w:line="500" w:lineRule="exact"/>
        <w:ind w:firstLine="480" w:firstLineChars="200"/>
        <w:rPr>
          <w:rFonts w:hint="eastAsia" w:ascii="宋体" w:hAnsi="宋体" w:cs="宋体"/>
          <w:sz w:val="24"/>
        </w:rPr>
      </w:pPr>
      <w:r>
        <w:rPr>
          <w:rFonts w:hint="eastAsia" w:ascii="宋体" w:hAnsi="宋体" w:cs="宋体"/>
          <w:sz w:val="24"/>
        </w:rPr>
        <w:t>1.维修人员进入检修现场，必须穿工作服和绝缘鞋。</w:t>
      </w:r>
    </w:p>
    <w:p>
      <w:pPr>
        <w:spacing w:line="500" w:lineRule="exact"/>
        <w:ind w:firstLine="480" w:firstLineChars="200"/>
        <w:rPr>
          <w:rFonts w:hint="eastAsia" w:ascii="宋体" w:hAnsi="宋体" w:cs="宋体"/>
          <w:sz w:val="24"/>
        </w:rPr>
      </w:pPr>
      <w:r>
        <w:rPr>
          <w:rFonts w:hint="eastAsia" w:ascii="宋体" w:hAnsi="宋体" w:cs="宋体"/>
          <w:sz w:val="24"/>
        </w:rPr>
        <w:t>2.轿厢内或入口的明显处应挂上“检修停用”标牌。</w:t>
      </w:r>
    </w:p>
    <w:p>
      <w:pPr>
        <w:spacing w:line="500" w:lineRule="exact"/>
        <w:ind w:firstLine="480" w:firstLineChars="200"/>
        <w:rPr>
          <w:rFonts w:hint="eastAsia" w:ascii="宋体" w:hAnsi="宋体" w:cs="宋体"/>
          <w:sz w:val="24"/>
        </w:rPr>
      </w:pPr>
      <w:r>
        <w:rPr>
          <w:rFonts w:hint="eastAsia" w:ascii="宋体" w:hAnsi="宋体" w:cs="宋体"/>
          <w:sz w:val="24"/>
        </w:rPr>
        <w:t>3.让无关人员离开轿厢或其他检修工作场所，关好层门。不能关闭层门时，需用合适的护栏挡住入口处，以防止无关人员进入电梯。</w:t>
      </w:r>
    </w:p>
    <w:p>
      <w:pPr>
        <w:spacing w:line="500" w:lineRule="exact"/>
        <w:ind w:firstLine="480" w:firstLineChars="200"/>
        <w:rPr>
          <w:rFonts w:hint="eastAsia" w:ascii="宋体" w:hAnsi="宋体" w:cs="宋体"/>
          <w:sz w:val="24"/>
        </w:rPr>
      </w:pPr>
      <w:r>
        <w:rPr>
          <w:rFonts w:hint="eastAsia" w:ascii="宋体" w:hAnsi="宋体" w:cs="宋体"/>
          <w:sz w:val="24"/>
        </w:rPr>
        <w:t>4.上轿顶作检修工作时，首先应先将轿顶开关置于检修状态，并关好层门。停梯工作时必须按下急停开关。</w:t>
      </w:r>
    </w:p>
    <w:p>
      <w:pPr>
        <w:spacing w:line="500" w:lineRule="exact"/>
        <w:ind w:firstLine="480" w:firstLineChars="200"/>
        <w:rPr>
          <w:rFonts w:hint="eastAsia" w:ascii="宋体" w:hAnsi="宋体" w:cs="宋体"/>
          <w:sz w:val="24"/>
        </w:rPr>
      </w:pPr>
      <w:r>
        <w:rPr>
          <w:rFonts w:hint="eastAsia" w:ascii="宋体" w:hAnsi="宋体" w:cs="宋体"/>
          <w:sz w:val="24"/>
        </w:rPr>
        <w:t>5.给传动部位加油、清洗，或观察钢丝绳的磨损情况时，必须停止电梯运行。</w:t>
      </w:r>
    </w:p>
    <w:p>
      <w:pPr>
        <w:spacing w:line="500" w:lineRule="exact"/>
        <w:ind w:firstLine="480" w:firstLineChars="200"/>
        <w:rPr>
          <w:rFonts w:hint="eastAsia" w:ascii="宋体" w:hAnsi="宋体" w:cs="宋体"/>
          <w:sz w:val="24"/>
        </w:rPr>
      </w:pPr>
      <w:r>
        <w:rPr>
          <w:rFonts w:hint="eastAsia" w:ascii="宋体" w:hAnsi="宋体" w:cs="宋体"/>
          <w:sz w:val="24"/>
        </w:rPr>
        <w:t>6.人在轿顶上工作时，站立位置应有选择，脚下不得有油污，否则应清理干净。</w:t>
      </w:r>
    </w:p>
    <w:p>
      <w:pPr>
        <w:spacing w:line="500" w:lineRule="exact"/>
        <w:ind w:firstLine="480" w:firstLineChars="200"/>
        <w:rPr>
          <w:rFonts w:hint="eastAsia" w:ascii="宋体" w:hAnsi="宋体" w:cs="宋体"/>
          <w:sz w:val="24"/>
        </w:rPr>
      </w:pPr>
      <w:r>
        <w:rPr>
          <w:rFonts w:hint="eastAsia" w:ascii="宋体" w:hAnsi="宋体" w:cs="宋体"/>
          <w:sz w:val="24"/>
        </w:rPr>
        <w:t>7.人在轿顶上准备开动电梯以观察有关电梯部件的工作情况时，手必须握住轿顶上梁或护栏等机件。并注意身体部位始终置于轿厢外框之内，防止与井道构件碰撞。须由轿内的司机或检修人员开电梯时，要注意配合，服从轿顶人员指挥，未有指令不准开动电梯。</w:t>
      </w:r>
    </w:p>
    <w:p>
      <w:pPr>
        <w:spacing w:line="500" w:lineRule="exact"/>
        <w:ind w:firstLine="480" w:firstLineChars="200"/>
        <w:rPr>
          <w:rFonts w:hint="eastAsia" w:ascii="宋体" w:hAnsi="宋体" w:cs="宋体"/>
          <w:sz w:val="24"/>
        </w:rPr>
      </w:pPr>
      <w:r>
        <w:rPr>
          <w:rFonts w:hint="eastAsia" w:ascii="宋体" w:hAnsi="宋体" w:cs="宋体"/>
          <w:sz w:val="24"/>
        </w:rPr>
        <w:t>8.在多台电梯共用一个井道时，除注意本电梯的情况外，还应注意其他电梯的动态，以防止被碰撞。</w:t>
      </w:r>
    </w:p>
    <w:p>
      <w:pPr>
        <w:spacing w:line="500" w:lineRule="exact"/>
        <w:ind w:firstLine="480" w:firstLineChars="200"/>
        <w:rPr>
          <w:rFonts w:hint="eastAsia" w:ascii="宋体" w:hAnsi="宋体" w:cs="宋体"/>
          <w:sz w:val="24"/>
        </w:rPr>
      </w:pPr>
      <w:r>
        <w:rPr>
          <w:rFonts w:hint="eastAsia" w:ascii="宋体" w:hAnsi="宋体" w:cs="宋体"/>
          <w:sz w:val="24"/>
        </w:rPr>
        <w:t>9.禁止在轿顶和井道内吸烟。</w:t>
      </w:r>
    </w:p>
    <w:p>
      <w:pPr>
        <w:spacing w:line="500" w:lineRule="exact"/>
        <w:ind w:firstLine="480" w:firstLineChars="200"/>
        <w:rPr>
          <w:rFonts w:hint="eastAsia" w:ascii="宋体" w:hAnsi="宋体" w:cs="宋体"/>
          <w:sz w:val="24"/>
        </w:rPr>
      </w:pPr>
      <w:r>
        <w:rPr>
          <w:rFonts w:hint="eastAsia" w:ascii="宋体" w:hAnsi="宋体" w:cs="宋体"/>
          <w:sz w:val="24"/>
        </w:rPr>
        <w:t>10.检修电器部件时应尽可能避免带电作业。必须带电操作时，应预防触电，并有两人协同进行。</w:t>
      </w:r>
    </w:p>
    <w:p>
      <w:pPr>
        <w:spacing w:line="500" w:lineRule="exact"/>
        <w:ind w:firstLine="480" w:firstLineChars="200"/>
        <w:rPr>
          <w:rFonts w:hint="eastAsia" w:ascii="宋体" w:hAnsi="宋体" w:cs="宋体"/>
          <w:sz w:val="24"/>
        </w:rPr>
      </w:pPr>
      <w:r>
        <w:rPr>
          <w:rFonts w:hint="eastAsia" w:ascii="宋体" w:hAnsi="宋体" w:cs="宋体"/>
          <w:sz w:val="24"/>
        </w:rPr>
        <w:t>11.移动式照明应为安全电压，应使用带有防护罩的照明设备。</w:t>
      </w:r>
    </w:p>
    <w:p>
      <w:pPr>
        <w:spacing w:line="500" w:lineRule="exact"/>
        <w:ind w:firstLine="480" w:firstLineChars="200"/>
        <w:rPr>
          <w:rFonts w:hint="eastAsia" w:ascii="宋体" w:hAnsi="宋体" w:cs="宋体"/>
          <w:sz w:val="24"/>
        </w:rPr>
      </w:pPr>
      <w:r>
        <w:rPr>
          <w:rFonts w:hint="eastAsia" w:ascii="宋体" w:hAnsi="宋体" w:cs="宋体"/>
          <w:sz w:val="24"/>
        </w:rPr>
        <w:t>12.严禁维修人员站在井道外探身到井道内，以及两脚分别站在能相对运动部件上，进行长时间的检修工作。</w:t>
      </w:r>
    </w:p>
    <w:p>
      <w:pPr>
        <w:spacing w:line="500" w:lineRule="exact"/>
        <w:ind w:firstLine="480" w:firstLineChars="200"/>
        <w:rPr>
          <w:rFonts w:hint="eastAsia" w:ascii="宋体" w:hAnsi="宋体" w:cs="宋体"/>
          <w:sz w:val="24"/>
        </w:rPr>
      </w:pPr>
      <w:r>
        <w:rPr>
          <w:rFonts w:hint="eastAsia" w:ascii="宋体" w:hAnsi="宋体" w:cs="宋体"/>
          <w:sz w:val="24"/>
        </w:rPr>
        <w:t>13.进入底坑，应将底坑急停开关断开。</w:t>
      </w:r>
    </w:p>
    <w:p>
      <w:pPr>
        <w:keepNext w:val="0"/>
        <w:keepLines w:val="0"/>
        <w:widowControl/>
        <w:suppressLineNumbers w:val="0"/>
        <w:jc w:val="left"/>
      </w:pPr>
    </w:p>
    <w:p>
      <w:pPr>
        <w:pStyle w:val="13"/>
        <w:ind w:left="0"/>
        <w:rPr>
          <w:rFonts w:ascii="仿宋_GB2312" w:hAnsi="仿宋_GB2312" w:eastAsia="仿宋_GB2312" w:cs="仿宋_GB2312"/>
          <w:sz w:val="21"/>
          <w:szCs w:val="21"/>
          <w:lang w:val="en-US"/>
        </w:rPr>
      </w:pPr>
    </w:p>
    <w:p>
      <w:pPr>
        <w:pStyle w:val="14"/>
        <w:rPr>
          <w:rFonts w:hint="eastAsia" w:ascii="宋体" w:hAnsi="宋体"/>
          <w:sz w:val="24"/>
          <w:szCs w:val="24"/>
        </w:rPr>
      </w:pPr>
    </w:p>
    <w:p>
      <w:pPr>
        <w:pStyle w:val="5"/>
        <w:jc w:val="center"/>
        <w:rPr>
          <w:rFonts w:hint="eastAsia" w:hAnsi="宋体" w:eastAsia="黑体"/>
          <w:szCs w:val="22"/>
          <w:highlight w:val="none"/>
          <w:lang w:eastAsia="zh-CN"/>
        </w:rPr>
      </w:pPr>
      <w:bookmarkStart w:id="42" w:name="_Toc38879335"/>
      <w:bookmarkStart w:id="43" w:name="_Toc63412030"/>
      <w:bookmarkStart w:id="44" w:name="_Toc27554"/>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2"/>
      <w:bookmarkEnd w:id="43"/>
      <w:r>
        <w:rPr>
          <w:rFonts w:hint="eastAsia" w:ascii="黑体" w:hAnsi="黑体" w:eastAsia="黑体"/>
          <w:b w:val="0"/>
          <w:highlight w:val="none"/>
          <w:lang w:eastAsia="zh-CN"/>
        </w:rPr>
        <w:t>与标准</w:t>
      </w:r>
      <w:bookmarkEnd w:id="44"/>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5"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10"/>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414"/>
        <w:gridCol w:w="2182"/>
        <w:gridCol w:w="773"/>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3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0"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3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50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0"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501"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eastAsia="宋体" w:cs="Times New Roman"/>
                <w:sz w:val="24"/>
                <w:szCs w:val="18"/>
                <w:u w:val="none"/>
                <w:lang w:val="en-US" w:eastAsia="zh-CN"/>
              </w:rPr>
              <w:t>投标人资质要求</w:t>
            </w:r>
          </w:p>
        </w:tc>
        <w:tc>
          <w:tcPr>
            <w:tcW w:w="1251"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符合磋商文件要求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Times New Roman"/>
                <w:color w:val="auto"/>
                <w:sz w:val="24"/>
                <w:szCs w:val="24"/>
                <w:highlight w:val="none"/>
                <w:u w:val="none"/>
                <w:lang w:val="en-US" w:eastAsia="zh-CN" w:bidi="ar-SA"/>
              </w:rPr>
              <w:t>具有中华人民共和国特种设备安装改造维修（修理）许可证（电梯） A 级或具有市场监督管理局颁发的《中华人民共和国特种设备生产许可证（电梯安装（含修理））A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7</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8</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3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10</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 xml:space="preserve">70 </w:t>
      </w:r>
      <w:r>
        <w:rPr>
          <w:rFonts w:hint="eastAsia" w:ascii="宋体" w:hAnsi="宋体" w:eastAsia="宋体" w:cs="Times New Roman"/>
          <w:sz w:val="24"/>
          <w:u w:val="single"/>
          <w:lang w:val="en-US" w:eastAsia="zh-CN"/>
        </w:rPr>
        <w:t>%</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30</w:t>
      </w:r>
      <w:bookmarkStart w:id="101" w:name="_GoBack"/>
      <w:bookmarkEnd w:id="101"/>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19"/>
        <w:tblW w:w="54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1"/>
        <w:gridCol w:w="6802"/>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506"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评分因素</w:t>
            </w:r>
          </w:p>
        </w:tc>
        <w:tc>
          <w:tcPr>
            <w:tcW w:w="3695"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评分标准</w:t>
            </w:r>
          </w:p>
        </w:tc>
        <w:tc>
          <w:tcPr>
            <w:tcW w:w="797"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jc w:val="center"/>
        </w:trPr>
        <w:tc>
          <w:tcPr>
            <w:tcW w:w="506" w:type="pct"/>
            <w:noWrap w:val="0"/>
            <w:vAlign w:val="center"/>
          </w:tcPr>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pacing w:val="1"/>
                <w:sz w:val="24"/>
              </w:rPr>
            </w:pPr>
            <w:r>
              <w:rPr>
                <w:rFonts w:hint="eastAsia" w:ascii="宋体" w:hAnsi="宋体" w:eastAsia="宋体" w:cs="宋体"/>
                <w:b/>
                <w:bCs w:val="0"/>
                <w:i w:val="0"/>
                <w:iCs w:val="0"/>
                <w:spacing w:val="1"/>
                <w:sz w:val="24"/>
              </w:rPr>
              <w:t>总体服务方案</w:t>
            </w:r>
          </w:p>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z w:val="24"/>
              </w:rPr>
            </w:pPr>
          </w:p>
        </w:tc>
        <w:tc>
          <w:tcPr>
            <w:tcW w:w="3695"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rPr>
            </w:pPr>
            <w:r>
              <w:rPr>
                <w:rFonts w:hint="eastAsia" w:ascii="宋体" w:hAnsi="宋体" w:eastAsia="宋体" w:cs="宋体"/>
                <w:sz w:val="24"/>
              </w:rPr>
              <w:t>根据投标人投标文件中提供的服务方案进行综合评审、综合评分：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rPr>
            </w:pPr>
            <w:r>
              <w:rPr>
                <w:rFonts w:hint="eastAsia" w:ascii="宋体" w:hAnsi="宋体" w:eastAsia="宋体" w:cs="宋体"/>
                <w:sz w:val="24"/>
              </w:rPr>
              <w:t>1、服务方案完整、措施得当、针对性强、合理可行、对完成项目有保障的，得</w:t>
            </w:r>
            <w:r>
              <w:rPr>
                <w:rFonts w:hint="eastAsia" w:hAnsi="宋体" w:cs="宋体"/>
                <w:sz w:val="24"/>
                <w:lang w:val="en-US" w:eastAsia="zh-CN"/>
              </w:rPr>
              <w:t>21</w:t>
            </w:r>
            <w:r>
              <w:rPr>
                <w:rFonts w:hint="eastAsia" w:ascii="宋体" w:hAnsi="宋体" w:eastAsia="宋体" w:cs="宋体"/>
                <w:sz w:val="24"/>
              </w:rPr>
              <w:t xml:space="preserve">分； </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rPr>
            </w:pPr>
            <w:r>
              <w:rPr>
                <w:rFonts w:hint="eastAsia" w:ascii="宋体" w:hAnsi="宋体" w:eastAsia="宋体" w:cs="宋体"/>
                <w:sz w:val="24"/>
              </w:rPr>
              <w:t>2、服务方案基本完整、措施基本得当、具有针对性、基本合理可行、对完成项目基本有保障的，得</w:t>
            </w:r>
            <w:r>
              <w:rPr>
                <w:rFonts w:hint="eastAsia" w:hAnsi="宋体" w:cs="宋体"/>
                <w:sz w:val="24"/>
                <w:lang w:val="en-US" w:eastAsia="zh-CN"/>
              </w:rPr>
              <w:t>15</w:t>
            </w:r>
            <w:r>
              <w:rPr>
                <w:rFonts w:hint="eastAsia" w:ascii="宋体" w:hAnsi="宋体" w:eastAsia="宋体" w:cs="宋体"/>
                <w:sz w:val="24"/>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rPr>
            </w:pPr>
            <w:r>
              <w:rPr>
                <w:rFonts w:hint="eastAsia" w:ascii="宋体" w:hAnsi="宋体" w:eastAsia="宋体" w:cs="宋体"/>
                <w:sz w:val="24"/>
              </w:rPr>
              <w:t>3、服务方案不够完整、措施不够全面、针对性不强、可行性不强、对完成项目保障不足的，得8分。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rPr>
            </w:pPr>
            <w:r>
              <w:rPr>
                <w:rFonts w:hint="eastAsia" w:ascii="宋体" w:hAnsi="宋体" w:eastAsia="宋体" w:cs="宋体"/>
                <w:sz w:val="24"/>
              </w:rPr>
              <w:t>4、服务方案差、缺乏具体措施、针对性及可行性的，得基础分3分。</w:t>
            </w:r>
          </w:p>
          <w:p>
            <w:pPr>
              <w:pStyle w:val="2"/>
              <w:keepNext w:val="0"/>
              <w:keepLines w:val="0"/>
              <w:pageBreakBefore w:val="0"/>
              <w:kinsoku/>
              <w:wordWrap/>
              <w:overflowPunct/>
              <w:topLinePunct w:val="0"/>
              <w:autoSpaceDE/>
              <w:autoSpaceDN/>
              <w:bidi w:val="0"/>
              <w:spacing w:line="240" w:lineRule="auto"/>
              <w:ind w:left="0" w:firstLine="0" w:firstLineChars="0"/>
              <w:jc w:val="both"/>
              <w:textAlignment w:val="auto"/>
              <w:rPr>
                <w:rFonts w:hint="eastAsia" w:ascii="宋体" w:hAnsi="宋体" w:eastAsia="宋体" w:cs="宋体"/>
              </w:rPr>
            </w:pPr>
            <w:r>
              <w:rPr>
                <w:rFonts w:hint="eastAsia" w:ascii="宋体" w:hAnsi="宋体" w:eastAsia="宋体" w:cs="宋体"/>
                <w:b/>
                <w:sz w:val="24"/>
                <w:szCs w:val="28"/>
              </w:rPr>
              <w:t>注：未提供的不得分。</w:t>
            </w:r>
          </w:p>
        </w:tc>
        <w:tc>
          <w:tcPr>
            <w:tcW w:w="797" w:type="pct"/>
            <w:noWrap w:val="0"/>
            <w:vAlign w:val="center"/>
          </w:tcPr>
          <w:p>
            <w:pPr>
              <w:pStyle w:val="2"/>
              <w:keepNext w:val="0"/>
              <w:keepLines w:val="0"/>
              <w:pageBreakBefore w:val="0"/>
              <w:kinsoku/>
              <w:wordWrap/>
              <w:overflowPunct/>
              <w:topLinePunct w:val="0"/>
              <w:autoSpaceDE/>
              <w:autoSpaceDN/>
              <w:bidi w:val="0"/>
              <w:spacing w:line="240" w:lineRule="auto"/>
              <w:ind w:left="0" w:firstLine="0" w:firstLineChars="0"/>
              <w:jc w:val="both"/>
              <w:textAlignment w:val="auto"/>
              <w:rPr>
                <w:rFonts w:hint="eastAsia" w:ascii="宋体" w:hAnsi="宋体" w:eastAsia="宋体" w:cs="宋体"/>
                <w:b/>
                <w:bCs w:val="0"/>
                <w:sz w:val="24"/>
                <w:szCs w:val="28"/>
              </w:rPr>
            </w:pPr>
            <w:r>
              <w:rPr>
                <w:rFonts w:hint="eastAsia" w:ascii="宋体" w:hAnsi="宋体" w:eastAsia="宋体" w:cs="宋体"/>
                <w:b/>
                <w:bCs w:val="0"/>
                <w:i w:val="0"/>
                <w:iCs w:val="0"/>
                <w:spacing w:val="1"/>
                <w:sz w:val="24"/>
              </w:rPr>
              <w:t>（0-</w:t>
            </w:r>
            <w:r>
              <w:rPr>
                <w:rFonts w:hint="eastAsia" w:cs="宋体"/>
                <w:b/>
                <w:bCs w:val="0"/>
                <w:i w:val="0"/>
                <w:iCs w:val="0"/>
                <w:spacing w:val="1"/>
                <w:sz w:val="24"/>
                <w:lang w:val="en-US" w:eastAsia="zh-CN"/>
              </w:rPr>
              <w:t>21</w:t>
            </w:r>
            <w:r>
              <w:rPr>
                <w:rFonts w:hint="eastAsia" w:ascii="宋体" w:hAnsi="宋体" w:eastAsia="宋体" w:cs="宋体"/>
                <w:b/>
                <w:bCs w:val="0"/>
                <w:i w:val="0"/>
                <w:iCs w:val="0"/>
                <w:spacing w:val="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jc w:val="center"/>
        </w:trPr>
        <w:tc>
          <w:tcPr>
            <w:tcW w:w="506" w:type="pct"/>
            <w:noWrap w:val="0"/>
            <w:vAlign w:val="center"/>
          </w:tcPr>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pacing w:val="1"/>
                <w:sz w:val="24"/>
              </w:rPr>
            </w:pPr>
            <w:r>
              <w:rPr>
                <w:rFonts w:hint="eastAsia" w:ascii="宋体" w:hAnsi="宋体" w:eastAsia="宋体" w:cs="宋体"/>
                <w:b/>
                <w:bCs w:val="0"/>
                <w:i w:val="0"/>
                <w:iCs w:val="0"/>
                <w:spacing w:val="1"/>
                <w:sz w:val="24"/>
              </w:rPr>
              <w:t>人员配备</w:t>
            </w:r>
          </w:p>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z w:val="24"/>
              </w:rPr>
            </w:pPr>
          </w:p>
        </w:tc>
        <w:tc>
          <w:tcPr>
            <w:tcW w:w="3695"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ascii="宋体" w:hAnsi="宋体" w:eastAsia="宋体" w:cs="宋体"/>
                <w:sz w:val="24"/>
                <w:szCs w:val="24"/>
                <w:lang w:eastAsia="zh-CN"/>
              </w:rPr>
              <w:t>根据</w:t>
            </w:r>
            <w:r>
              <w:rPr>
                <w:rFonts w:hint="eastAsia" w:ascii="宋体" w:hAnsi="宋体" w:eastAsia="宋体" w:cs="宋体"/>
                <w:sz w:val="24"/>
                <w:lang w:eastAsia="zh-CN"/>
              </w:rPr>
              <w:t>投标人投标文件中提供的人员配备方案，主要考虑人员配备的科学合理性（专业技术证书、工作经历、应急能力、项目经验、工作时长、适应加班等）：</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人员配备方案内容详细全面、科学合理、人员专业水平强的，得</w:t>
            </w:r>
            <w:r>
              <w:rPr>
                <w:rFonts w:hint="eastAsia" w:hAnsi="宋体" w:cs="宋体"/>
                <w:sz w:val="24"/>
                <w:lang w:val="en-US" w:eastAsia="zh-CN"/>
              </w:rPr>
              <w:t>16</w:t>
            </w:r>
            <w:r>
              <w:rPr>
                <w:rFonts w:hint="eastAsia" w:ascii="宋体" w:hAnsi="宋体" w:eastAsia="宋体" w:cs="宋体"/>
                <w:sz w:val="24"/>
                <w:lang w:eastAsia="zh-CN"/>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人员配备方案内容基本全面、具有一定的合理性、人员具有一定专业水平的，得</w:t>
            </w:r>
            <w:r>
              <w:rPr>
                <w:rFonts w:hint="eastAsia" w:hAnsi="宋体" w:cs="宋体"/>
                <w:sz w:val="24"/>
                <w:lang w:val="en-US" w:eastAsia="zh-CN"/>
              </w:rPr>
              <w:t>12</w:t>
            </w:r>
            <w:r>
              <w:rPr>
                <w:rFonts w:hint="eastAsia" w:ascii="宋体" w:hAnsi="宋体" w:eastAsia="宋体" w:cs="宋体"/>
                <w:sz w:val="24"/>
                <w:lang w:eastAsia="zh-CN"/>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人员配备方案不够全面、不够合理、人员专业水平一般的，得</w:t>
            </w:r>
            <w:r>
              <w:rPr>
                <w:rFonts w:hint="eastAsia" w:hAnsi="宋体" w:cs="宋体"/>
                <w:sz w:val="24"/>
                <w:lang w:val="en-US" w:eastAsia="zh-CN"/>
              </w:rPr>
              <w:t>6</w:t>
            </w:r>
            <w:r>
              <w:rPr>
                <w:rFonts w:hint="eastAsia" w:ascii="宋体" w:hAnsi="宋体" w:eastAsia="宋体" w:cs="宋体"/>
                <w:sz w:val="24"/>
                <w:lang w:eastAsia="zh-CN"/>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人员配备方案较差、人员专业水平较差的，得基础分</w:t>
            </w:r>
            <w:r>
              <w:rPr>
                <w:rFonts w:hint="eastAsia" w:hAnsi="宋体" w:cs="宋体"/>
                <w:sz w:val="24"/>
                <w:lang w:val="en-US" w:eastAsia="zh-CN"/>
              </w:rPr>
              <w:t>2</w:t>
            </w:r>
            <w:r>
              <w:rPr>
                <w:rFonts w:hint="eastAsia" w:ascii="宋体" w:hAnsi="宋体" w:eastAsia="宋体" w:cs="宋体"/>
                <w:sz w:val="24"/>
                <w:lang w:eastAsia="zh-CN"/>
              </w:rPr>
              <w:t>分。</w:t>
            </w:r>
          </w:p>
          <w:p>
            <w:pPr>
              <w:keepNext w:val="0"/>
              <w:keepLines w:val="0"/>
              <w:pageBreakBefore w:val="0"/>
              <w:widowControl/>
              <w:kinsoku/>
              <w:wordWrap/>
              <w:overflowPunct/>
              <w:topLinePunct w:val="0"/>
              <w:autoSpaceDE/>
              <w:autoSpaceDN/>
              <w:bidi w:val="0"/>
              <w:spacing w:line="240" w:lineRule="auto"/>
              <w:contextualSpacing/>
              <w:jc w:val="both"/>
              <w:textAlignment w:val="auto"/>
              <w:rPr>
                <w:rFonts w:hint="eastAsia" w:ascii="宋体" w:hAnsi="宋体" w:eastAsia="宋体" w:cs="宋体"/>
                <w:b/>
                <w:bCs/>
                <w:sz w:val="24"/>
              </w:rPr>
            </w:pPr>
            <w:r>
              <w:rPr>
                <w:rFonts w:hint="eastAsia" w:ascii="宋体" w:hAnsi="宋体" w:eastAsia="宋体" w:cs="宋体"/>
                <w:b/>
                <w:sz w:val="24"/>
              </w:rPr>
              <w:t>注：未提供的不得分。</w:t>
            </w:r>
          </w:p>
        </w:tc>
        <w:tc>
          <w:tcPr>
            <w:tcW w:w="797" w:type="pct"/>
            <w:noWrap w:val="0"/>
            <w:vAlign w:val="center"/>
          </w:tcPr>
          <w:p>
            <w:pPr>
              <w:keepNext w:val="0"/>
              <w:keepLines w:val="0"/>
              <w:pageBreakBefore w:val="0"/>
              <w:widowControl/>
              <w:kinsoku/>
              <w:wordWrap/>
              <w:overflowPunct/>
              <w:topLinePunct w:val="0"/>
              <w:autoSpaceDE/>
              <w:autoSpaceDN/>
              <w:bidi w:val="0"/>
              <w:spacing w:line="240" w:lineRule="auto"/>
              <w:contextualSpacing/>
              <w:jc w:val="both"/>
              <w:textAlignment w:val="auto"/>
              <w:rPr>
                <w:rFonts w:hint="eastAsia" w:ascii="宋体" w:hAnsi="宋体" w:eastAsia="宋体" w:cs="宋体"/>
                <w:b/>
                <w:bCs w:val="0"/>
                <w:sz w:val="24"/>
              </w:rPr>
            </w:pPr>
            <w:r>
              <w:rPr>
                <w:rFonts w:hint="eastAsia" w:ascii="宋体" w:hAnsi="宋体" w:eastAsia="宋体" w:cs="宋体"/>
                <w:b/>
                <w:bCs w:val="0"/>
                <w:i w:val="0"/>
                <w:iCs w:val="0"/>
                <w:spacing w:val="1"/>
                <w:sz w:val="24"/>
              </w:rPr>
              <w:t>（0-</w:t>
            </w:r>
            <w:r>
              <w:rPr>
                <w:rFonts w:hint="eastAsia" w:hAnsi="宋体" w:cs="宋体"/>
                <w:b/>
                <w:bCs w:val="0"/>
                <w:i w:val="0"/>
                <w:iCs w:val="0"/>
                <w:spacing w:val="1"/>
                <w:sz w:val="24"/>
                <w:lang w:val="en-US" w:eastAsia="zh-CN"/>
              </w:rPr>
              <w:t>16</w:t>
            </w:r>
            <w:r>
              <w:rPr>
                <w:rFonts w:hint="eastAsia" w:ascii="宋体" w:hAnsi="宋体" w:eastAsia="宋体" w:cs="宋体"/>
                <w:b/>
                <w:bCs w:val="0"/>
                <w:i w:val="0"/>
                <w:iCs w:val="0"/>
                <w:spacing w:val="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506" w:type="pct"/>
            <w:noWrap w:val="0"/>
            <w:vAlign w:val="center"/>
          </w:tcPr>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pacing w:val="1"/>
                <w:sz w:val="24"/>
              </w:rPr>
            </w:pPr>
            <w:r>
              <w:rPr>
                <w:rFonts w:hint="eastAsia" w:ascii="宋体" w:hAnsi="宋体" w:eastAsia="宋体" w:cs="宋体"/>
                <w:b/>
                <w:bCs w:val="0"/>
                <w:i w:val="0"/>
                <w:iCs w:val="0"/>
                <w:spacing w:val="1"/>
                <w:sz w:val="24"/>
              </w:rPr>
              <w:t>信用评价</w:t>
            </w:r>
          </w:p>
        </w:tc>
        <w:tc>
          <w:tcPr>
            <w:tcW w:w="3695"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hAnsi="宋体" w:cs="宋体"/>
                <w:sz w:val="24"/>
                <w:lang w:val="en-US" w:eastAsia="zh-CN"/>
              </w:rPr>
              <w:t>2020年以来</w:t>
            </w:r>
            <w:r>
              <w:rPr>
                <w:rFonts w:hint="eastAsia" w:ascii="宋体" w:hAnsi="宋体" w:eastAsia="宋体" w:cs="宋体"/>
                <w:sz w:val="24"/>
                <w:lang w:eastAsia="zh-CN"/>
              </w:rPr>
              <w:t>投标人在省级及以上电梯维保单位信用评价中，</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获得过A+信用评价的，得</w:t>
            </w:r>
            <w:r>
              <w:rPr>
                <w:rFonts w:hint="eastAsia" w:hAnsi="宋体" w:cs="宋体"/>
                <w:sz w:val="24"/>
                <w:lang w:val="en-US" w:eastAsia="zh-CN"/>
              </w:rPr>
              <w:t>12</w:t>
            </w:r>
            <w:r>
              <w:rPr>
                <w:rFonts w:hint="eastAsia" w:ascii="宋体" w:hAnsi="宋体" w:eastAsia="宋体" w:cs="宋体"/>
                <w:sz w:val="24"/>
                <w:lang w:eastAsia="zh-CN"/>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获得过A信用评价的，得</w:t>
            </w:r>
            <w:r>
              <w:rPr>
                <w:rFonts w:hint="eastAsia" w:hAnsi="宋体" w:cs="宋体"/>
                <w:sz w:val="24"/>
                <w:lang w:val="en-US" w:eastAsia="zh-CN"/>
              </w:rPr>
              <w:t>6</w:t>
            </w:r>
            <w:r>
              <w:rPr>
                <w:rFonts w:hint="eastAsia" w:ascii="宋体" w:hAnsi="宋体" w:eastAsia="宋体" w:cs="宋体"/>
                <w:sz w:val="24"/>
                <w:lang w:eastAsia="zh-CN"/>
              </w:rPr>
              <w:t>分；</w:t>
            </w:r>
          </w:p>
          <w:p>
            <w:pPr>
              <w:pStyle w:val="7"/>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sz w:val="24"/>
                <w:szCs w:val="24"/>
                <w:lang w:eastAsia="zh-CN"/>
              </w:rPr>
            </w:pPr>
            <w:r>
              <w:rPr>
                <w:rFonts w:hint="eastAsia" w:ascii="宋体" w:hAnsi="宋体" w:eastAsia="宋体" w:cs="宋体"/>
                <w:b/>
                <w:bCs/>
                <w:color w:val="000000"/>
                <w:sz w:val="24"/>
                <w:szCs w:val="24"/>
                <w:lang w:eastAsia="zh-CN" w:bidi="ar"/>
              </w:rPr>
              <w:t>注：投标文件中提供以上证书扫描件或影印件，未提供的不得分。</w:t>
            </w:r>
          </w:p>
        </w:tc>
        <w:tc>
          <w:tcPr>
            <w:tcW w:w="797" w:type="pct"/>
            <w:noWrap w:val="0"/>
            <w:vAlign w:val="center"/>
          </w:tcPr>
          <w:p>
            <w:pPr>
              <w:pStyle w:val="7"/>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val="0"/>
                <w:color w:val="000000"/>
                <w:sz w:val="24"/>
                <w:szCs w:val="24"/>
                <w:lang w:eastAsia="zh-CN" w:bidi="ar"/>
              </w:rPr>
            </w:pPr>
            <w:r>
              <w:rPr>
                <w:rFonts w:hint="eastAsia" w:ascii="宋体" w:hAnsi="宋体" w:eastAsia="宋体" w:cs="宋体"/>
                <w:b/>
                <w:bCs w:val="0"/>
                <w:i w:val="0"/>
                <w:iCs w:val="0"/>
                <w:spacing w:val="1"/>
                <w:sz w:val="24"/>
              </w:rPr>
              <w:t>（0-1</w:t>
            </w:r>
            <w:r>
              <w:rPr>
                <w:rFonts w:hint="eastAsia" w:ascii="宋体" w:hAnsi="宋体" w:cs="宋体"/>
                <w:b/>
                <w:bCs w:val="0"/>
                <w:i w:val="0"/>
                <w:iCs w:val="0"/>
                <w:spacing w:val="1"/>
                <w:sz w:val="24"/>
                <w:lang w:val="en-US" w:eastAsia="zh-CN"/>
              </w:rPr>
              <w:t>2</w:t>
            </w:r>
            <w:r>
              <w:rPr>
                <w:rFonts w:hint="eastAsia" w:ascii="宋体" w:hAnsi="宋体" w:eastAsia="宋体" w:cs="宋体"/>
                <w:b/>
                <w:bCs w:val="0"/>
                <w:i w:val="0"/>
                <w:iCs w:val="0"/>
                <w:spacing w:val="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506"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i w:val="0"/>
                <w:iCs w:val="0"/>
                <w:sz w:val="24"/>
                <w:szCs w:val="24"/>
                <w:lang w:eastAsia="zh-CN"/>
              </w:rPr>
            </w:pPr>
            <w:r>
              <w:rPr>
                <w:rFonts w:hint="eastAsia" w:ascii="宋体" w:hAnsi="宋体" w:eastAsia="宋体" w:cs="宋体"/>
                <w:b/>
                <w:bCs w:val="0"/>
                <w:i w:val="0"/>
                <w:iCs w:val="0"/>
                <w:sz w:val="24"/>
                <w:szCs w:val="24"/>
                <w:lang w:eastAsia="zh-CN"/>
              </w:rPr>
              <w:t>投标人体系认证</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i w:val="0"/>
                <w:iCs w:val="0"/>
                <w:sz w:val="24"/>
                <w:szCs w:val="24"/>
                <w:lang w:eastAsia="zh-CN"/>
              </w:rPr>
            </w:pPr>
          </w:p>
        </w:tc>
        <w:tc>
          <w:tcPr>
            <w:tcW w:w="3695"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投标人具有经中国国家认证认可监督管理委员会认证机构颁发的有效期内的：</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1、</w:t>
            </w:r>
            <w:r>
              <w:rPr>
                <w:rFonts w:hint="eastAsia" w:ascii="宋体" w:hAnsi="宋体" w:eastAsia="宋体" w:cs="宋体"/>
                <w:color w:val="000000"/>
                <w:sz w:val="24"/>
                <w:szCs w:val="24"/>
                <w:lang w:eastAsia="zh-CN" w:bidi="ar"/>
              </w:rPr>
              <w:t xml:space="preserve">质量管理体系认证证书的，得3分； </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 xml:space="preserve">2、环境管理体系认证证书的，得3分； </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3、职业健康安全管理体系认证证书的，得3分。</w:t>
            </w:r>
          </w:p>
          <w:p>
            <w:pPr>
              <w:keepNext w:val="0"/>
              <w:keepLines w:val="0"/>
              <w:widowControl/>
              <w:suppressLineNumbers w:val="0"/>
              <w:jc w:val="left"/>
              <w:rPr>
                <w:rFonts w:hint="eastAsia" w:ascii="宋体" w:hAnsi="宋体" w:eastAsia="宋体" w:cs="宋体"/>
                <w:color w:val="000000"/>
                <w:sz w:val="24"/>
                <w:szCs w:val="24"/>
                <w:lang w:eastAsia="zh-CN" w:bidi="ar"/>
              </w:rPr>
            </w:pPr>
            <w:r>
              <w:rPr>
                <w:rFonts w:hint="eastAsia" w:ascii="宋体" w:hAnsi="宋体" w:eastAsia="宋体" w:cs="宋体"/>
                <w:b/>
                <w:bCs/>
                <w:color w:val="000000"/>
                <w:sz w:val="24"/>
                <w:szCs w:val="24"/>
                <w:lang w:eastAsia="zh-CN" w:bidi="ar"/>
              </w:rPr>
              <w:t>注：</w:t>
            </w:r>
            <w:r>
              <w:rPr>
                <w:rFonts w:hint="eastAsia" w:ascii="宋体" w:hAnsi="宋体" w:eastAsia="宋体" w:cs="宋体"/>
                <w:b/>
                <w:bCs/>
                <w:color w:val="000000"/>
                <w:kern w:val="0"/>
                <w:sz w:val="24"/>
                <w:szCs w:val="24"/>
                <w:lang w:val="en-US" w:eastAsia="zh-CN" w:bidi="ar"/>
              </w:rPr>
              <w:t>投标文件中提供上述证书的扫描件及全国认证认可信息公共服务平台官网证书信息查询截图。</w:t>
            </w:r>
          </w:p>
        </w:tc>
        <w:tc>
          <w:tcPr>
            <w:tcW w:w="797"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b/>
                <w:bCs w:val="0"/>
                <w:color w:val="000000"/>
                <w:sz w:val="24"/>
                <w:szCs w:val="24"/>
                <w:lang w:eastAsia="zh-CN" w:bidi="ar"/>
              </w:rPr>
            </w:pPr>
            <w:r>
              <w:rPr>
                <w:rFonts w:hint="eastAsia" w:ascii="宋体" w:hAnsi="宋体" w:eastAsia="宋体" w:cs="宋体"/>
                <w:b/>
                <w:bCs w:val="0"/>
                <w:i w:val="0"/>
                <w:iCs w:val="0"/>
                <w:sz w:val="24"/>
                <w:szCs w:val="24"/>
                <w:lang w:eastAsia="zh-CN"/>
              </w:rPr>
              <w:t>（0-9分）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06"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default" w:ascii="宋体" w:hAnsi="宋体" w:eastAsia="宋体" w:cs="宋体"/>
                <w:b/>
                <w:bCs w:val="0"/>
                <w:i w:val="0"/>
                <w:iCs w:val="0"/>
                <w:sz w:val="24"/>
                <w:szCs w:val="24"/>
                <w:lang w:val="en-US" w:eastAsia="zh-CN"/>
              </w:rPr>
            </w:pPr>
            <w:r>
              <w:rPr>
                <w:rFonts w:hint="eastAsia" w:ascii="宋体" w:hAnsi="宋体" w:eastAsia="宋体" w:cs="宋体"/>
                <w:b/>
                <w:bCs w:val="0"/>
                <w:i w:val="0"/>
                <w:iCs w:val="0"/>
                <w:sz w:val="24"/>
                <w:szCs w:val="24"/>
                <w:lang w:eastAsia="zh-CN"/>
              </w:rPr>
              <w:t>服务单位</w:t>
            </w:r>
            <w:r>
              <w:rPr>
                <w:rFonts w:hint="eastAsia" w:ascii="宋体" w:hAnsi="宋体" w:eastAsia="宋体" w:cs="宋体"/>
                <w:b/>
                <w:bCs w:val="0"/>
                <w:i w:val="0"/>
                <w:iCs w:val="0"/>
                <w:sz w:val="24"/>
                <w:szCs w:val="24"/>
                <w:lang w:val="en-US" w:eastAsia="zh-CN"/>
              </w:rPr>
              <w:t>荣誉</w:t>
            </w:r>
          </w:p>
        </w:tc>
        <w:tc>
          <w:tcPr>
            <w:tcW w:w="3695"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2020年以来投标人</w:t>
            </w:r>
            <w:r>
              <w:rPr>
                <w:rFonts w:hint="eastAsia" w:ascii="宋体" w:hAnsi="宋体" w:eastAsia="宋体" w:cs="宋体"/>
                <w:color w:val="000000"/>
                <w:sz w:val="24"/>
                <w:szCs w:val="24"/>
                <w:lang w:val="en-US" w:eastAsia="zh-CN" w:bidi="ar"/>
              </w:rPr>
              <w:t>具有行政主管部门或在国内依法登记注册的行业协会或学会颁发</w:t>
            </w:r>
            <w:r>
              <w:rPr>
                <w:rFonts w:hint="eastAsia" w:ascii="宋体" w:hAnsi="宋体" w:eastAsia="宋体" w:cs="宋体"/>
                <w:color w:val="000000"/>
                <w:sz w:val="24"/>
                <w:szCs w:val="24"/>
                <w:lang w:eastAsia="zh-CN" w:bidi="ar"/>
              </w:rPr>
              <w:t>星级电梯维保服务单位的：</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1、获得五星级的，得</w:t>
            </w:r>
            <w:r>
              <w:rPr>
                <w:rFonts w:hint="eastAsia" w:ascii="宋体" w:hAnsi="宋体" w:eastAsia="宋体" w:cs="宋体"/>
                <w:color w:val="000000"/>
                <w:sz w:val="24"/>
                <w:szCs w:val="24"/>
                <w:lang w:val="en-US" w:eastAsia="zh-CN" w:bidi="ar"/>
              </w:rPr>
              <w:t>12</w:t>
            </w:r>
            <w:r>
              <w:rPr>
                <w:rFonts w:hint="eastAsia" w:ascii="宋体" w:hAnsi="宋体" w:eastAsia="宋体" w:cs="宋体"/>
                <w:color w:val="000000"/>
                <w:sz w:val="24"/>
                <w:szCs w:val="24"/>
                <w:lang w:eastAsia="zh-CN" w:bidi="ar"/>
              </w:rPr>
              <w:t xml:space="preserve">分； </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2、获得四星级的，得</w:t>
            </w:r>
            <w:r>
              <w:rPr>
                <w:rFonts w:hint="eastAsia" w:ascii="宋体" w:hAnsi="宋体" w:eastAsia="宋体" w:cs="宋体"/>
                <w:color w:val="000000"/>
                <w:sz w:val="24"/>
                <w:szCs w:val="24"/>
                <w:lang w:val="en-US" w:eastAsia="zh-CN" w:bidi="ar"/>
              </w:rPr>
              <w:t>8</w:t>
            </w:r>
            <w:r>
              <w:rPr>
                <w:rFonts w:hint="eastAsia" w:ascii="宋体" w:hAnsi="宋体" w:eastAsia="宋体" w:cs="宋体"/>
                <w:color w:val="000000"/>
                <w:sz w:val="24"/>
                <w:szCs w:val="24"/>
                <w:lang w:eastAsia="zh-CN" w:bidi="ar"/>
              </w:rPr>
              <w:t xml:space="preserve">分； </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3、获得三星级的，得</w:t>
            </w:r>
            <w:r>
              <w:rPr>
                <w:rFonts w:hint="eastAsia" w:ascii="宋体" w:hAnsi="宋体" w:eastAsia="宋体" w:cs="宋体"/>
                <w:color w:val="000000"/>
                <w:sz w:val="24"/>
                <w:szCs w:val="24"/>
                <w:lang w:val="en-US" w:eastAsia="zh-CN" w:bidi="ar"/>
              </w:rPr>
              <w:t>4</w:t>
            </w:r>
            <w:r>
              <w:rPr>
                <w:rFonts w:hint="eastAsia" w:ascii="宋体" w:hAnsi="宋体" w:eastAsia="宋体" w:cs="宋体"/>
                <w:color w:val="000000"/>
                <w:sz w:val="24"/>
                <w:szCs w:val="24"/>
                <w:lang w:eastAsia="zh-CN" w:bidi="ar"/>
              </w:rPr>
              <w:t>分。</w:t>
            </w:r>
          </w:p>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b/>
                <w:bCs/>
                <w:color w:val="000000"/>
                <w:sz w:val="24"/>
                <w:szCs w:val="24"/>
                <w:lang w:eastAsia="zh-CN" w:bidi="ar"/>
              </w:rPr>
              <w:t>注：投标文件中提供证书、批复、网上公示截图（具有其中之一即可）等证明材料的</w:t>
            </w:r>
            <w:r>
              <w:rPr>
                <w:rFonts w:hint="eastAsia" w:ascii="宋体" w:hAnsi="宋体" w:eastAsia="宋体" w:cs="宋体"/>
                <w:b/>
                <w:bCs/>
                <w:color w:val="000000"/>
                <w:sz w:val="24"/>
                <w:szCs w:val="24"/>
                <w:lang w:val="en-US" w:eastAsia="zh-CN" w:bidi="ar"/>
              </w:rPr>
              <w:t>复印</w:t>
            </w:r>
            <w:r>
              <w:rPr>
                <w:rFonts w:hint="eastAsia" w:ascii="宋体" w:hAnsi="宋体" w:eastAsia="宋体" w:cs="宋体"/>
                <w:b/>
                <w:bCs/>
                <w:color w:val="000000"/>
                <w:sz w:val="24"/>
                <w:szCs w:val="24"/>
                <w:lang w:eastAsia="zh-CN" w:bidi="ar"/>
              </w:rPr>
              <w:t>件。证明材料须能体现投标人名称。“国内依法登记注册”以中国社会组织政务服务平台中“全国社会组织信用信息公示平台（试运行）”查询结果为准。针对国内依法登记注册的行业协会（或学会）颁发的奖项、荣誉，投标文件中须提供提供该协会在中国社会组织政务服务平台中“全国社会组织信用信息公示平台（试运行）”查询结果截图。民政部公布的“离岸社团”、“山寨社团”颁发的奖项、荣誉均无效。</w:t>
            </w:r>
          </w:p>
        </w:tc>
        <w:tc>
          <w:tcPr>
            <w:tcW w:w="797" w:type="pct"/>
            <w:noWrap w:val="0"/>
            <w:vAlign w:val="center"/>
          </w:tcPr>
          <w:p>
            <w:pPr>
              <w:pStyle w:val="39"/>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b/>
                <w:bCs w:val="0"/>
                <w:color w:val="000000"/>
                <w:sz w:val="24"/>
                <w:szCs w:val="24"/>
                <w:lang w:eastAsia="zh-CN" w:bidi="ar"/>
              </w:rPr>
            </w:pPr>
            <w:r>
              <w:rPr>
                <w:rFonts w:hint="eastAsia" w:ascii="宋体" w:hAnsi="宋体" w:eastAsia="宋体" w:cs="宋体"/>
                <w:b/>
                <w:bCs w:val="0"/>
                <w:i w:val="0"/>
                <w:iCs w:val="0"/>
                <w:sz w:val="24"/>
                <w:szCs w:val="24"/>
                <w:lang w:eastAsia="zh-CN"/>
              </w:rPr>
              <w:t>（0-1</w:t>
            </w:r>
            <w:r>
              <w:rPr>
                <w:rFonts w:hint="eastAsia" w:ascii="宋体" w:hAnsi="宋体" w:eastAsia="宋体" w:cs="宋体"/>
                <w:b/>
                <w:bCs w:val="0"/>
                <w:i w:val="0"/>
                <w:iCs w:val="0"/>
                <w:sz w:val="24"/>
                <w:szCs w:val="24"/>
                <w:lang w:val="en-US" w:eastAsia="zh-CN"/>
              </w:rPr>
              <w:t>2</w:t>
            </w:r>
            <w:r>
              <w:rPr>
                <w:rFonts w:hint="eastAsia" w:ascii="宋体" w:hAnsi="宋体" w:eastAsia="宋体" w:cs="宋体"/>
                <w:b/>
                <w:bCs w:val="0"/>
                <w:i w:val="0"/>
                <w:iCs w:val="0"/>
                <w:sz w:val="24"/>
                <w:szCs w:val="24"/>
                <w:lang w:eastAsia="zh-CN"/>
              </w:rPr>
              <w:t>分）</w:t>
            </w:r>
          </w:p>
        </w:tc>
      </w:tr>
    </w:tbl>
    <w:p>
      <w:pPr>
        <w:pStyle w:val="1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lang w:eastAsia="zh-CN"/>
        </w:rPr>
      </w:pPr>
      <w:r>
        <w:rPr>
          <w:rFonts w:hint="eastAsia" w:ascii="宋体" w:hAnsi="宋体"/>
          <w:b w:val="0"/>
          <w:bCs/>
          <w:sz w:val="24"/>
          <w:lang w:val="en-US" w:eastAsia="zh-CN"/>
        </w:rPr>
        <w:t>2.2.2.2</w:t>
      </w:r>
      <w:r>
        <w:rPr>
          <w:rFonts w:hint="eastAsia" w:ascii="宋体" w:hAnsi="宋体"/>
          <w:b w:val="0"/>
          <w:bCs/>
          <w:sz w:val="24"/>
        </w:rPr>
        <w:t>磋商</w:t>
      </w:r>
      <w:r>
        <w:rPr>
          <w:rFonts w:hint="eastAsia" w:ascii="宋体" w:hAnsi="宋体"/>
          <w:b w:val="0"/>
          <w:bCs/>
          <w:sz w:val="24"/>
          <w:lang w:eastAsia="zh-CN"/>
        </w:rPr>
        <w:t>报价</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sz w:val="24"/>
          <w:lang w:eastAsia="zh-CN"/>
        </w:rPr>
        <w:t>因开标硬件设施限制，本次磋商，投标人只需一次报价（以开标一览表中报价为准），无需进行二轮及多轮报价，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报价是签订合同的依据。</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spacing w:line="460" w:lineRule="exact"/>
              <w:jc w:val="left"/>
              <w:rPr>
                <w:rFonts w:ascii="宋体" w:hAnsi="宋体" w:eastAsia="宋体" w:cs="宋体"/>
                <w:sz w:val="24"/>
              </w:rPr>
            </w:pPr>
            <w:r>
              <w:rPr>
                <w:rFonts w:hint="eastAsia" w:ascii="宋体" w:hAnsi="宋体" w:eastAsia="宋体" w:cs="宋体"/>
                <w:sz w:val="24"/>
              </w:rPr>
              <w:t>价格分统一采用低价优先法，即满足招标文件要求且投标价格最低的投标报价为评标基准价，其价格分为满分</w:t>
            </w:r>
            <w:r>
              <w:rPr>
                <w:rFonts w:hint="eastAsia" w:ascii="宋体" w:hAnsi="宋体" w:eastAsia="宋体" w:cs="宋体"/>
                <w:sz w:val="24"/>
                <w:u w:val="single"/>
              </w:rPr>
              <w:t xml:space="preserve"> </w:t>
            </w:r>
            <w:r>
              <w:rPr>
                <w:rFonts w:hint="eastAsia" w:hAnsi="宋体" w:cs="宋体"/>
                <w:sz w:val="24"/>
                <w:u w:val="single"/>
                <w:lang w:val="en-US" w:eastAsia="zh-CN"/>
              </w:rPr>
              <w:t>30</w:t>
            </w:r>
            <w:r>
              <w:rPr>
                <w:rFonts w:hint="eastAsia" w:ascii="宋体" w:hAnsi="宋体" w:eastAsia="宋体" w:cs="宋体"/>
                <w:sz w:val="24"/>
                <w:u w:val="single"/>
              </w:rPr>
              <w:t xml:space="preserve"> </w:t>
            </w:r>
            <w:r>
              <w:rPr>
                <w:rFonts w:hint="eastAsia" w:ascii="宋体" w:hAnsi="宋体" w:eastAsia="宋体" w:cs="宋体"/>
                <w:sz w:val="24"/>
              </w:rPr>
              <w:t>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rPr>
              <w:t>投标报价得分＝（评标基准价/投标报价）×</w:t>
            </w:r>
            <w:r>
              <w:rPr>
                <w:rFonts w:hint="eastAsia" w:ascii="宋体" w:hAnsi="宋体" w:eastAsia="宋体" w:cs="宋体"/>
                <w:sz w:val="24"/>
                <w:u w:val="single"/>
              </w:rPr>
              <w:t xml:space="preserve"> </w:t>
            </w:r>
            <w:r>
              <w:rPr>
                <w:rFonts w:hint="eastAsia" w:hAnsi="宋体" w:cs="宋体"/>
                <w:sz w:val="24"/>
                <w:u w:val="single"/>
                <w:lang w:val="en-US" w:eastAsia="zh-CN"/>
              </w:rPr>
              <w:t>30</w:t>
            </w:r>
            <w:r>
              <w:rPr>
                <w:rFonts w:hint="eastAsia" w:ascii="宋体" w:hAnsi="宋体" w:eastAsia="宋体" w:cs="宋体"/>
                <w:sz w:val="24"/>
                <w:u w:val="single"/>
              </w:rPr>
              <w:t xml:space="preserve"> </w:t>
            </w:r>
            <w:r>
              <w:rPr>
                <w:rFonts w:hint="eastAsia" w:ascii="宋体" w:hAnsi="宋体" w:eastAsia="宋体" w:cs="宋体"/>
                <w:sz w:val="24"/>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lang w:val="en-US" w:eastAsia="zh-CN"/>
              </w:rPr>
              <w:t>0-</w:t>
            </w:r>
            <w:r>
              <w:rPr>
                <w:rFonts w:hint="eastAsia" w:hAnsi="宋体" w:cs="宋体"/>
                <w:sz w:val="24"/>
                <w:szCs w:val="24"/>
                <w:lang w:val="en-US" w:eastAsia="zh-CN"/>
              </w:rPr>
              <w:t>30</w:t>
            </w:r>
            <w:r>
              <w:rPr>
                <w:rFonts w:hint="eastAsia" w:ascii="宋体" w:hAnsi="宋体" w:eastAsia="宋体" w:cs="宋体"/>
                <w:sz w:val="24"/>
                <w:szCs w:val="24"/>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2.2.3分值汇总</w:t>
      </w:r>
    </w:p>
    <w:p>
      <w:pPr>
        <w:numPr>
          <w:ilvl w:val="0"/>
          <w:numId w:val="11"/>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11"/>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5"/>
    <w:p>
      <w:pPr>
        <w:adjustRightInd w:val="0"/>
        <w:snapToGrid w:val="0"/>
        <w:spacing w:line="360" w:lineRule="auto"/>
        <w:ind w:right="-10" w:firstLine="420" w:firstLineChars="175"/>
        <w:rPr>
          <w:rFonts w:ascii="宋体" w:hAnsi="宋体"/>
          <w:bCs/>
          <w:sz w:val="24"/>
        </w:rPr>
      </w:pPr>
      <w:bookmarkStart w:id="46"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7" w:name="_Hlk514735510"/>
      <w:r>
        <w:rPr>
          <w:rFonts w:hint="eastAsia" w:ascii="宋体" w:hAnsi="宋体"/>
          <w:bCs/>
          <w:sz w:val="24"/>
        </w:rPr>
        <w:t>则采取磋商小组抽签方式确定其前后次序。</w:t>
      </w:r>
      <w:bookmarkEnd w:id="47"/>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5"/>
        <w:numPr>
          <w:ilvl w:val="0"/>
          <w:numId w:val="0"/>
        </w:numPr>
        <w:jc w:val="center"/>
        <w:rPr>
          <w:rFonts w:hint="eastAsia" w:ascii="宋体" w:hAnsi="Times New Roman" w:eastAsia="宋体" w:cs="Times New Roman"/>
          <w:b/>
          <w:bCs/>
          <w:lang w:val="en-US" w:eastAsia="zh-CN"/>
        </w:rPr>
      </w:pPr>
      <w:bookmarkStart w:id="48" w:name="_Toc22920"/>
      <w:r>
        <w:rPr>
          <w:rFonts w:hint="eastAsia" w:ascii="宋体" w:hAnsi="Times New Roman" w:eastAsia="宋体" w:cs="Times New Roman"/>
          <w:b/>
          <w:bCs/>
          <w:lang w:val="en-US" w:eastAsia="zh-CN"/>
        </w:rPr>
        <w:t>第五章 合同条款及格式</w:t>
      </w:r>
      <w:bookmarkEnd w:id="46"/>
      <w:r>
        <w:rPr>
          <w:rFonts w:hint="eastAsia" w:ascii="宋体" w:hAnsi="Times New Roman" w:eastAsia="宋体" w:cs="Times New Roman"/>
          <w:b/>
          <w:bCs/>
          <w:lang w:val="en-US" w:eastAsia="zh-CN"/>
        </w:rPr>
        <w:t>（另行提供）</w:t>
      </w:r>
      <w:bookmarkEnd w:id="48"/>
    </w:p>
    <w:p>
      <w:pPr>
        <w:jc w:val="center"/>
        <w:rPr>
          <w:rFonts w:hint="eastAsia" w:ascii="黑体" w:hAnsi="黑体" w:eastAsia="黑体"/>
          <w:bCs/>
          <w:kern w:val="44"/>
          <w:sz w:val="32"/>
          <w:szCs w:val="4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5"/>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bookmarkStart w:id="49" w:name="_Toc15202"/>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8"/>
        <w:jc w:val="center"/>
        <w:rPr>
          <w:rFonts w:hint="eastAsia" w:ascii="黑体" w:hAnsi="黑体" w:eastAsia="黑体"/>
          <w:b w:val="0"/>
          <w:sz w:val="44"/>
          <w:szCs w:val="44"/>
          <w:highlight w:val="none"/>
          <w:lang w:eastAsia="zh-CN"/>
        </w:rPr>
      </w:pPr>
      <w:bookmarkStart w:id="50" w:name="_Toc1124"/>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8"/>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18974"/>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4" w:name="_Toc4449"/>
      <w:r>
        <w:rPr>
          <w:rFonts w:hint="eastAsia" w:ascii="宋体" w:hAnsi="Times New Roman" w:eastAsia="宋体" w:cs="Times New Roman"/>
          <w:bCs w:val="0"/>
          <w:sz w:val="24"/>
          <w:highlight w:val="none"/>
          <w:lang w:val="en-US" w:eastAsia="zh-CN" w:bidi="ar-SA"/>
        </w:rPr>
        <w:t>一、开标一览表</w:t>
      </w:r>
      <w:bookmarkEnd w:id="5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widowControl/>
              <w:spacing w:line="360" w:lineRule="auto"/>
              <w:jc w:val="center"/>
              <w:textAlignment w:val="center"/>
              <w:rPr>
                <w:rFonts w:hint="default" w:ascii="宋体" w:hAnsi="宋体" w:eastAsia="宋体"/>
                <w:b w:val="0"/>
                <w:bCs/>
                <w:color w:val="auto"/>
                <w:sz w:val="24"/>
                <w:szCs w:val="28"/>
                <w:highlight w:val="none"/>
                <w:lang w:val="en-US" w:eastAsia="zh-CN"/>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hint="eastAsia" w:ascii="宋体" w:hAnsi="宋体"/>
          <w:b w:val="0"/>
          <w:bCs/>
          <w:color w:val="auto"/>
          <w:sz w:val="24"/>
          <w:highlight w:val="none"/>
        </w:rPr>
      </w:pPr>
      <w:r>
        <w:rPr>
          <w:rFonts w:hint="eastAsia" w:ascii="宋体" w:hAnsi="宋体"/>
          <w:b w:val="0"/>
          <w:bCs/>
          <w:color w:val="auto"/>
          <w:sz w:val="24"/>
          <w:highlight w:val="none"/>
        </w:rPr>
        <w:t>备注：</w:t>
      </w:r>
      <w:r>
        <w:rPr>
          <w:rFonts w:hint="eastAsia" w:hAnsi="宋体"/>
          <w:b w:val="0"/>
          <w:bCs/>
          <w:color w:val="auto"/>
          <w:sz w:val="24"/>
          <w:highlight w:val="none"/>
          <w:lang w:val="en-US" w:eastAsia="zh-CN"/>
        </w:rPr>
        <w:t>1、</w:t>
      </w:r>
      <w:r>
        <w:rPr>
          <w:rFonts w:hint="eastAsia" w:ascii="宋体" w:hAnsi="宋体"/>
          <w:b w:val="0"/>
          <w:bCs/>
          <w:color w:val="auto"/>
          <w:sz w:val="24"/>
          <w:highlight w:val="none"/>
        </w:rPr>
        <w:t>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pStyle w:val="2"/>
        <w:ind w:left="0" w:leftChars="0" w:firstLine="720" w:firstLineChars="300"/>
        <w:rPr>
          <w:rFonts w:hint="default" w:eastAsia="宋体"/>
          <w:lang w:val="en-US" w:eastAsia="zh-CN"/>
        </w:rPr>
      </w:pPr>
      <w:r>
        <w:rPr>
          <w:rFonts w:hint="eastAsia"/>
          <w:b w:val="0"/>
          <w:bCs/>
          <w:color w:val="auto"/>
          <w:sz w:val="24"/>
          <w:highlight w:val="none"/>
          <w:lang w:val="en-US" w:eastAsia="zh-CN"/>
        </w:rPr>
        <w:t>2、投标报价表大写金额与小写金额不一致的，以大写金额为准（有明显错误的除外）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6942"/>
      <w:r>
        <w:rPr>
          <w:rFonts w:hint="eastAsia" w:ascii="宋体" w:hAnsi="Times New Roman" w:eastAsia="宋体" w:cs="Times New Roman"/>
          <w:bCs w:val="0"/>
          <w:sz w:val="24"/>
          <w:highlight w:val="none"/>
          <w:lang w:val="en-US" w:eastAsia="zh-CN" w:bidi="ar-SA"/>
        </w:rPr>
        <w:t>二、投标人基本情况表</w:t>
      </w:r>
      <w:bookmarkEnd w:id="55"/>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9"/>
        <w:jc w:val="center"/>
        <w:outlineLvl w:val="1"/>
        <w:rPr>
          <w:rFonts w:hint="eastAsia" w:ascii="宋体" w:hAnsi="Times New Roman" w:eastAsia="宋体" w:cs="Times New Roman"/>
          <w:bCs w:val="0"/>
          <w:sz w:val="24"/>
          <w:highlight w:val="none"/>
          <w:lang w:val="en-US" w:eastAsia="zh-CN" w:bidi="ar-SA"/>
        </w:rPr>
      </w:pPr>
      <w:bookmarkStart w:id="56" w:name="_Toc27701"/>
      <w:bookmarkStart w:id="57" w:name="_Toc460660223"/>
      <w:bookmarkStart w:id="58" w:name="_Toc421917001"/>
      <w:bookmarkStart w:id="59" w:name="_Toc460227108"/>
      <w:bookmarkStart w:id="60" w:name="_Toc390411621"/>
      <w:bookmarkStart w:id="61" w:name="_Toc224103496"/>
      <w:r>
        <w:rPr>
          <w:rFonts w:hint="eastAsia" w:ascii="宋体" w:hAnsi="Times New Roman" w:eastAsia="宋体" w:cs="Times New Roman"/>
          <w:bCs w:val="0"/>
          <w:sz w:val="24"/>
          <w:highlight w:val="none"/>
          <w:lang w:val="en-US" w:eastAsia="zh-CN" w:bidi="ar-SA"/>
        </w:rPr>
        <w:t>三、投标函</w:t>
      </w:r>
      <w:bookmarkEnd w:id="56"/>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1.我方按磋商文件规定提供服务的最终投标报价详见最终报价表，我方完全响应磋商文件规定的服务期限及付款和结算方式。如我方中标，我方承诺愿意按磋商文件规定交纳履约保证金、工程量清单（如有）和</w:t>
      </w:r>
      <w:bookmarkStart w:id="62" w:name="_Hlk2920264"/>
      <w:r>
        <w:rPr>
          <w:rFonts w:hint="eastAsia" w:ascii="宋体" w:hAnsi="宋体"/>
          <w:color w:val="auto"/>
          <w:sz w:val="24"/>
          <w:highlight w:val="none"/>
        </w:rPr>
        <w:t>最高投标限价（招标控制价）</w:t>
      </w:r>
      <w:bookmarkEnd w:id="62"/>
      <w:r>
        <w:rPr>
          <w:rFonts w:hint="eastAsia" w:ascii="宋体" w:hAnsi="宋体"/>
          <w:color w:val="auto"/>
          <w:sz w:val="24"/>
          <w:highlight w:val="none"/>
        </w:rPr>
        <w:t>编制费（如有）。</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开户行：</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投标人电子签章：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bookmarkStart w:id="63" w:name="_Hlt514495724"/>
      <w:bookmarkEnd w:id="63"/>
      <w:bookmarkStart w:id="64" w:name="_Hlt533408944"/>
      <w:bookmarkEnd w:id="64"/>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rPr>
          <w:rFonts w:hint="eastAsia"/>
          <w:highlight w:val="none"/>
        </w:rPr>
      </w:pPr>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240" w:firstLineChars="100"/>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1"/>
    <w:p>
      <w:pPr>
        <w:jc w:val="center"/>
        <w:rPr>
          <w:rFonts w:hint="eastAsia"/>
          <w:sz w:val="32"/>
          <w:szCs w:val="32"/>
          <w:highlight w:val="none"/>
        </w:rPr>
      </w:pPr>
      <w:bookmarkStart w:id="65" w:name="_Toc535241084"/>
      <w:bookmarkStart w:id="66" w:name="_Toc535241130"/>
      <w:bookmarkStart w:id="67" w:name="_Toc535241227"/>
      <w:bookmarkStart w:id="68" w:name="_Toc224103498"/>
      <w:bookmarkStart w:id="69" w:name="_Toc224103497"/>
      <w:r>
        <w:rPr>
          <w:sz w:val="32"/>
          <w:szCs w:val="32"/>
          <w:highlight w:val="none"/>
        </w:rPr>
        <w:br w:type="page"/>
      </w:r>
      <w:r>
        <w:rPr>
          <w:rFonts w:hint="eastAsia" w:ascii="黑体" w:hAnsi="黑体" w:eastAsia="黑体"/>
          <w:bCs/>
          <w:highlight w:val="none"/>
        </w:rPr>
        <w:t>授权委托书</w:t>
      </w:r>
      <w:bookmarkEnd w:id="65"/>
      <w:bookmarkEnd w:id="66"/>
      <w:bookmarkEnd w:id="67"/>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34"/>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8"/>
      <w:bookmarkEnd w:id="69"/>
      <w:bookmarkStart w:id="70" w:name="_Toc224103499"/>
      <w:bookmarkStart w:id="71" w:name="_Toc421917002"/>
      <w:bookmarkStart w:id="72" w:name="_Toc460660224"/>
      <w:bookmarkStart w:id="73" w:name="_Toc460227109"/>
      <w:bookmarkStart w:id="74" w:name="_Toc390411622"/>
    </w:p>
    <w:bookmarkEnd w:id="70"/>
    <w:bookmarkEnd w:id="71"/>
    <w:bookmarkEnd w:id="72"/>
    <w:bookmarkEnd w:id="73"/>
    <w:bookmarkEnd w:id="74"/>
    <w:p>
      <w:pPr>
        <w:wordWrap w:val="0"/>
        <w:spacing w:line="394" w:lineRule="exact"/>
        <w:jc w:val="both"/>
        <w:rPr>
          <w:rFonts w:hint="default" w:ascii="宋体" w:hAnsi="Times New Roman" w:eastAsia="黑体" w:cs="Times New Roman"/>
          <w:highlight w:val="none"/>
          <w:lang w:val="en-US" w:eastAsia="zh-CN"/>
        </w:rPr>
      </w:pPr>
      <w:bookmarkStart w:id="75" w:name="_Toc460227110"/>
      <w:bookmarkStart w:id="76" w:name="_Toc460660225"/>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7" w:name="_Toc535241135"/>
      <w:bookmarkStart w:id="78" w:name="_Toc535241232"/>
      <w:bookmarkStart w:id="79" w:name="_Toc535241089"/>
      <w:bookmarkStart w:id="80" w:name="_Toc535241229"/>
      <w:bookmarkStart w:id="81" w:name="_Toc535241086"/>
      <w:bookmarkStart w:id="82" w:name="_Toc535241132"/>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2120"/>
      <w:r>
        <w:rPr>
          <w:rFonts w:hint="eastAsia" w:ascii="宋体" w:hAnsi="Times New Roman" w:eastAsia="宋体" w:cs="Times New Roman"/>
          <w:bCs w:val="0"/>
          <w:sz w:val="24"/>
          <w:highlight w:val="none"/>
          <w:lang w:val="en-US" w:eastAsia="zh-CN" w:bidi="ar-SA"/>
        </w:rPr>
        <w:t>五、投标人信用承诺</w:t>
      </w:r>
      <w:bookmarkEnd w:id="83"/>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14149"/>
      <w:r>
        <w:rPr>
          <w:rFonts w:hint="eastAsia" w:ascii="宋体" w:hAnsi="Times New Roman" w:eastAsia="宋体" w:cs="Times New Roman"/>
          <w:bCs w:val="0"/>
          <w:sz w:val="24"/>
          <w:highlight w:val="none"/>
          <w:lang w:val="en-US" w:eastAsia="zh-CN" w:bidi="ar-SA"/>
        </w:rPr>
        <w:t>六、投标人业绩</w:t>
      </w:r>
      <w:bookmarkEnd w:id="84"/>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5" w:name="_Toc27548"/>
      <w:r>
        <w:rPr>
          <w:rFonts w:hint="eastAsia" w:ascii="宋体" w:hAnsi="Times New Roman" w:eastAsia="宋体" w:cs="Times New Roman"/>
          <w:bCs w:val="0"/>
          <w:sz w:val="24"/>
          <w:highlight w:val="none"/>
          <w:lang w:val="en-US" w:eastAsia="zh-CN" w:bidi="ar-SA"/>
        </w:rPr>
        <w:t>七、奖项、荣誉（如有）</w:t>
      </w:r>
      <w:bookmarkEnd w:id="85"/>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6" w:name="_Toc27101"/>
      <w:r>
        <w:rPr>
          <w:rFonts w:hint="eastAsia" w:ascii="宋体" w:hAnsi="Times New Roman" w:eastAsia="宋体" w:cs="Times New Roman"/>
          <w:bCs w:val="0"/>
          <w:sz w:val="24"/>
          <w:highlight w:val="none"/>
          <w:lang w:val="en-US" w:eastAsia="zh-CN" w:bidi="ar-SA"/>
        </w:rPr>
        <w:t>八、项目管理机构</w:t>
      </w:r>
      <w:bookmarkEnd w:id="86"/>
    </w:p>
    <w:bookmarkEnd w:id="77"/>
    <w:bookmarkEnd w:id="78"/>
    <w:bookmarkEnd w:id="79"/>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7" w:name="_Toc152045805"/>
      <w:bookmarkStart w:id="88" w:name="_Toc482188668"/>
      <w:bookmarkStart w:id="89" w:name="_Toc370676440"/>
      <w:bookmarkStart w:id="90" w:name="_Toc179632825"/>
      <w:bookmarkStart w:id="91" w:name="_Toc359594249"/>
      <w:bookmarkStart w:id="92" w:name="_Toc385943079"/>
      <w:bookmarkStart w:id="93" w:name="_Toc300835232"/>
      <w:bookmarkStart w:id="94" w:name="_Toc391394125"/>
      <w:bookmarkStart w:id="95" w:name="_Toc384308390"/>
      <w:bookmarkStart w:id="96" w:name="_Toc152042594"/>
      <w:bookmarkStart w:id="97" w:name="_Toc492300541"/>
      <w:bookmarkStart w:id="98" w:name="_Toc144974873"/>
      <w:r>
        <w:rPr>
          <w:rFonts w:hint="eastAsia" w:ascii="宋体" w:hAnsi="宋体"/>
          <w:b/>
          <w:bCs/>
          <w:color w:val="auto"/>
          <w:sz w:val="24"/>
          <w:szCs w:val="24"/>
          <w:highlight w:val="none"/>
        </w:rPr>
        <w:t>（二）主要人员简历表</w:t>
      </w:r>
      <w:bookmarkEnd w:id="87"/>
      <w:bookmarkEnd w:id="88"/>
      <w:bookmarkEnd w:id="89"/>
      <w:bookmarkEnd w:id="90"/>
      <w:bookmarkEnd w:id="91"/>
      <w:bookmarkEnd w:id="92"/>
      <w:bookmarkEnd w:id="93"/>
      <w:bookmarkEnd w:id="94"/>
      <w:bookmarkEnd w:id="95"/>
      <w:bookmarkEnd w:id="96"/>
      <w:bookmarkEnd w:id="97"/>
      <w:bookmarkEnd w:id="98"/>
    </w:p>
    <w:p>
      <w:pPr>
        <w:topLinePunct/>
        <w:spacing w:line="440" w:lineRule="exact"/>
        <w:jc w:val="center"/>
        <w:rPr>
          <w:color w:val="auto"/>
          <w:sz w:val="23"/>
          <w:highlight w:val="none"/>
        </w:rPr>
      </w:pPr>
      <w:r>
        <w:rPr>
          <w:rFonts w:hint="eastAsia"/>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5"/>
    <w:bookmarkEnd w:id="76"/>
    <w:bookmarkEnd w:id="80"/>
    <w:bookmarkEnd w:id="81"/>
    <w:bookmarkEnd w:id="82"/>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9" w:name="_Toc16313"/>
      <w:r>
        <w:rPr>
          <w:rFonts w:hint="eastAsia" w:ascii="宋体" w:hAnsi="宋体" w:eastAsia="宋体" w:cs="宋体"/>
          <w:b/>
          <w:bCs/>
          <w:spacing w:val="-2"/>
          <w:sz w:val="24"/>
          <w:szCs w:val="24"/>
          <w:lang w:val="en-US" w:eastAsia="zh-CN"/>
        </w:rPr>
        <w:t>九、后期服务方案</w:t>
      </w:r>
      <w:bookmarkEnd w:id="99"/>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100" w:name="_Toc9466"/>
      <w:r>
        <w:rPr>
          <w:rFonts w:hint="eastAsia" w:ascii="宋体" w:hAnsi="宋体" w:eastAsia="宋体" w:cs="宋体"/>
          <w:b/>
          <w:bCs/>
          <w:spacing w:val="-2"/>
          <w:sz w:val="24"/>
          <w:szCs w:val="24"/>
          <w:lang w:val="en-US" w:eastAsia="zh-CN"/>
        </w:rPr>
        <w:t>十、其他资料</w:t>
      </w:r>
      <w:bookmarkEnd w:id="100"/>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hint="eastAsia"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14</w:t>
    </w:r>
    <w:r>
      <w:rPr>
        <w:rFonts w:hint="eastAsia" w:ascii="仿宋_GB2312" w:eastAsia="仿宋_GB2312"/>
        <w:sz w:val="21"/>
        <w:szCs w:val="21"/>
      </w:rPr>
      <w:fldChar w:fldCharType="end"/>
    </w:r>
  </w:p>
  <w:p>
    <w:pPr>
      <w:pStyle w:val="15"/>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171</w:t>
    </w:r>
    <w:r>
      <w:rPr>
        <w:rFonts w:hint="eastAsia" w:ascii="仿宋_GB2312" w:eastAsia="仿宋_GB2312"/>
      </w:rPr>
      <w:fldChar w:fldCharType="end"/>
    </w:r>
  </w:p>
  <w:p>
    <w:pPr>
      <w:pStyle w:val="1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0D7D1CC5"/>
    <w:multiLevelType w:val="multilevel"/>
    <w:tmpl w:val="0D7D1CC5"/>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2C503B76"/>
    <w:multiLevelType w:val="multilevel"/>
    <w:tmpl w:val="2C503B7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E11E16"/>
    <w:multiLevelType w:val="singleLevel"/>
    <w:tmpl w:val="32E11E16"/>
    <w:lvl w:ilvl="0" w:tentative="0">
      <w:start w:val="6"/>
      <w:numFmt w:val="chineseCounting"/>
      <w:suff w:val="nothing"/>
      <w:lvlText w:val="%1、"/>
      <w:lvlJc w:val="left"/>
      <w:rPr>
        <w:rFonts w:hint="eastAsia"/>
      </w:rPr>
    </w:lvl>
  </w:abstractNum>
  <w:abstractNum w:abstractNumId="5">
    <w:nsid w:val="45A17871"/>
    <w:multiLevelType w:val="multilevel"/>
    <w:tmpl w:val="45A17871"/>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4797ACF"/>
    <w:multiLevelType w:val="multilevel"/>
    <w:tmpl w:val="54797ACF"/>
    <w:lvl w:ilvl="0" w:tentative="0">
      <w:start w:val="1"/>
      <w:numFmt w:val="decimal"/>
      <w:lvlText w:val="（%1）"/>
      <w:lvlJc w:val="left"/>
      <w:pPr>
        <w:tabs>
          <w:tab w:val="left" w:pos="720"/>
        </w:tabs>
        <w:ind w:left="720" w:hanging="720"/>
      </w:pPr>
      <w:rPr>
        <w:rFonts w:hint="eastAsia"/>
      </w:rPr>
    </w:lvl>
    <w:lvl w:ilvl="1" w:tentative="0">
      <w:start w:val="1"/>
      <w:numFmt w:val="decimalFullWidth"/>
      <w:lvlText w:val="%2、"/>
      <w:lvlJc w:val="left"/>
      <w:pPr>
        <w:tabs>
          <w:tab w:val="left" w:pos="900"/>
        </w:tabs>
        <w:ind w:left="900" w:hanging="48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5F0626"/>
    <w:multiLevelType w:val="multilevel"/>
    <w:tmpl w:val="585F062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78062B9"/>
    <w:multiLevelType w:val="multilevel"/>
    <w:tmpl w:val="678062B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A55F52D"/>
    <w:multiLevelType w:val="singleLevel"/>
    <w:tmpl w:val="7A55F52D"/>
    <w:lvl w:ilvl="0" w:tentative="0">
      <w:start w:val="1"/>
      <w:numFmt w:val="decimal"/>
      <w:suff w:val="nothing"/>
      <w:lvlText w:val="（%1）"/>
      <w:lvlJc w:val="left"/>
    </w:lvl>
  </w:abstractNum>
  <w:abstractNum w:abstractNumId="10">
    <w:nsid w:val="7B9C59E2"/>
    <w:multiLevelType w:val="multilevel"/>
    <w:tmpl w:val="7B9C59E2"/>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7"/>
  </w:num>
  <w:num w:numId="4">
    <w:abstractNumId w:val="1"/>
  </w:num>
  <w:num w:numId="5">
    <w:abstractNumId w:val="10"/>
  </w:num>
  <w:num w:numId="6">
    <w:abstractNumId w:val="3"/>
  </w:num>
  <w:num w:numId="7">
    <w:abstractNumId w:val="5"/>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299B0245"/>
    <w:rsid w:val="011E4428"/>
    <w:rsid w:val="05306C8C"/>
    <w:rsid w:val="066E1C8E"/>
    <w:rsid w:val="075D761C"/>
    <w:rsid w:val="11F1611C"/>
    <w:rsid w:val="16454AD2"/>
    <w:rsid w:val="17A13BB0"/>
    <w:rsid w:val="1D07580C"/>
    <w:rsid w:val="22A77C33"/>
    <w:rsid w:val="299B0245"/>
    <w:rsid w:val="317315C3"/>
    <w:rsid w:val="36F82D16"/>
    <w:rsid w:val="3D656C2C"/>
    <w:rsid w:val="44B00876"/>
    <w:rsid w:val="44BF05CA"/>
    <w:rsid w:val="47513C0C"/>
    <w:rsid w:val="47B912C0"/>
    <w:rsid w:val="48296A1A"/>
    <w:rsid w:val="52FA2B45"/>
    <w:rsid w:val="569F0740"/>
    <w:rsid w:val="56A535ED"/>
    <w:rsid w:val="5FFE3C9A"/>
    <w:rsid w:val="63BF3848"/>
    <w:rsid w:val="70C34776"/>
    <w:rsid w:val="72F15496"/>
    <w:rsid w:val="7532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spacing w:line="360" w:lineRule="auto"/>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ascii="宋体"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before="0" w:after="0" w:line="360" w:lineRule="auto"/>
      <w:jc w:val="center"/>
    </w:pPr>
    <w:rPr>
      <w:rFonts w:ascii="宋体" w:hAnsi="宋体" w:eastAsia="黑体"/>
      <w:bCs/>
      <w:smallCaps/>
      <w:snapToGrid w:val="0"/>
      <w:sz w:val="44"/>
      <w:szCs w:val="24"/>
    </w:rPr>
  </w:style>
  <w:style w:type="paragraph" w:styleId="7">
    <w:name w:val="Plain Text"/>
    <w:basedOn w:val="1"/>
    <w:qFormat/>
    <w:uiPriority w:val="0"/>
    <w:rPr>
      <w:rFonts w:ascii="Courier New" w:hAnsi="Courier New"/>
      <w:szCs w:val="20"/>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styleId="14">
    <w:name w:val="Body Text First Indent"/>
    <w:basedOn w:val="1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szCs w:val="20"/>
    </w:rPr>
  </w:style>
  <w:style w:type="paragraph" w:styleId="18">
    <w:name w:val="toc 2"/>
    <w:basedOn w:val="1"/>
    <w:next w:val="1"/>
    <w:qFormat/>
    <w:uiPriority w:val="39"/>
    <w:pPr>
      <w:ind w:left="210"/>
      <w:jc w:val="left"/>
    </w:pPr>
    <w:rPr>
      <w:rFonts w:ascii="Calibri" w:hAnsi="Calibri" w:cs="Calibri"/>
      <w:smallCaps/>
      <w:sz w:val="20"/>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basedOn w:val="21"/>
    <w:qFormat/>
    <w:uiPriority w:val="0"/>
    <w:rPr>
      <w:color w:val="0000FF"/>
      <w:u w:val="single"/>
    </w:rPr>
  </w:style>
  <w:style w:type="paragraph" w:customStyle="1" w:styleId="24">
    <w:name w:val="首行缩进"/>
    <w:basedOn w:val="1"/>
    <w:qFormat/>
    <w:uiPriority w:val="0"/>
    <w:pPr>
      <w:spacing w:line="360" w:lineRule="auto"/>
      <w:ind w:left="210" w:leftChars="100" w:firstLine="420" w:firstLineChars="200"/>
    </w:pPr>
    <w:rPr>
      <w:rFonts w:ascii="宋体" w:hAnsi="宋体"/>
      <w:szCs w:val="24"/>
    </w:rPr>
  </w:style>
  <w:style w:type="paragraph" w:customStyle="1" w:styleId="25">
    <w:name w:val="目录 71"/>
    <w:basedOn w:val="1"/>
    <w:next w:val="1"/>
    <w:qFormat/>
    <w:uiPriority w:val="0"/>
    <w:pPr>
      <w:ind w:left="2520"/>
    </w:pPr>
  </w:style>
  <w:style w:type="paragraph" w:customStyle="1" w:styleId="26">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1"/>
    <w:basedOn w:val="1"/>
    <w:next w:val="10"/>
    <w:qFormat/>
    <w:uiPriority w:val="0"/>
    <w:pPr>
      <w:spacing w:line="360" w:lineRule="auto"/>
      <w:ind w:firstLine="420" w:firstLineChars="200"/>
    </w:pPr>
    <w:rPr>
      <w:rFonts w:ascii="宋体" w:hAnsi="宋体"/>
      <w:szCs w:val="21"/>
    </w:rPr>
  </w:style>
  <w:style w:type="character" w:customStyle="1" w:styleId="30">
    <w:name w:val="font51"/>
    <w:basedOn w:val="21"/>
    <w:autoRedefine/>
    <w:qFormat/>
    <w:uiPriority w:val="0"/>
    <w:rPr>
      <w:rFonts w:hint="default" w:ascii="Calibri" w:hAnsi="Calibri" w:cs="Calibri"/>
      <w:color w:val="000000"/>
      <w:sz w:val="32"/>
      <w:szCs w:val="32"/>
      <w:u w:val="none"/>
    </w:rPr>
  </w:style>
  <w:style w:type="character" w:customStyle="1" w:styleId="31">
    <w:name w:val="font41"/>
    <w:basedOn w:val="21"/>
    <w:qFormat/>
    <w:uiPriority w:val="0"/>
    <w:rPr>
      <w:rFonts w:hint="default" w:ascii="Calibri" w:hAnsi="Calibri" w:cs="Calibri"/>
      <w:b/>
      <w:bCs/>
      <w:color w:val="000000"/>
      <w:sz w:val="32"/>
      <w:szCs w:val="32"/>
      <w:u w:val="none"/>
    </w:rPr>
  </w:style>
  <w:style w:type="paragraph" w:customStyle="1" w:styleId="32">
    <w:name w:val="D&amp;L"/>
    <w:basedOn w:val="16"/>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33">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34">
    <w:name w:val="fontstyle01"/>
    <w:qFormat/>
    <w:uiPriority w:val="0"/>
    <w:rPr>
      <w:rFonts w:hint="eastAsia" w:ascii="宋体" w:hAnsi="宋体" w:eastAsia="宋体"/>
      <w:color w:val="000000"/>
      <w:sz w:val="22"/>
      <w:szCs w:val="22"/>
    </w:rPr>
  </w:style>
  <w:style w:type="paragraph" w:customStyle="1" w:styleId="35">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36">
    <w:name w:val="font21"/>
    <w:qFormat/>
    <w:uiPriority w:val="0"/>
    <w:rPr>
      <w:rFonts w:hint="eastAsia" w:ascii="仿宋_GB2312" w:eastAsia="仿宋_GB2312" w:cs="仿宋_GB2312"/>
      <w:color w:val="000000"/>
      <w:sz w:val="32"/>
      <w:szCs w:val="32"/>
      <w:u w:val="none"/>
    </w:rPr>
  </w:style>
  <w:style w:type="character" w:customStyle="1" w:styleId="37">
    <w:name w:val="font11"/>
    <w:qFormat/>
    <w:uiPriority w:val="0"/>
    <w:rPr>
      <w:rFonts w:hint="eastAsia" w:ascii="仿宋_GB2312" w:eastAsia="仿宋_GB2312" w:cs="仿宋_GB2312"/>
      <w:b/>
      <w:bCs/>
      <w:color w:val="000000"/>
      <w:sz w:val="32"/>
      <w:szCs w:val="32"/>
      <w:u w:val="none"/>
    </w:rPr>
  </w:style>
  <w:style w:type="paragraph" w:customStyle="1" w:styleId="38">
    <w:name w:val="Table Text"/>
    <w:basedOn w:val="1"/>
    <w:autoRedefine/>
    <w:semiHidden/>
    <w:qFormat/>
    <w:uiPriority w:val="0"/>
    <w:rPr>
      <w:rFonts w:ascii="宋体" w:hAnsi="宋体" w:eastAsia="宋体" w:cs="宋体"/>
      <w:sz w:val="24"/>
      <w:szCs w:val="24"/>
      <w:lang w:val="en-US" w:eastAsia="en-US" w:bidi="ar-SA"/>
    </w:rPr>
  </w:style>
  <w:style w:type="paragraph" w:customStyle="1" w:styleId="39">
    <w:name w:val="Table Paragraph"/>
    <w:basedOn w:val="1"/>
    <w:autoRedefine/>
    <w:qFormat/>
    <w:uiPriority w:val="1"/>
    <w:rPr>
      <w:rFonts w:ascii="Noto Sans Mono CJK JP Regular" w:hAnsi="Noto Sans Mono CJK JP Regular" w:eastAsia="Noto Sans Mono CJK JP Regular" w:cs="Noto Sans Mono CJK JP Regula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22604</Words>
  <Characters>24051</Characters>
  <Lines>0</Lines>
  <Paragraphs>0</Paragraphs>
  <TotalTime>7</TotalTime>
  <ScaleCrop>false</ScaleCrop>
  <LinksUpToDate>false</LinksUpToDate>
  <CharactersWithSpaces>25392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2023-02-15T08:26:00Z</dcterms:created>
  <dc:creator>Administrator</dc:creator>
  <cp:lastModifiedBy>Administrator</cp:lastModifiedBy>
  <dcterms:modified xsi:type="dcterms:W3CDTF">2024-11-29T00:10:41Z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BB76BEFE87C14FFD9D300A21EFE619E0</vt:lpwstr>
  </property>
</Properties>
</file>