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Ansi="宋体"/>
          <w:b/>
          <w:bCs/>
          <w:sz w:val="52"/>
          <w:szCs w:val="52"/>
        </w:rPr>
      </w:pPr>
      <w:r>
        <w:rPr>
          <w:rFonts w:hint="eastAsia" w:hAnsi="宋体"/>
          <w:b/>
          <w:bCs/>
          <w:sz w:val="52"/>
          <w:szCs w:val="52"/>
        </w:rPr>
        <w:t>竞争性磋商文件</w:t>
      </w:r>
    </w:p>
    <w:p>
      <w:pPr>
        <w:tabs>
          <w:tab w:val="left" w:pos="420"/>
        </w:tabs>
        <w:spacing w:line="1700" w:lineRule="exact"/>
        <w:jc w:val="center"/>
        <w:rPr>
          <w:rFonts w:hAnsi="宋体"/>
          <w:b/>
          <w:bCs/>
          <w:sz w:val="52"/>
          <w:szCs w:val="52"/>
        </w:rPr>
      </w:pPr>
      <w:r>
        <w:rPr>
          <w:rFonts w:hint="eastAsia" w:hAnsi="宋体"/>
          <w:b/>
          <w:bCs/>
          <w:sz w:val="52"/>
          <w:szCs w:val="52"/>
        </w:rPr>
        <w:t>（服务类）</w:t>
      </w:r>
    </w:p>
    <w:p>
      <w:pPr>
        <w:tabs>
          <w:tab w:val="left" w:pos="315"/>
          <w:tab w:val="left" w:pos="8820"/>
        </w:tabs>
        <w:spacing w:line="500" w:lineRule="exact"/>
        <w:jc w:val="right"/>
        <w:rPr>
          <w:rFonts w:hAnsi="宋体"/>
          <w:bCs/>
          <w:szCs w:val="24"/>
        </w:rPr>
      </w:pPr>
    </w:p>
    <w:p>
      <w:pPr>
        <w:spacing w:line="360" w:lineRule="auto"/>
        <w:jc w:val="left"/>
        <w:rPr>
          <w:rFonts w:hAnsi="宋体"/>
          <w:szCs w:val="24"/>
        </w:rPr>
      </w:pPr>
    </w:p>
    <w:p>
      <w:pPr>
        <w:spacing w:line="360" w:lineRule="auto"/>
        <w:jc w:val="left"/>
        <w:rPr>
          <w:rFonts w:hAnsi="宋体"/>
          <w:szCs w:val="24"/>
        </w:rPr>
      </w:pPr>
    </w:p>
    <w:p>
      <w:pPr>
        <w:tabs>
          <w:tab w:val="left" w:pos="315"/>
          <w:tab w:val="left" w:pos="8820"/>
        </w:tabs>
        <w:spacing w:before="312" w:beforeLines="100" w:after="156" w:afterLines="50" w:line="500" w:lineRule="exact"/>
        <w:ind w:right="29" w:rightChars="12"/>
        <w:jc w:val="center"/>
        <w:rPr>
          <w:rFonts w:hAnsi="宋体"/>
          <w:szCs w:val="24"/>
        </w:rPr>
      </w:pPr>
    </w:p>
    <w:p>
      <w:pPr>
        <w:tabs>
          <w:tab w:val="left" w:pos="315"/>
          <w:tab w:val="left" w:pos="8820"/>
        </w:tabs>
        <w:spacing w:before="312" w:beforeLines="100" w:after="156" w:afterLines="50" w:line="500" w:lineRule="exact"/>
        <w:ind w:right="29" w:rightChars="12"/>
        <w:jc w:val="center"/>
        <w:rPr>
          <w:rFonts w:hAnsi="宋体"/>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ascii="黑体" w:hAnsi="黑体" w:eastAsia="黑体"/>
          <w:sz w:val="32"/>
          <w:szCs w:val="32"/>
        </w:rPr>
      </w:pPr>
      <w:r>
        <w:rPr>
          <w:rFonts w:hint="eastAsia" w:hAnsi="DotumChe" w:cs="宋体"/>
          <w:b/>
          <w:spacing w:val="20"/>
          <w:sz w:val="32"/>
          <w:szCs w:val="32"/>
        </w:rPr>
        <w:t>项目名称：</w:t>
      </w:r>
      <w:r>
        <w:rPr>
          <w:rFonts w:hint="eastAsia" w:hAnsi="DotumChe" w:cs="宋体"/>
          <w:b/>
          <w:spacing w:val="20"/>
          <w:sz w:val="32"/>
          <w:szCs w:val="32"/>
          <w:lang w:eastAsia="zh-CN"/>
        </w:rPr>
        <w:t>三十岗乡东瞿村彩色水稻种植服务项目（二次）</w:t>
      </w:r>
      <w:r>
        <w:rPr>
          <w:rFonts w:hint="eastAsia" w:ascii="黑体" w:hAnsi="黑体" w:eastAsia="黑体"/>
          <w:sz w:val="32"/>
          <w:szCs w:val="32"/>
        </w:rPr>
        <w:t xml:space="preserve"> </w:t>
      </w:r>
    </w:p>
    <w:p>
      <w:pPr>
        <w:tabs>
          <w:tab w:val="left" w:pos="2410"/>
        </w:tabs>
        <w:autoSpaceDE w:val="0"/>
        <w:autoSpaceDN w:val="0"/>
        <w:adjustRightInd w:val="0"/>
        <w:snapToGrid w:val="0"/>
        <w:spacing w:line="360" w:lineRule="auto"/>
        <w:rPr>
          <w:rFonts w:hint="eastAsia" w:hAnsi="DotumChe" w:eastAsia="宋体" w:cs="宋体"/>
          <w:b/>
          <w:spacing w:val="20"/>
          <w:sz w:val="32"/>
          <w:szCs w:val="32"/>
          <w:lang w:eastAsia="zh-CN"/>
        </w:rPr>
      </w:pPr>
      <w:r>
        <w:rPr>
          <w:rFonts w:hint="eastAsia" w:hAnsi="DotumChe" w:cs="宋体"/>
          <w:b/>
          <w:spacing w:val="20"/>
          <w:sz w:val="32"/>
          <w:szCs w:val="32"/>
        </w:rPr>
        <w:t>项目编号：</w:t>
      </w:r>
      <w:r>
        <w:rPr>
          <w:rFonts w:hint="eastAsia" w:hAnsi="DotumChe" w:cs="宋体"/>
          <w:b/>
          <w:spacing w:val="20"/>
          <w:sz w:val="32"/>
          <w:szCs w:val="32"/>
          <w:lang w:eastAsia="zh-CN"/>
        </w:rPr>
        <w:t>2024GW0012</w:t>
      </w:r>
    </w:p>
    <w:p>
      <w:pPr>
        <w:tabs>
          <w:tab w:val="left" w:pos="2410"/>
        </w:tabs>
        <w:autoSpaceDE w:val="0"/>
        <w:autoSpaceDN w:val="0"/>
        <w:adjustRightInd w:val="0"/>
        <w:snapToGrid w:val="0"/>
        <w:spacing w:line="360" w:lineRule="auto"/>
        <w:rPr>
          <w:rFonts w:hAnsi="DotumChe" w:cs="宋体"/>
          <w:b/>
          <w:spacing w:val="20"/>
          <w:sz w:val="32"/>
          <w:szCs w:val="32"/>
        </w:rPr>
      </w:pPr>
      <w:r>
        <w:rPr>
          <w:rFonts w:hint="eastAsia" w:hAnsi="DotumChe" w:cs="宋体"/>
          <w:b/>
          <w:spacing w:val="20"/>
          <w:sz w:val="32"/>
          <w:szCs w:val="32"/>
        </w:rPr>
        <w:t>招 标 人：</w:t>
      </w:r>
      <w:r>
        <w:rPr>
          <w:rFonts w:hint="eastAsia" w:hAnsi="DotumChe" w:cs="宋体"/>
          <w:b/>
          <w:spacing w:val="20"/>
          <w:sz w:val="32"/>
          <w:szCs w:val="32"/>
          <w:lang w:eastAsia="zh-CN"/>
        </w:rPr>
        <w:t>合肥庐阳乡村振兴开发管理有限公司</w:t>
      </w:r>
    </w:p>
    <w:p>
      <w:pPr>
        <w:tabs>
          <w:tab w:val="left" w:pos="2410"/>
        </w:tabs>
        <w:autoSpaceDE w:val="0"/>
        <w:autoSpaceDN w:val="0"/>
        <w:adjustRightInd w:val="0"/>
        <w:snapToGrid w:val="0"/>
        <w:spacing w:line="360" w:lineRule="auto"/>
        <w:rPr>
          <w:rFonts w:hint="default" w:hAnsi="DotumChe" w:eastAsia="宋体" w:cs="宋体"/>
          <w:b/>
          <w:spacing w:val="20"/>
          <w:sz w:val="32"/>
          <w:szCs w:val="32"/>
          <w:lang w:val="en-US" w:eastAsia="zh-CN"/>
        </w:rPr>
      </w:pPr>
      <w:r>
        <w:rPr>
          <w:rFonts w:hint="eastAsia" w:hAnsi="DotumChe" w:cs="宋体"/>
          <w:b/>
          <w:spacing w:val="20"/>
          <w:sz w:val="32"/>
          <w:szCs w:val="32"/>
        </w:rPr>
        <w:t>招标时间：</w:t>
      </w:r>
      <w:r>
        <w:rPr>
          <w:rFonts w:hint="eastAsia" w:hAnsi="DotumChe" w:cs="宋体"/>
          <w:b/>
          <w:spacing w:val="20"/>
          <w:sz w:val="32"/>
          <w:szCs w:val="32"/>
          <w:lang w:val="en-US" w:eastAsia="zh-CN"/>
        </w:rPr>
        <w:t>2024年8月</w:t>
      </w:r>
    </w:p>
    <w:p>
      <w:pPr>
        <w:spacing w:after="468" w:afterLines="150" w:line="540" w:lineRule="exact"/>
        <w:jc w:val="center"/>
        <w:rPr>
          <w:rFonts w:hAnsi="宋体"/>
          <w:b/>
          <w:sz w:val="52"/>
          <w:szCs w:val="52"/>
        </w:rPr>
      </w:pPr>
    </w:p>
    <w:p>
      <w:pPr>
        <w:pStyle w:val="19"/>
        <w:ind w:firstLine="540"/>
      </w:pPr>
    </w:p>
    <w:p>
      <w:pPr>
        <w:tabs>
          <w:tab w:val="left" w:pos="7343"/>
        </w:tabs>
        <w:jc w:val="left"/>
      </w:pPr>
      <w:r>
        <w:rPr>
          <w:rFonts w:hint="eastAsia"/>
        </w:rPr>
        <w:tab/>
      </w:r>
    </w:p>
    <w:p>
      <w:pPr>
        <w:spacing w:after="468" w:afterLines="150" w:line="540" w:lineRule="exact"/>
        <w:jc w:val="center"/>
        <w:rPr>
          <w:rFonts w:hAnsi="宋体"/>
          <w:b/>
          <w:sz w:val="52"/>
          <w:szCs w:val="52"/>
        </w:rPr>
      </w:pPr>
      <w:r>
        <w:rPr>
          <w:rFonts w:hint="eastAsia" w:hAnsi="宋体"/>
          <w:b/>
          <w:sz w:val="52"/>
          <w:szCs w:val="52"/>
        </w:rPr>
        <w:t>目  录</w:t>
      </w:r>
    </w:p>
    <w:p>
      <w:pPr>
        <w:pStyle w:val="16"/>
        <w:tabs>
          <w:tab w:val="right" w:leader="dot" w:pos="8504"/>
        </w:tabs>
      </w:pP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TOC \o "1-2" \h \z \u </w:instrText>
      </w:r>
      <w:r>
        <w:rPr>
          <w:rFonts w:ascii="Times New Roman" w:hAnsi="Times New Roman" w:eastAsia="黑体" w:cs="Times New Roman"/>
          <w:sz w:val="24"/>
          <w:szCs w:val="24"/>
        </w:rPr>
        <w:fldChar w:fldCharType="separate"/>
      </w:r>
      <w:r>
        <w:fldChar w:fldCharType="begin"/>
      </w:r>
      <w:r>
        <w:instrText xml:space="preserve"> HYPERLINK \l "_Toc19015" </w:instrText>
      </w:r>
      <w:r>
        <w:fldChar w:fldCharType="separate"/>
      </w:r>
      <w:r>
        <w:rPr>
          <w:rFonts w:hint="eastAsia"/>
          <w:szCs w:val="24"/>
        </w:rPr>
        <w:t xml:space="preserve">第一章 </w:t>
      </w:r>
      <w:r>
        <w:rPr>
          <w:rFonts w:hint="eastAsia"/>
        </w:rPr>
        <w:t>磋商邀请（磋商公告）</w:t>
      </w:r>
      <w:r>
        <w:tab/>
      </w:r>
      <w:r>
        <w:fldChar w:fldCharType="begin"/>
      </w:r>
      <w:r>
        <w:instrText xml:space="preserve"> PAGEREF _Toc19015 \h </w:instrText>
      </w:r>
      <w:r>
        <w:fldChar w:fldCharType="separate"/>
      </w:r>
      <w:r>
        <w:t>3</w:t>
      </w:r>
      <w:r>
        <w:fldChar w:fldCharType="end"/>
      </w:r>
      <w:r>
        <w:fldChar w:fldCharType="end"/>
      </w:r>
    </w:p>
    <w:p>
      <w:pPr>
        <w:pStyle w:val="16"/>
        <w:tabs>
          <w:tab w:val="right" w:leader="dot" w:pos="8504"/>
        </w:tabs>
      </w:pPr>
      <w:r>
        <w:fldChar w:fldCharType="begin"/>
      </w:r>
      <w:r>
        <w:instrText xml:space="preserve"> HYPERLINK \l "_Toc19928" </w:instrText>
      </w:r>
      <w:r>
        <w:fldChar w:fldCharType="separate"/>
      </w:r>
      <w:r>
        <w:rPr>
          <w:rFonts w:hint="eastAsia" w:hAnsi="宋体"/>
        </w:rPr>
        <w:t>第二章  投标人须知</w:t>
      </w:r>
      <w:r>
        <w:tab/>
      </w:r>
      <w:r>
        <w:fldChar w:fldCharType="begin"/>
      </w:r>
      <w:r>
        <w:instrText xml:space="preserve"> PAGEREF _Toc19928 \h </w:instrText>
      </w:r>
      <w:r>
        <w:fldChar w:fldCharType="separate"/>
      </w:r>
      <w:r>
        <w:t>6</w:t>
      </w:r>
      <w:r>
        <w:fldChar w:fldCharType="end"/>
      </w:r>
      <w:r>
        <w:fldChar w:fldCharType="end"/>
      </w:r>
    </w:p>
    <w:p>
      <w:pPr>
        <w:pStyle w:val="16"/>
        <w:tabs>
          <w:tab w:val="right" w:leader="dot" w:pos="8504"/>
        </w:tabs>
      </w:pPr>
      <w:r>
        <w:fldChar w:fldCharType="begin"/>
      </w:r>
      <w:r>
        <w:instrText xml:space="preserve"> HYPERLINK \l "_Toc4981" </w:instrText>
      </w:r>
      <w:r>
        <w:fldChar w:fldCharType="separate"/>
      </w:r>
      <w:r>
        <w:rPr>
          <w:rFonts w:hint="eastAsia" w:ascii="宋体" w:hAnsi="宋体"/>
        </w:rPr>
        <w:t>投标人须知正文</w:t>
      </w:r>
      <w:r>
        <w:tab/>
      </w:r>
      <w:r>
        <w:fldChar w:fldCharType="begin"/>
      </w:r>
      <w:r>
        <w:instrText xml:space="preserve"> PAGEREF _Toc4981 \h </w:instrText>
      </w:r>
      <w:r>
        <w:fldChar w:fldCharType="separate"/>
      </w:r>
      <w:r>
        <w:t>10</w:t>
      </w:r>
      <w:r>
        <w:fldChar w:fldCharType="end"/>
      </w:r>
      <w:r>
        <w:fldChar w:fldCharType="end"/>
      </w:r>
    </w:p>
    <w:p>
      <w:pPr>
        <w:pStyle w:val="16"/>
        <w:tabs>
          <w:tab w:val="right" w:leader="dot" w:pos="8504"/>
        </w:tabs>
      </w:pPr>
      <w:r>
        <w:fldChar w:fldCharType="begin"/>
      </w:r>
      <w:r>
        <w:instrText xml:space="preserve"> HYPERLINK \l "_Toc11229" </w:instrText>
      </w:r>
      <w:r>
        <w:fldChar w:fldCharType="separate"/>
      </w:r>
      <w:r>
        <w:rPr>
          <w:rFonts w:hint="eastAsia" w:ascii="宋体" w:hAnsi="Times New Roman" w:cs="Times New Roman"/>
        </w:rPr>
        <w:t>第三章 招标</w:t>
      </w:r>
      <w:r>
        <w:rPr>
          <w:rFonts w:hint="eastAsia"/>
          <w:bCs w:val="0"/>
        </w:rPr>
        <w:t>需求</w:t>
      </w:r>
      <w:r>
        <w:tab/>
      </w:r>
      <w:r>
        <w:fldChar w:fldCharType="begin"/>
      </w:r>
      <w:r>
        <w:instrText xml:space="preserve"> PAGEREF _Toc11229 \h </w:instrText>
      </w:r>
      <w:r>
        <w:fldChar w:fldCharType="separate"/>
      </w:r>
      <w:r>
        <w:t>22</w:t>
      </w:r>
      <w:r>
        <w:fldChar w:fldCharType="end"/>
      </w:r>
      <w:r>
        <w:fldChar w:fldCharType="end"/>
      </w:r>
    </w:p>
    <w:p>
      <w:pPr>
        <w:pStyle w:val="16"/>
        <w:tabs>
          <w:tab w:val="right" w:leader="dot" w:pos="8504"/>
        </w:tabs>
      </w:pPr>
      <w:r>
        <w:fldChar w:fldCharType="begin"/>
      </w:r>
      <w:r>
        <w:instrText xml:space="preserve"> HYPERLINK \l "_Toc22621" </w:instrText>
      </w:r>
      <w:r>
        <w:fldChar w:fldCharType="separate"/>
      </w:r>
      <w:r>
        <w:rPr>
          <w:rFonts w:hint="eastAsia" w:ascii="黑体" w:hAnsi="黑体" w:eastAsia="黑体"/>
        </w:rPr>
        <w:t>第四章  评审方法与标准</w:t>
      </w:r>
      <w:r>
        <w:tab/>
      </w:r>
      <w:r>
        <w:fldChar w:fldCharType="begin"/>
      </w:r>
      <w:r>
        <w:instrText xml:space="preserve"> PAGEREF _Toc22621 \h </w:instrText>
      </w:r>
      <w:r>
        <w:fldChar w:fldCharType="separate"/>
      </w:r>
      <w:r>
        <w:t>25</w:t>
      </w:r>
      <w:r>
        <w:fldChar w:fldCharType="end"/>
      </w:r>
      <w:r>
        <w:fldChar w:fldCharType="end"/>
      </w:r>
    </w:p>
    <w:p>
      <w:pPr>
        <w:pStyle w:val="16"/>
        <w:tabs>
          <w:tab w:val="right" w:leader="dot" w:pos="8504"/>
        </w:tabs>
      </w:pPr>
      <w:r>
        <w:fldChar w:fldCharType="begin"/>
      </w:r>
      <w:r>
        <w:instrText xml:space="preserve"> HYPERLINK \l "_Toc7528" </w:instrText>
      </w:r>
      <w:r>
        <w:fldChar w:fldCharType="separate"/>
      </w:r>
      <w:r>
        <w:rPr>
          <w:rFonts w:hint="eastAsia" w:ascii="宋体" w:hAnsi="Times New Roman" w:cs="Times New Roman"/>
        </w:rPr>
        <w:t>第五章 合同条款及格式（另行提供）</w:t>
      </w:r>
      <w:r>
        <w:tab/>
      </w:r>
      <w:r>
        <w:fldChar w:fldCharType="begin"/>
      </w:r>
      <w:r>
        <w:instrText xml:space="preserve"> PAGEREF _Toc7528 \h </w:instrText>
      </w:r>
      <w:r>
        <w:fldChar w:fldCharType="separate"/>
      </w:r>
      <w:r>
        <w:t>29</w:t>
      </w:r>
      <w:r>
        <w:fldChar w:fldCharType="end"/>
      </w:r>
      <w:r>
        <w:fldChar w:fldCharType="end"/>
      </w:r>
    </w:p>
    <w:p>
      <w:pPr>
        <w:pStyle w:val="16"/>
        <w:tabs>
          <w:tab w:val="right" w:leader="dot" w:pos="8504"/>
        </w:tabs>
      </w:pPr>
      <w:r>
        <w:fldChar w:fldCharType="begin"/>
      </w:r>
      <w:r>
        <w:instrText xml:space="preserve"> HYPERLINK \l "_Toc11159" </w:instrText>
      </w:r>
      <w:r>
        <w:fldChar w:fldCharType="separate"/>
      </w:r>
      <w:r>
        <w:rPr>
          <w:rFonts w:hint="eastAsia" w:ascii="宋体" w:hAnsi="Times New Roman" w:cs="Times New Roman"/>
        </w:rPr>
        <w:t>第六章 响应文件格式</w:t>
      </w:r>
      <w:r>
        <w:tab/>
      </w:r>
      <w:r>
        <w:fldChar w:fldCharType="begin"/>
      </w:r>
      <w:r>
        <w:instrText xml:space="preserve"> PAGEREF _Toc11159 \h </w:instrText>
      </w:r>
      <w:r>
        <w:fldChar w:fldCharType="separate"/>
      </w:r>
      <w:r>
        <w:t>30</w:t>
      </w:r>
      <w:r>
        <w:fldChar w:fldCharType="end"/>
      </w:r>
      <w:r>
        <w:fldChar w:fldCharType="end"/>
      </w:r>
    </w:p>
    <w:p>
      <w:pPr>
        <w:pStyle w:val="17"/>
        <w:tabs>
          <w:tab w:val="right" w:leader="dot" w:pos="8504"/>
        </w:tabs>
      </w:pPr>
      <w:r>
        <w:fldChar w:fldCharType="begin"/>
      </w:r>
      <w:r>
        <w:instrText xml:space="preserve"> HYPERLINK \l "_Toc29256" </w:instrText>
      </w:r>
      <w:r>
        <w:fldChar w:fldCharType="separate"/>
      </w:r>
      <w:r>
        <w:rPr>
          <w:rFonts w:hint="eastAsia" w:ascii="黑体" w:hAnsi="黑体" w:eastAsia="黑体"/>
          <w:szCs w:val="44"/>
        </w:rPr>
        <w:t>响应文件</w:t>
      </w:r>
      <w:r>
        <w:tab/>
      </w:r>
      <w:r>
        <w:fldChar w:fldCharType="begin"/>
      </w:r>
      <w:r>
        <w:instrText xml:space="preserve"> PAGEREF _Toc29256 \h </w:instrText>
      </w:r>
      <w:r>
        <w:fldChar w:fldCharType="separate"/>
      </w:r>
      <w:r>
        <w:t>30</w:t>
      </w:r>
      <w:r>
        <w:fldChar w:fldCharType="end"/>
      </w:r>
      <w:r>
        <w:fldChar w:fldCharType="end"/>
      </w:r>
    </w:p>
    <w:p>
      <w:pPr>
        <w:pStyle w:val="17"/>
        <w:tabs>
          <w:tab w:val="right" w:leader="dot" w:pos="8504"/>
        </w:tabs>
      </w:pPr>
      <w:r>
        <w:fldChar w:fldCharType="begin"/>
      </w:r>
      <w:r>
        <w:instrText xml:space="preserve"> HYPERLINK \l "_Toc28394" </w:instrText>
      </w:r>
      <w:r>
        <w:fldChar w:fldCharType="separate"/>
      </w:r>
      <w:r>
        <w:rPr>
          <w:rFonts w:hint="eastAsia" w:ascii="黑体" w:eastAsia="黑体"/>
          <w:szCs w:val="28"/>
        </w:rPr>
        <w:t>目  录</w:t>
      </w:r>
      <w:r>
        <w:tab/>
      </w:r>
      <w:r>
        <w:fldChar w:fldCharType="begin"/>
      </w:r>
      <w:r>
        <w:instrText xml:space="preserve"> PAGEREF _Toc28394 \h </w:instrText>
      </w:r>
      <w:r>
        <w:fldChar w:fldCharType="separate"/>
      </w:r>
      <w:r>
        <w:t>31</w:t>
      </w:r>
      <w:r>
        <w:fldChar w:fldCharType="end"/>
      </w:r>
      <w:r>
        <w:fldChar w:fldCharType="end"/>
      </w:r>
    </w:p>
    <w:p>
      <w:pPr>
        <w:pStyle w:val="17"/>
        <w:tabs>
          <w:tab w:val="right" w:leader="dot" w:pos="8504"/>
        </w:tabs>
      </w:pPr>
      <w:r>
        <w:fldChar w:fldCharType="begin"/>
      </w:r>
      <w:r>
        <w:instrText xml:space="preserve"> HYPERLINK \l "_Toc22933" </w:instrText>
      </w:r>
      <w:r>
        <w:fldChar w:fldCharType="separate"/>
      </w:r>
      <w:r>
        <w:rPr>
          <w:rFonts w:hint="eastAsia" w:ascii="宋体" w:hAnsi="Times New Roman" w:cs="Times New Roman"/>
        </w:rPr>
        <w:t>一、开标一览表</w:t>
      </w:r>
      <w:r>
        <w:tab/>
      </w:r>
      <w:r>
        <w:fldChar w:fldCharType="begin"/>
      </w:r>
      <w:r>
        <w:instrText xml:space="preserve"> PAGEREF _Toc22933 \h </w:instrText>
      </w:r>
      <w:r>
        <w:fldChar w:fldCharType="separate"/>
      </w:r>
      <w:r>
        <w:t>32</w:t>
      </w:r>
      <w:r>
        <w:fldChar w:fldCharType="end"/>
      </w:r>
      <w:r>
        <w:fldChar w:fldCharType="end"/>
      </w:r>
    </w:p>
    <w:p>
      <w:pPr>
        <w:pStyle w:val="17"/>
        <w:tabs>
          <w:tab w:val="right" w:leader="dot" w:pos="8504"/>
        </w:tabs>
      </w:pPr>
      <w:r>
        <w:fldChar w:fldCharType="begin"/>
      </w:r>
      <w:r>
        <w:instrText xml:space="preserve"> HYPERLINK \l "_Toc16336" </w:instrText>
      </w:r>
      <w:r>
        <w:fldChar w:fldCharType="separate"/>
      </w:r>
      <w:r>
        <w:rPr>
          <w:rFonts w:hint="eastAsia" w:ascii="宋体" w:hAnsi="Times New Roman" w:cs="Times New Roman"/>
        </w:rPr>
        <w:t>二、投标人基本情况表</w:t>
      </w:r>
      <w:r>
        <w:tab/>
      </w:r>
      <w:r>
        <w:fldChar w:fldCharType="begin"/>
      </w:r>
      <w:r>
        <w:instrText xml:space="preserve"> PAGEREF _Toc16336 \h </w:instrText>
      </w:r>
      <w:r>
        <w:fldChar w:fldCharType="separate"/>
      </w:r>
      <w:r>
        <w:t>33</w:t>
      </w:r>
      <w:r>
        <w:fldChar w:fldCharType="end"/>
      </w:r>
      <w:r>
        <w:fldChar w:fldCharType="end"/>
      </w:r>
    </w:p>
    <w:p>
      <w:pPr>
        <w:pStyle w:val="17"/>
        <w:tabs>
          <w:tab w:val="right" w:leader="dot" w:pos="8504"/>
        </w:tabs>
      </w:pPr>
      <w:r>
        <w:fldChar w:fldCharType="begin"/>
      </w:r>
      <w:r>
        <w:instrText xml:space="preserve"> HYPERLINK \l "_Toc665" </w:instrText>
      </w:r>
      <w:r>
        <w:fldChar w:fldCharType="separate"/>
      </w:r>
      <w:r>
        <w:rPr>
          <w:rFonts w:hint="eastAsia" w:ascii="宋体" w:hAnsi="Times New Roman" w:cs="Times New Roman"/>
        </w:rPr>
        <w:t>三、投标函</w:t>
      </w:r>
      <w:r>
        <w:tab/>
      </w:r>
      <w:r>
        <w:fldChar w:fldCharType="begin"/>
      </w:r>
      <w:r>
        <w:instrText xml:space="preserve"> PAGEREF _Toc665 \h </w:instrText>
      </w:r>
      <w:r>
        <w:fldChar w:fldCharType="separate"/>
      </w:r>
      <w:r>
        <w:t>34</w:t>
      </w:r>
      <w:r>
        <w:fldChar w:fldCharType="end"/>
      </w:r>
      <w:r>
        <w:fldChar w:fldCharType="end"/>
      </w:r>
    </w:p>
    <w:p>
      <w:pPr>
        <w:pStyle w:val="17"/>
        <w:tabs>
          <w:tab w:val="right" w:leader="dot" w:pos="8504"/>
        </w:tabs>
      </w:pPr>
      <w:r>
        <w:fldChar w:fldCharType="begin"/>
      </w:r>
      <w:r>
        <w:instrText xml:space="preserve"> HYPERLINK \l "_Toc24894" </w:instrText>
      </w:r>
      <w:r>
        <w:fldChar w:fldCharType="separate"/>
      </w:r>
      <w:r>
        <w:rPr>
          <w:rFonts w:hint="eastAsia" w:ascii="宋体" w:hAnsi="Times New Roman" w:cs="Times New Roman"/>
        </w:rPr>
        <w:t>五、投标人信用承诺</w:t>
      </w:r>
      <w:r>
        <w:tab/>
      </w:r>
      <w:r>
        <w:fldChar w:fldCharType="begin"/>
      </w:r>
      <w:r>
        <w:instrText xml:space="preserve"> PAGEREF _Toc24894 \h </w:instrText>
      </w:r>
      <w:r>
        <w:fldChar w:fldCharType="separate"/>
      </w:r>
      <w:r>
        <w:t>38</w:t>
      </w:r>
      <w:r>
        <w:fldChar w:fldCharType="end"/>
      </w:r>
      <w:r>
        <w:fldChar w:fldCharType="end"/>
      </w:r>
    </w:p>
    <w:p>
      <w:pPr>
        <w:pStyle w:val="17"/>
        <w:tabs>
          <w:tab w:val="right" w:leader="dot" w:pos="8504"/>
        </w:tabs>
      </w:pPr>
      <w:r>
        <w:fldChar w:fldCharType="begin"/>
      </w:r>
      <w:r>
        <w:instrText xml:space="preserve"> HYPERLINK \l "_Toc31234" </w:instrText>
      </w:r>
      <w:r>
        <w:fldChar w:fldCharType="separate"/>
      </w:r>
      <w:r>
        <w:rPr>
          <w:rFonts w:hint="eastAsia" w:ascii="宋体" w:hAnsi="Times New Roman" w:cs="Times New Roman"/>
        </w:rPr>
        <w:t>六、投标人业绩</w:t>
      </w:r>
      <w:r>
        <w:tab/>
      </w:r>
      <w:r>
        <w:fldChar w:fldCharType="begin"/>
      </w:r>
      <w:r>
        <w:instrText xml:space="preserve"> PAGEREF _Toc31234 \h </w:instrText>
      </w:r>
      <w:r>
        <w:fldChar w:fldCharType="separate"/>
      </w:r>
      <w:r>
        <w:t>39</w:t>
      </w:r>
      <w:r>
        <w:fldChar w:fldCharType="end"/>
      </w:r>
      <w:r>
        <w:fldChar w:fldCharType="end"/>
      </w:r>
    </w:p>
    <w:p>
      <w:pPr>
        <w:pStyle w:val="17"/>
        <w:tabs>
          <w:tab w:val="right" w:leader="dot" w:pos="8504"/>
        </w:tabs>
      </w:pPr>
      <w:r>
        <w:fldChar w:fldCharType="begin"/>
      </w:r>
      <w:r>
        <w:instrText xml:space="preserve"> HYPERLINK \l "_Toc21642" </w:instrText>
      </w:r>
      <w:r>
        <w:fldChar w:fldCharType="separate"/>
      </w:r>
      <w:r>
        <w:rPr>
          <w:rFonts w:hint="eastAsia" w:ascii="宋体" w:hAnsi="Times New Roman" w:cs="Times New Roman"/>
        </w:rPr>
        <w:t>七、奖项、荣誉（如有）</w:t>
      </w:r>
      <w:r>
        <w:tab/>
      </w:r>
      <w:r>
        <w:fldChar w:fldCharType="begin"/>
      </w:r>
      <w:r>
        <w:instrText xml:space="preserve"> PAGEREF _Toc21642 \h </w:instrText>
      </w:r>
      <w:r>
        <w:fldChar w:fldCharType="separate"/>
      </w:r>
      <w:r>
        <w:t>40</w:t>
      </w:r>
      <w:r>
        <w:fldChar w:fldCharType="end"/>
      </w:r>
      <w:r>
        <w:fldChar w:fldCharType="end"/>
      </w:r>
    </w:p>
    <w:p>
      <w:pPr>
        <w:pStyle w:val="17"/>
        <w:tabs>
          <w:tab w:val="right" w:leader="dot" w:pos="8504"/>
        </w:tabs>
      </w:pPr>
      <w:r>
        <w:fldChar w:fldCharType="begin"/>
      </w:r>
      <w:r>
        <w:instrText xml:space="preserve"> HYPERLINK \l "_Toc19879" </w:instrText>
      </w:r>
      <w:r>
        <w:fldChar w:fldCharType="separate"/>
      </w:r>
      <w:r>
        <w:rPr>
          <w:rFonts w:hint="eastAsia" w:ascii="宋体" w:hAnsi="Times New Roman" w:cs="Times New Roman"/>
        </w:rPr>
        <w:t>八、项目管理机构</w:t>
      </w:r>
      <w:r>
        <w:tab/>
      </w:r>
      <w:r>
        <w:fldChar w:fldCharType="begin"/>
      </w:r>
      <w:r>
        <w:instrText xml:space="preserve"> PAGEREF _Toc19879 \h </w:instrText>
      </w:r>
      <w:r>
        <w:fldChar w:fldCharType="separate"/>
      </w:r>
      <w:r>
        <w:t>41</w:t>
      </w:r>
      <w:r>
        <w:fldChar w:fldCharType="end"/>
      </w:r>
      <w:r>
        <w:fldChar w:fldCharType="end"/>
      </w:r>
    </w:p>
    <w:p>
      <w:pPr>
        <w:pStyle w:val="17"/>
        <w:tabs>
          <w:tab w:val="right" w:leader="dot" w:pos="8504"/>
        </w:tabs>
      </w:pPr>
      <w:r>
        <w:fldChar w:fldCharType="begin"/>
      </w:r>
      <w:r>
        <w:instrText xml:space="preserve"> HYPERLINK \l "_Toc8868" </w:instrText>
      </w:r>
      <w:r>
        <w:fldChar w:fldCharType="separate"/>
      </w:r>
      <w:r>
        <w:rPr>
          <w:rFonts w:hint="eastAsia" w:ascii="宋体" w:hAnsi="宋体" w:cs="宋体"/>
          <w:bCs/>
          <w:spacing w:val="-2"/>
          <w:szCs w:val="24"/>
        </w:rPr>
        <w:t>九、后期服务方案</w:t>
      </w:r>
      <w:r>
        <w:tab/>
      </w:r>
      <w:r>
        <w:fldChar w:fldCharType="begin"/>
      </w:r>
      <w:r>
        <w:instrText xml:space="preserve"> PAGEREF _Toc8868 \h </w:instrText>
      </w:r>
      <w:r>
        <w:fldChar w:fldCharType="separate"/>
      </w:r>
      <w:r>
        <w:t>42</w:t>
      </w:r>
      <w:r>
        <w:fldChar w:fldCharType="end"/>
      </w:r>
      <w:r>
        <w:fldChar w:fldCharType="end"/>
      </w:r>
    </w:p>
    <w:p>
      <w:pPr>
        <w:pStyle w:val="17"/>
        <w:tabs>
          <w:tab w:val="right" w:leader="dot" w:pos="8504"/>
        </w:tabs>
      </w:pPr>
      <w:r>
        <w:fldChar w:fldCharType="begin"/>
      </w:r>
      <w:r>
        <w:instrText xml:space="preserve"> HYPERLINK \l "_Toc4961" </w:instrText>
      </w:r>
      <w:r>
        <w:fldChar w:fldCharType="separate"/>
      </w:r>
      <w:r>
        <w:rPr>
          <w:rFonts w:hint="eastAsia" w:ascii="宋体" w:hAnsi="宋体" w:cs="宋体"/>
          <w:bCs/>
          <w:spacing w:val="-2"/>
          <w:szCs w:val="24"/>
        </w:rPr>
        <w:t>十、其他资料</w:t>
      </w:r>
      <w:r>
        <w:tab/>
      </w:r>
      <w:r>
        <w:fldChar w:fldCharType="begin"/>
      </w:r>
      <w:r>
        <w:instrText xml:space="preserve"> PAGEREF _Toc4961 \h </w:instrText>
      </w:r>
      <w:r>
        <w:fldChar w:fldCharType="separate"/>
      </w:r>
      <w:r>
        <w:t>42</w:t>
      </w:r>
      <w:r>
        <w:fldChar w:fldCharType="end"/>
      </w:r>
      <w:r>
        <w:fldChar w:fldCharType="end"/>
      </w:r>
    </w:p>
    <w:p>
      <w:pPr>
        <w:spacing w:line="360" w:lineRule="auto"/>
        <w:ind w:firstLine="435"/>
        <w:jc w:val="center"/>
      </w:pPr>
      <w:r>
        <w:rPr>
          <w:rFonts w:eastAsia="黑体"/>
          <w:szCs w:val="24"/>
        </w:rPr>
        <w:fldChar w:fldCharType="end"/>
      </w:r>
    </w:p>
    <w:p>
      <w:pPr>
        <w:pStyle w:val="2"/>
        <w:numPr>
          <w:ilvl w:val="0"/>
          <w:numId w:val="1"/>
        </w:numPr>
        <w:ind w:firstLine="420"/>
        <w:rPr>
          <w:b w:val="0"/>
          <w:szCs w:val="24"/>
        </w:rPr>
      </w:pPr>
      <w:r>
        <w:br w:type="page"/>
      </w:r>
      <w:bookmarkStart w:id="0" w:name="_Toc462215727"/>
      <w:bookmarkStart w:id="1" w:name="_Toc50128746"/>
      <w:r>
        <w:rPr>
          <w:rFonts w:hint="eastAsia"/>
        </w:rPr>
        <w:t xml:space="preserve"> </w:t>
      </w:r>
      <w:bookmarkStart w:id="2" w:name="_Toc19015"/>
      <w:r>
        <w:rPr>
          <w:rFonts w:hint="eastAsia"/>
        </w:rPr>
        <w:t>磋商邀请（磋商公告）</w:t>
      </w:r>
      <w:bookmarkEnd w:id="0"/>
      <w:bookmarkEnd w:id="1"/>
      <w:bookmarkEnd w:id="2"/>
    </w:p>
    <w:p>
      <w:pPr>
        <w:pStyle w:val="27"/>
        <w:widowControl w:val="0"/>
        <w:autoSpaceDE w:val="0"/>
        <w:autoSpaceDN w:val="0"/>
        <w:adjustRightInd w:val="0"/>
        <w:spacing w:before="0" w:after="0" w:line="360" w:lineRule="auto"/>
        <w:rPr>
          <w:rFonts w:ascii="宋体" w:hAnsi="宋体" w:eastAsia="宋体"/>
          <w:kern w:val="2"/>
        </w:rPr>
      </w:pPr>
      <w:r>
        <w:rPr>
          <w:rFonts w:hint="eastAsia" w:ascii="宋体" w:hAnsi="宋体" w:eastAsia="宋体"/>
          <w:kern w:val="2"/>
        </w:rPr>
        <w:t>本项目</w:t>
      </w:r>
      <w:r>
        <w:rPr>
          <w:rFonts w:hint="eastAsia" w:ascii="宋体" w:hAnsi="宋体" w:eastAsia="宋体"/>
          <w:kern w:val="2"/>
          <w:u w:val="single"/>
          <w:lang w:val="en-US" w:eastAsia="zh-CN"/>
        </w:rPr>
        <w:t>三十岗乡东瞿村彩色水稻种植服务项目（二次）</w:t>
      </w:r>
      <w:r>
        <w:rPr>
          <w:rFonts w:hint="eastAsia" w:ascii="宋体" w:hAnsi="宋体" w:eastAsia="宋体"/>
          <w:kern w:val="2"/>
          <w:u w:val="single"/>
        </w:rPr>
        <w:t xml:space="preserve"> </w:t>
      </w:r>
      <w:r>
        <w:rPr>
          <w:rFonts w:hint="eastAsia" w:ascii="宋体" w:hAnsi="宋体" w:eastAsia="宋体"/>
          <w:kern w:val="2"/>
        </w:rPr>
        <w:t>已具备竞争性磋商条件，招标人为</w:t>
      </w:r>
      <w:r>
        <w:rPr>
          <w:rFonts w:hint="eastAsia" w:ascii="宋体" w:hAnsi="宋体" w:eastAsia="宋体"/>
          <w:kern w:val="2"/>
          <w:u w:val="single"/>
        </w:rPr>
        <w:t xml:space="preserve">  </w:t>
      </w:r>
      <w:r>
        <w:rPr>
          <w:rFonts w:hint="eastAsia" w:ascii="宋体" w:hAnsi="宋体" w:eastAsia="宋体"/>
          <w:kern w:val="2"/>
          <w:u w:val="single"/>
          <w:lang w:eastAsia="zh-CN"/>
        </w:rPr>
        <w:t>合肥庐阳乡村振兴开发管理有限公司</w:t>
      </w:r>
      <w:r>
        <w:rPr>
          <w:rFonts w:hint="eastAsia" w:ascii="宋体" w:hAnsi="宋体" w:eastAsia="宋体"/>
          <w:kern w:val="2"/>
        </w:rPr>
        <w:t>，现对该项目进行竞争性磋商，欢迎具备条件的国内投标人参加磋商。</w:t>
      </w:r>
    </w:p>
    <w:p>
      <w:pPr>
        <w:autoSpaceDE w:val="0"/>
        <w:autoSpaceDN w:val="0"/>
        <w:adjustRightInd w:val="0"/>
        <w:spacing w:line="360" w:lineRule="auto"/>
        <w:ind w:firstLine="200"/>
        <w:jc w:val="left"/>
        <w:rPr>
          <w:rFonts w:hAnsi="宋体"/>
          <w:b/>
          <w:bCs/>
          <w:szCs w:val="24"/>
        </w:rPr>
      </w:pPr>
      <w:r>
        <w:rPr>
          <w:rFonts w:hint="eastAsia" w:hAnsi="宋体"/>
          <w:b/>
          <w:bCs/>
          <w:szCs w:val="24"/>
        </w:rPr>
        <w:t>一、项目名称及内容</w:t>
      </w:r>
    </w:p>
    <w:p>
      <w:pPr>
        <w:autoSpaceDE w:val="0"/>
        <w:autoSpaceDN w:val="0"/>
        <w:adjustRightInd w:val="0"/>
        <w:spacing w:line="360" w:lineRule="auto"/>
        <w:ind w:firstLine="200"/>
        <w:jc w:val="left"/>
        <w:rPr>
          <w:rFonts w:hAnsi="宋体"/>
          <w:szCs w:val="24"/>
          <w:highlight w:val="yellow"/>
        </w:rPr>
      </w:pPr>
      <w:r>
        <w:rPr>
          <w:rFonts w:hint="eastAsia" w:hAnsi="宋体"/>
          <w:szCs w:val="24"/>
        </w:rPr>
        <w:t>1.项目编号：</w:t>
      </w:r>
      <w:r>
        <w:rPr>
          <w:rFonts w:hint="eastAsia" w:hAnsi="宋体"/>
          <w:szCs w:val="24"/>
          <w:lang w:eastAsia="zh-CN"/>
        </w:rPr>
        <w:t>2024GW0012</w:t>
      </w:r>
      <w:r>
        <w:rPr>
          <w:rFonts w:hint="eastAsia" w:hAnsi="宋体"/>
          <w:szCs w:val="24"/>
        </w:rPr>
        <w:t xml:space="preserve">  </w:t>
      </w:r>
    </w:p>
    <w:p>
      <w:pPr>
        <w:autoSpaceDE w:val="0"/>
        <w:autoSpaceDN w:val="0"/>
        <w:adjustRightInd w:val="0"/>
        <w:spacing w:line="360" w:lineRule="auto"/>
        <w:ind w:firstLine="200"/>
        <w:jc w:val="left"/>
        <w:rPr>
          <w:rFonts w:hAnsi="宋体"/>
          <w:szCs w:val="24"/>
        </w:rPr>
      </w:pPr>
      <w:r>
        <w:rPr>
          <w:rFonts w:hint="eastAsia" w:hAnsi="宋体"/>
          <w:szCs w:val="24"/>
        </w:rPr>
        <w:t>2.项目名称：</w:t>
      </w:r>
      <w:r>
        <w:rPr>
          <w:rFonts w:hint="eastAsia" w:hAnsi="宋体"/>
          <w:szCs w:val="18"/>
          <w:lang w:val="en-US" w:eastAsia="zh-CN"/>
        </w:rPr>
        <w:t>三十岗乡东瞿村彩色水稻种植服务项目（二次）</w:t>
      </w:r>
      <w:r>
        <w:rPr>
          <w:rFonts w:hint="eastAsia" w:hAnsi="宋体"/>
          <w:szCs w:val="24"/>
        </w:rPr>
        <w:t xml:space="preserve"> </w:t>
      </w:r>
    </w:p>
    <w:p>
      <w:pPr>
        <w:autoSpaceDE w:val="0"/>
        <w:autoSpaceDN w:val="0"/>
        <w:adjustRightInd w:val="0"/>
        <w:spacing w:line="360" w:lineRule="auto"/>
        <w:ind w:firstLine="200"/>
        <w:jc w:val="left"/>
        <w:rPr>
          <w:rFonts w:hint="default" w:hAnsi="宋体" w:eastAsia="宋体"/>
          <w:szCs w:val="24"/>
          <w:lang w:val="en-US" w:eastAsia="zh-CN"/>
        </w:rPr>
      </w:pPr>
      <w:r>
        <w:rPr>
          <w:rFonts w:hint="eastAsia" w:hAnsi="宋体"/>
          <w:szCs w:val="24"/>
        </w:rPr>
        <w:t>3.项目地点：三十岗乡东瞿村</w:t>
      </w:r>
      <w:r>
        <w:rPr>
          <w:rFonts w:hint="eastAsia" w:ascii="宋体" w:hAnsi="宋体" w:eastAsia="宋体" w:cs="宋体"/>
          <w:color w:val="auto"/>
          <w:sz w:val="24"/>
          <w:szCs w:val="24"/>
          <w:highlight w:val="none"/>
        </w:rPr>
        <w:t>，具体地点以业主指定为准</w:t>
      </w:r>
      <w:r>
        <w:rPr>
          <w:rFonts w:hint="eastAsia" w:ascii="宋体" w:hAnsi="宋体" w:eastAsia="宋体" w:cs="宋体"/>
          <w:color w:val="auto"/>
          <w:sz w:val="24"/>
          <w:szCs w:val="24"/>
          <w:highlight w:val="none"/>
          <w:lang w:eastAsia="zh-CN"/>
        </w:rPr>
        <w:t>。</w:t>
      </w:r>
    </w:p>
    <w:p>
      <w:pPr>
        <w:autoSpaceDE w:val="0"/>
        <w:autoSpaceDN w:val="0"/>
        <w:adjustRightInd w:val="0"/>
        <w:spacing w:line="360" w:lineRule="auto"/>
        <w:ind w:firstLine="200"/>
        <w:jc w:val="left"/>
        <w:rPr>
          <w:rFonts w:hint="eastAsia" w:hAnsi="宋体" w:eastAsia="宋体"/>
          <w:szCs w:val="24"/>
          <w:lang w:eastAsia="zh-CN"/>
        </w:rPr>
      </w:pPr>
      <w:r>
        <w:rPr>
          <w:rFonts w:hint="eastAsia" w:hAnsi="宋体"/>
          <w:szCs w:val="24"/>
        </w:rPr>
        <w:t>4.项目单位：合肥庐阳乡村振兴开发管理有限公司</w:t>
      </w:r>
    </w:p>
    <w:p>
      <w:pPr>
        <w:spacing w:line="360" w:lineRule="auto"/>
        <w:ind w:firstLine="240" w:firstLineChars="100"/>
        <w:rPr>
          <w:rFonts w:hint="default" w:hAnsi="宋体" w:eastAsia="宋体"/>
          <w:szCs w:val="24"/>
          <w:lang w:val="en-US" w:eastAsia="zh-CN"/>
        </w:rPr>
      </w:pPr>
      <w:r>
        <w:rPr>
          <w:rFonts w:hint="eastAsia" w:hAnsi="宋体"/>
          <w:szCs w:val="24"/>
        </w:rPr>
        <w:t>5.项目概况：桃蹊富硒水稻种植区位于三十岗乡东瞿村，比邻大科学装置中心和大隐原乡科普基地中心位置，区位条件优越。乡村振兴公司计划因地制宜，将创意农业与科普休闲旅游相结合，采用技术手段，在现有稻田区域种植“最美科研圣地”稻田字画景观，营造三十岗乡最美科研圣地科普氛围，通过航拍和瞭望视角，呈现一处田园风光与科普休闲地网红打卡点。</w:t>
      </w:r>
      <w:r>
        <w:rPr>
          <w:rFonts w:hint="eastAsia" w:hAnsi="宋体"/>
          <w:szCs w:val="24"/>
          <w:lang w:val="en-US" w:eastAsia="zh-CN"/>
        </w:rPr>
        <w:t>详见磋商文件</w:t>
      </w:r>
      <w:r>
        <w:rPr>
          <w:rFonts w:hint="eastAsia" w:hAnsi="宋体"/>
          <w:szCs w:val="24"/>
        </w:rPr>
        <w:t xml:space="preserve"> </w:t>
      </w:r>
    </w:p>
    <w:p>
      <w:pPr>
        <w:autoSpaceDE w:val="0"/>
        <w:autoSpaceDN w:val="0"/>
        <w:adjustRightInd w:val="0"/>
        <w:spacing w:line="360" w:lineRule="auto"/>
        <w:ind w:firstLine="200"/>
        <w:jc w:val="left"/>
        <w:rPr>
          <w:rFonts w:hAnsi="宋体"/>
          <w:szCs w:val="24"/>
        </w:rPr>
      </w:pPr>
      <w:r>
        <w:rPr>
          <w:rFonts w:hint="eastAsia" w:hAnsi="宋体"/>
          <w:szCs w:val="24"/>
        </w:rPr>
        <w:t xml:space="preserve">6.资金来源：自筹 </w:t>
      </w:r>
    </w:p>
    <w:p>
      <w:pPr>
        <w:autoSpaceDE w:val="0"/>
        <w:autoSpaceDN w:val="0"/>
        <w:adjustRightInd w:val="0"/>
        <w:spacing w:line="360" w:lineRule="auto"/>
        <w:ind w:firstLine="200"/>
        <w:jc w:val="left"/>
        <w:rPr>
          <w:rFonts w:hAnsi="宋体"/>
          <w:szCs w:val="24"/>
        </w:rPr>
      </w:pPr>
      <w:r>
        <w:rPr>
          <w:rFonts w:hint="eastAsia" w:hAnsi="宋体"/>
          <w:szCs w:val="24"/>
        </w:rPr>
        <w:t>7.项目概算：</w:t>
      </w:r>
      <w:r>
        <w:rPr>
          <w:rFonts w:hint="eastAsia" w:hAnsi="宋体" w:cs="宋体"/>
          <w:sz w:val="24"/>
          <w:lang w:val="en-US" w:eastAsia="zh-CN"/>
        </w:rPr>
        <w:t>18.2</w:t>
      </w:r>
      <w:r>
        <w:rPr>
          <w:rFonts w:hint="eastAsia" w:hAnsi="宋体"/>
          <w:szCs w:val="24"/>
        </w:rPr>
        <w:t>万</w:t>
      </w:r>
    </w:p>
    <w:p>
      <w:pPr>
        <w:autoSpaceDE w:val="0"/>
        <w:autoSpaceDN w:val="0"/>
        <w:adjustRightInd w:val="0"/>
        <w:spacing w:line="360" w:lineRule="auto"/>
        <w:ind w:firstLine="200"/>
        <w:jc w:val="left"/>
      </w:pPr>
      <w:r>
        <w:rPr>
          <w:rFonts w:hint="eastAsia" w:hAnsi="宋体"/>
          <w:szCs w:val="24"/>
        </w:rPr>
        <w:t>8.项目类别：服务类</w:t>
      </w:r>
    </w:p>
    <w:p>
      <w:pPr>
        <w:autoSpaceDE w:val="0"/>
        <w:autoSpaceDN w:val="0"/>
        <w:adjustRightInd w:val="0"/>
        <w:spacing w:line="360" w:lineRule="auto"/>
        <w:ind w:firstLine="200"/>
        <w:jc w:val="left"/>
        <w:rPr>
          <w:rFonts w:hAnsi="宋体"/>
          <w:szCs w:val="24"/>
        </w:rPr>
      </w:pPr>
      <w:r>
        <w:rPr>
          <w:rFonts w:hint="eastAsia" w:hAnsi="宋体"/>
          <w:szCs w:val="24"/>
        </w:rPr>
        <w:t>9.标段（包别）划分：不分包</w:t>
      </w:r>
    </w:p>
    <w:p>
      <w:pPr>
        <w:autoSpaceDE w:val="0"/>
        <w:autoSpaceDN w:val="0"/>
        <w:adjustRightInd w:val="0"/>
        <w:spacing w:line="360" w:lineRule="auto"/>
        <w:ind w:firstLine="200"/>
        <w:jc w:val="left"/>
        <w:rPr>
          <w:rFonts w:hAnsi="宋体"/>
          <w:b/>
          <w:bCs/>
          <w:szCs w:val="24"/>
        </w:rPr>
      </w:pPr>
      <w:r>
        <w:rPr>
          <w:rFonts w:hint="eastAsia" w:hAnsi="宋体"/>
          <w:b/>
          <w:bCs/>
          <w:szCs w:val="24"/>
        </w:rPr>
        <w:t>二、投标人资格</w:t>
      </w:r>
    </w:p>
    <w:p>
      <w:pPr>
        <w:autoSpaceDE w:val="0"/>
        <w:autoSpaceDN w:val="0"/>
        <w:adjustRightInd w:val="0"/>
        <w:spacing w:line="360" w:lineRule="auto"/>
        <w:ind w:firstLine="200"/>
        <w:jc w:val="left"/>
        <w:rPr>
          <w:rFonts w:hAnsi="宋体"/>
          <w:szCs w:val="24"/>
        </w:rPr>
      </w:pPr>
      <w:r>
        <w:rPr>
          <w:rFonts w:hint="eastAsia" w:hAnsi="宋体"/>
          <w:szCs w:val="24"/>
        </w:rPr>
        <w:t>1.本项目不接受联合体磋商；</w:t>
      </w:r>
    </w:p>
    <w:p>
      <w:pPr>
        <w:autoSpaceDE w:val="0"/>
        <w:autoSpaceDN w:val="0"/>
        <w:adjustRightInd w:val="0"/>
        <w:spacing w:line="360" w:lineRule="auto"/>
        <w:ind w:firstLine="200"/>
        <w:jc w:val="left"/>
        <w:rPr>
          <w:rFonts w:hint="eastAsia" w:ascii="宋体" w:hAnsi="宋体" w:eastAsia="宋体" w:cs="Times New Roman"/>
          <w:szCs w:val="24"/>
          <w:lang w:val="en-US" w:eastAsia="zh-CN"/>
        </w:rPr>
      </w:pPr>
      <w:r>
        <w:rPr>
          <w:rFonts w:hint="eastAsia" w:hAnsi="宋体"/>
          <w:szCs w:val="24"/>
        </w:rPr>
        <w:t>2.具有独立承担民事责任的能力，不具有独立法人的分支机构投标另须提供相应授权文件</w:t>
      </w:r>
      <w:r>
        <w:rPr>
          <w:rFonts w:hint="eastAsia" w:ascii="宋体" w:hAnsi="宋体" w:eastAsia="宋体" w:cs="Times New Roman"/>
          <w:szCs w:val="24"/>
          <w:lang w:val="en-US" w:eastAsia="zh-CN"/>
        </w:rPr>
        <w:t>；</w:t>
      </w:r>
    </w:p>
    <w:p>
      <w:pPr>
        <w:autoSpaceDE w:val="0"/>
        <w:autoSpaceDN w:val="0"/>
        <w:adjustRightInd w:val="0"/>
        <w:spacing w:line="360" w:lineRule="auto"/>
        <w:ind w:firstLine="200"/>
        <w:jc w:val="left"/>
        <w:rPr>
          <w:rFonts w:hAnsi="宋体"/>
          <w:szCs w:val="18"/>
        </w:rPr>
      </w:pPr>
      <w:r>
        <w:rPr>
          <w:rFonts w:hint="eastAsia" w:hAnsi="宋体"/>
          <w:szCs w:val="18"/>
          <w:lang w:val="en-US" w:eastAsia="zh-CN"/>
        </w:rPr>
        <w:t>3</w:t>
      </w:r>
      <w:r>
        <w:rPr>
          <w:rFonts w:hint="eastAsia" w:hAnsi="宋体"/>
          <w:szCs w:val="18"/>
        </w:rPr>
        <w:t>.符合下列情形之一：</w:t>
      </w:r>
    </w:p>
    <w:p>
      <w:pPr>
        <w:autoSpaceDE w:val="0"/>
        <w:autoSpaceDN w:val="0"/>
        <w:adjustRightInd w:val="0"/>
        <w:spacing w:line="360" w:lineRule="auto"/>
        <w:ind w:firstLine="200"/>
        <w:jc w:val="left"/>
        <w:rPr>
          <w:rFonts w:hAnsi="宋体"/>
          <w:szCs w:val="18"/>
        </w:rPr>
      </w:pPr>
      <w:r>
        <w:rPr>
          <w:rFonts w:hint="eastAsia" w:hAnsi="宋体"/>
          <w:szCs w:val="18"/>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Ansi="宋体"/>
          <w:szCs w:val="18"/>
        </w:rPr>
      </w:pPr>
      <w:r>
        <w:rPr>
          <w:rFonts w:hint="eastAsia" w:hAnsi="宋体"/>
          <w:szCs w:val="18"/>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Ansi="宋体"/>
          <w:szCs w:val="18"/>
        </w:rPr>
      </w:pPr>
      <w:r>
        <w:rPr>
          <w:rFonts w:hint="eastAsia" w:hAnsi="宋体"/>
          <w:szCs w:val="18"/>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Ansi="宋体"/>
          <w:szCs w:val="18"/>
        </w:rPr>
      </w:pPr>
      <w:r>
        <w:rPr>
          <w:rFonts w:hint="eastAsia" w:hAnsi="宋体"/>
          <w:szCs w:val="18"/>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Ansi="宋体"/>
          <w:b/>
          <w:bCs/>
          <w:szCs w:val="24"/>
        </w:rPr>
      </w:pPr>
      <w:r>
        <w:rPr>
          <w:rFonts w:hint="eastAsia" w:hAnsi="宋体"/>
          <w:b/>
          <w:bCs/>
          <w:szCs w:val="24"/>
        </w:rPr>
        <w:t>三、磋商文件的获取</w:t>
      </w:r>
    </w:p>
    <w:p>
      <w:pPr>
        <w:spacing w:line="360" w:lineRule="auto"/>
        <w:rPr>
          <w:rFonts w:hint="default" w:hAnsi="宋体"/>
          <w:bCs/>
          <w:color w:val="auto"/>
          <w:szCs w:val="24"/>
          <w:highlight w:val="yellow"/>
          <w:lang w:val="en-US"/>
        </w:rPr>
      </w:pPr>
      <w:r>
        <w:rPr>
          <w:rFonts w:hint="eastAsia" w:hAnsi="宋体"/>
          <w:bCs/>
          <w:color w:val="000000"/>
          <w:szCs w:val="24"/>
        </w:rPr>
        <w:t>1.获取时间：</w:t>
      </w:r>
      <w:r>
        <w:rPr>
          <w:rFonts w:hint="eastAsia" w:hAnsi="宋体"/>
          <w:bCs/>
          <w:color w:val="auto"/>
          <w:szCs w:val="24"/>
        </w:rPr>
        <w:t>202</w:t>
      </w:r>
      <w:r>
        <w:rPr>
          <w:rFonts w:hint="eastAsia" w:hAnsi="宋体"/>
          <w:bCs/>
          <w:color w:val="auto"/>
          <w:szCs w:val="24"/>
          <w:lang w:val="en-US" w:eastAsia="zh-CN"/>
        </w:rPr>
        <w:t>4</w:t>
      </w:r>
      <w:r>
        <w:rPr>
          <w:rFonts w:hint="eastAsia" w:hAnsi="宋体"/>
          <w:bCs/>
          <w:color w:val="auto"/>
          <w:szCs w:val="24"/>
        </w:rPr>
        <w:t>年</w:t>
      </w:r>
      <w:r>
        <w:rPr>
          <w:rFonts w:hint="eastAsia" w:hAnsi="宋体"/>
          <w:bCs/>
          <w:color w:val="auto"/>
          <w:szCs w:val="24"/>
          <w:lang w:val="en-US" w:eastAsia="zh-CN"/>
        </w:rPr>
        <w:t>8</w:t>
      </w:r>
      <w:r>
        <w:rPr>
          <w:rFonts w:hint="eastAsia" w:hAnsi="宋体"/>
          <w:bCs/>
          <w:color w:val="auto"/>
          <w:szCs w:val="24"/>
        </w:rPr>
        <w:t>月</w:t>
      </w:r>
      <w:r>
        <w:rPr>
          <w:rFonts w:hint="eastAsia" w:hAnsi="宋体"/>
          <w:bCs/>
          <w:color w:val="auto"/>
          <w:szCs w:val="24"/>
          <w:lang w:val="en-US" w:eastAsia="zh-CN"/>
        </w:rPr>
        <w:t>26</w:t>
      </w:r>
      <w:r>
        <w:rPr>
          <w:rFonts w:hint="eastAsia" w:hAnsi="宋体"/>
          <w:bCs/>
          <w:color w:val="auto"/>
          <w:szCs w:val="24"/>
        </w:rPr>
        <w:t>日</w:t>
      </w:r>
      <w:r>
        <w:rPr>
          <w:rFonts w:hint="eastAsia" w:hAnsi="宋体"/>
          <w:bCs/>
          <w:color w:val="auto"/>
          <w:szCs w:val="24"/>
          <w:lang w:val="en-US" w:eastAsia="zh-CN"/>
        </w:rPr>
        <w:t>16</w:t>
      </w:r>
      <w:r>
        <w:rPr>
          <w:rFonts w:hint="eastAsia" w:hAnsi="宋体"/>
          <w:bCs/>
          <w:color w:val="auto"/>
          <w:szCs w:val="24"/>
        </w:rPr>
        <w:t>:</w:t>
      </w:r>
      <w:r>
        <w:rPr>
          <w:rFonts w:hint="eastAsia" w:hAnsi="宋体"/>
          <w:bCs/>
          <w:color w:val="auto"/>
          <w:szCs w:val="24"/>
          <w:lang w:val="en-US" w:eastAsia="zh-CN"/>
        </w:rPr>
        <w:t>30</w:t>
      </w:r>
      <w:r>
        <w:rPr>
          <w:rFonts w:hint="eastAsia" w:hAnsi="宋体"/>
          <w:bCs/>
          <w:color w:val="auto"/>
          <w:szCs w:val="24"/>
        </w:rPr>
        <w:t>至202</w:t>
      </w:r>
      <w:r>
        <w:rPr>
          <w:rFonts w:hint="eastAsia" w:hAnsi="宋体"/>
          <w:bCs/>
          <w:color w:val="auto"/>
          <w:szCs w:val="24"/>
          <w:lang w:val="en-US" w:eastAsia="zh-CN"/>
        </w:rPr>
        <w:t>4</w:t>
      </w:r>
      <w:r>
        <w:rPr>
          <w:rFonts w:hint="eastAsia" w:hAnsi="宋体"/>
          <w:bCs/>
          <w:color w:val="auto"/>
          <w:szCs w:val="24"/>
        </w:rPr>
        <w:t>年</w:t>
      </w:r>
      <w:r>
        <w:rPr>
          <w:rFonts w:hint="eastAsia" w:hAnsi="宋体"/>
          <w:bCs/>
          <w:color w:val="auto"/>
          <w:szCs w:val="24"/>
          <w:lang w:val="en-US" w:eastAsia="zh-CN"/>
        </w:rPr>
        <w:t>9</w:t>
      </w:r>
      <w:r>
        <w:rPr>
          <w:rFonts w:hint="eastAsia" w:hAnsi="宋体"/>
          <w:bCs/>
          <w:color w:val="auto"/>
          <w:szCs w:val="24"/>
        </w:rPr>
        <w:t>月</w:t>
      </w:r>
      <w:r>
        <w:rPr>
          <w:rFonts w:hint="eastAsia" w:hAnsi="宋体"/>
          <w:bCs/>
          <w:color w:val="auto"/>
          <w:szCs w:val="24"/>
          <w:lang w:val="en-US" w:eastAsia="zh-CN"/>
        </w:rPr>
        <w:t>5</w:t>
      </w:r>
      <w:r>
        <w:rPr>
          <w:rFonts w:hint="eastAsia" w:hAnsi="宋体"/>
          <w:bCs/>
          <w:color w:val="auto"/>
          <w:szCs w:val="24"/>
        </w:rPr>
        <w:t>日</w:t>
      </w:r>
      <w:r>
        <w:rPr>
          <w:rFonts w:hint="eastAsia" w:hAnsi="宋体"/>
          <w:bCs/>
          <w:color w:val="auto"/>
          <w:szCs w:val="24"/>
          <w:lang w:val="en-US" w:eastAsia="zh-CN"/>
        </w:rPr>
        <w:t>16</w:t>
      </w:r>
      <w:r>
        <w:rPr>
          <w:rFonts w:hint="eastAsia" w:hAnsi="宋体"/>
          <w:bCs/>
          <w:color w:val="auto"/>
          <w:szCs w:val="24"/>
        </w:rPr>
        <w:t>:</w:t>
      </w:r>
      <w:r>
        <w:rPr>
          <w:rFonts w:hint="eastAsia" w:hAnsi="宋体"/>
          <w:bCs/>
          <w:color w:val="auto"/>
          <w:szCs w:val="24"/>
          <w:lang w:val="en-US" w:eastAsia="zh-CN"/>
        </w:rPr>
        <w:t>30</w:t>
      </w:r>
    </w:p>
    <w:p>
      <w:pPr>
        <w:spacing w:line="360" w:lineRule="auto"/>
        <w:rPr>
          <w:rFonts w:hAnsi="宋体"/>
          <w:bCs/>
          <w:color w:val="000000"/>
          <w:szCs w:val="24"/>
        </w:rPr>
      </w:pPr>
      <w:r>
        <w:rPr>
          <w:rFonts w:hint="eastAsia" w:hAnsi="宋体"/>
          <w:bCs/>
          <w:color w:val="000000"/>
          <w:szCs w:val="24"/>
        </w:rPr>
        <w:t>2.</w:t>
      </w:r>
      <w:r>
        <w:rPr>
          <w:rFonts w:hint="eastAsia" w:hAnsi="宋体"/>
          <w:bCs/>
          <w:szCs w:val="24"/>
        </w:rPr>
        <w:t>磋商</w:t>
      </w:r>
      <w:r>
        <w:rPr>
          <w:rFonts w:hint="eastAsia" w:hAnsi="宋体"/>
          <w:bCs/>
          <w:color w:val="000000"/>
          <w:szCs w:val="24"/>
        </w:rPr>
        <w:t>文件价格：免费</w:t>
      </w:r>
    </w:p>
    <w:p>
      <w:pPr>
        <w:spacing w:line="360" w:lineRule="auto"/>
        <w:rPr>
          <w:rFonts w:hAnsi="宋体"/>
          <w:bCs/>
          <w:color w:val="000000"/>
          <w:szCs w:val="24"/>
        </w:rPr>
      </w:pPr>
      <w:r>
        <w:rPr>
          <w:rFonts w:hint="eastAsia" w:hAnsi="宋体"/>
          <w:bCs/>
          <w:color w:val="000000"/>
          <w:szCs w:val="24"/>
        </w:rPr>
        <w:t>3.获取方式</w:t>
      </w:r>
    </w:p>
    <w:p>
      <w:pPr>
        <w:spacing w:line="360" w:lineRule="auto"/>
        <w:rPr>
          <w:rFonts w:ascii="仿宋_GB2312" w:eastAsia="仿宋_GB2312"/>
          <w:sz w:val="32"/>
          <w:szCs w:val="32"/>
        </w:rPr>
      </w:pPr>
      <w:r>
        <w:rPr>
          <w:rFonts w:hint="eastAsia" w:cs="楷体"/>
          <w:bCs/>
          <w:snapToGrid w:val="0"/>
          <w:color w:val="000000"/>
          <w:szCs w:val="24"/>
        </w:rPr>
        <w:t>潜在投标人须登录合肥庐阳文化旅游发展集团有限公司官方网站查阅并下载磋商文件</w:t>
      </w:r>
      <w:r>
        <w:rPr>
          <w:rFonts w:hAnsi="宋体" w:cs="宋体"/>
          <w:szCs w:val="24"/>
        </w:rPr>
        <w:t>。</w:t>
      </w:r>
    </w:p>
    <w:p>
      <w:pPr>
        <w:autoSpaceDE w:val="0"/>
        <w:autoSpaceDN w:val="0"/>
        <w:adjustRightInd w:val="0"/>
        <w:spacing w:line="360" w:lineRule="auto"/>
        <w:ind w:firstLine="200"/>
        <w:jc w:val="left"/>
        <w:rPr>
          <w:rFonts w:hAnsi="宋体"/>
          <w:b/>
          <w:bCs/>
          <w:szCs w:val="18"/>
        </w:rPr>
      </w:pPr>
      <w:r>
        <w:rPr>
          <w:rFonts w:hint="eastAsia" w:hAnsi="宋体"/>
          <w:b/>
          <w:bCs/>
          <w:szCs w:val="18"/>
        </w:rPr>
        <w:t>四、磋商时间及地点</w:t>
      </w:r>
    </w:p>
    <w:p>
      <w:pPr>
        <w:autoSpaceDE w:val="0"/>
        <w:autoSpaceDN w:val="0"/>
        <w:adjustRightInd w:val="0"/>
        <w:spacing w:line="360" w:lineRule="auto"/>
        <w:ind w:firstLine="200"/>
        <w:jc w:val="left"/>
        <w:rPr>
          <w:rFonts w:hAnsi="宋体"/>
          <w:bCs/>
          <w:szCs w:val="18"/>
          <w:highlight w:val="yellow"/>
        </w:rPr>
      </w:pPr>
      <w:r>
        <w:rPr>
          <w:rFonts w:hint="eastAsia" w:hAnsi="宋体"/>
          <w:szCs w:val="18"/>
        </w:rPr>
        <w:t>1.磋商时间：响应文件提交</w:t>
      </w:r>
      <w:r>
        <w:rPr>
          <w:rFonts w:hint="eastAsia"/>
        </w:rPr>
        <w:t>截止时间后由招标人根据工作情况自行确定</w:t>
      </w:r>
    </w:p>
    <w:p>
      <w:pPr>
        <w:autoSpaceDE w:val="0"/>
        <w:autoSpaceDN w:val="0"/>
        <w:adjustRightInd w:val="0"/>
        <w:spacing w:line="360" w:lineRule="auto"/>
        <w:ind w:firstLine="200"/>
        <w:jc w:val="left"/>
        <w:rPr>
          <w:rFonts w:hAnsi="宋体"/>
          <w:bCs/>
          <w:szCs w:val="18"/>
        </w:rPr>
      </w:pPr>
      <w:r>
        <w:rPr>
          <w:rFonts w:hint="eastAsia" w:hAnsi="宋体"/>
          <w:bCs/>
          <w:szCs w:val="18"/>
        </w:rPr>
        <w:t>2.磋商地点：</w:t>
      </w:r>
      <w:r>
        <w:rPr>
          <w:rFonts w:hint="eastAsia"/>
        </w:rPr>
        <w:t>由招标人自行确定（</w:t>
      </w:r>
      <w:r>
        <w:rPr>
          <w:rFonts w:hint="eastAsia"/>
          <w:b/>
          <w:bCs/>
        </w:rPr>
        <w:t>备注：投标人在规定时间内递交投标文件即可，无须现场参加开标</w:t>
      </w:r>
      <w:r>
        <w:rPr>
          <w:rFonts w:hint="eastAsia"/>
        </w:rPr>
        <w:t>）</w:t>
      </w:r>
      <w:r>
        <w:rPr>
          <w:rFonts w:hint="eastAsia" w:cs="楷体"/>
          <w:bCs/>
          <w:snapToGrid w:val="0"/>
          <w:color w:val="000000"/>
          <w:szCs w:val="24"/>
        </w:rPr>
        <w:t>。</w:t>
      </w:r>
    </w:p>
    <w:p>
      <w:pPr>
        <w:autoSpaceDE w:val="0"/>
        <w:autoSpaceDN w:val="0"/>
        <w:adjustRightInd w:val="0"/>
        <w:spacing w:line="360" w:lineRule="auto"/>
        <w:ind w:firstLine="200"/>
        <w:jc w:val="left"/>
        <w:rPr>
          <w:rFonts w:hAnsi="宋体"/>
          <w:b/>
          <w:bCs/>
          <w:szCs w:val="18"/>
        </w:rPr>
      </w:pPr>
      <w:r>
        <w:rPr>
          <w:rFonts w:hint="eastAsia" w:hAnsi="宋体"/>
          <w:b/>
          <w:bCs/>
          <w:szCs w:val="18"/>
        </w:rPr>
        <w:t>五、响应文件提交截止时间</w:t>
      </w:r>
    </w:p>
    <w:p>
      <w:pPr>
        <w:autoSpaceDE w:val="0"/>
        <w:autoSpaceDN w:val="0"/>
        <w:adjustRightInd w:val="0"/>
        <w:spacing w:line="360" w:lineRule="auto"/>
        <w:ind w:firstLine="200"/>
        <w:jc w:val="left"/>
        <w:rPr>
          <w:rFonts w:hAnsi="宋体"/>
          <w:bCs/>
          <w:color w:val="auto"/>
        </w:rPr>
      </w:pPr>
      <w:r>
        <w:rPr>
          <w:rFonts w:hint="eastAsia" w:hAnsi="宋体"/>
          <w:bCs/>
          <w:color w:val="auto"/>
          <w:szCs w:val="24"/>
        </w:rPr>
        <w:t>202</w:t>
      </w:r>
      <w:r>
        <w:rPr>
          <w:rFonts w:hint="eastAsia" w:hAnsi="宋体"/>
          <w:bCs/>
          <w:color w:val="auto"/>
          <w:szCs w:val="24"/>
          <w:lang w:val="en-US" w:eastAsia="zh-CN"/>
        </w:rPr>
        <w:t>4</w:t>
      </w:r>
      <w:r>
        <w:rPr>
          <w:rFonts w:hint="eastAsia" w:hAnsi="宋体"/>
          <w:bCs/>
          <w:color w:val="auto"/>
          <w:szCs w:val="24"/>
        </w:rPr>
        <w:t>年</w:t>
      </w:r>
      <w:r>
        <w:rPr>
          <w:rFonts w:hint="eastAsia" w:hAnsi="宋体"/>
          <w:bCs/>
          <w:color w:val="auto"/>
          <w:szCs w:val="24"/>
          <w:lang w:val="en-US" w:eastAsia="zh-CN"/>
        </w:rPr>
        <w:t>9</w:t>
      </w:r>
      <w:r>
        <w:rPr>
          <w:rFonts w:hint="eastAsia" w:hAnsi="宋体"/>
          <w:bCs/>
          <w:color w:val="auto"/>
          <w:szCs w:val="24"/>
        </w:rPr>
        <w:t>月</w:t>
      </w:r>
      <w:r>
        <w:rPr>
          <w:rFonts w:hint="eastAsia" w:hAnsi="宋体"/>
          <w:bCs/>
          <w:color w:val="auto"/>
          <w:szCs w:val="24"/>
          <w:lang w:val="en-US" w:eastAsia="zh-CN"/>
        </w:rPr>
        <w:t>5</w:t>
      </w:r>
      <w:r>
        <w:rPr>
          <w:rFonts w:hint="eastAsia" w:hAnsi="宋体"/>
          <w:bCs/>
          <w:color w:val="auto"/>
          <w:szCs w:val="24"/>
        </w:rPr>
        <w:t>日</w:t>
      </w:r>
      <w:r>
        <w:rPr>
          <w:rFonts w:hint="eastAsia" w:hAnsi="宋体"/>
          <w:bCs/>
          <w:color w:val="auto"/>
          <w:szCs w:val="24"/>
          <w:lang w:val="en-US" w:eastAsia="zh-CN"/>
        </w:rPr>
        <w:t>16</w:t>
      </w:r>
      <w:r>
        <w:rPr>
          <w:rFonts w:hint="eastAsia" w:hAnsi="宋体"/>
          <w:bCs/>
          <w:color w:val="auto"/>
          <w:szCs w:val="24"/>
        </w:rPr>
        <w:t>:</w:t>
      </w:r>
      <w:r>
        <w:rPr>
          <w:rFonts w:hint="eastAsia" w:hAnsi="宋体"/>
          <w:bCs/>
          <w:color w:val="auto"/>
          <w:szCs w:val="24"/>
          <w:lang w:val="en-US" w:eastAsia="zh-CN"/>
        </w:rPr>
        <w:t xml:space="preserve">30 </w:t>
      </w:r>
      <w:r>
        <w:rPr>
          <w:rFonts w:hint="eastAsia" w:hAnsi="宋体"/>
          <w:bCs/>
          <w:color w:val="auto"/>
        </w:rPr>
        <w:t xml:space="preserve">  </w:t>
      </w:r>
    </w:p>
    <w:p>
      <w:pPr>
        <w:numPr>
          <w:ilvl w:val="0"/>
          <w:numId w:val="0"/>
        </w:numPr>
        <w:autoSpaceDE w:val="0"/>
        <w:autoSpaceDN w:val="0"/>
        <w:adjustRightInd w:val="0"/>
        <w:spacing w:line="360" w:lineRule="auto"/>
        <w:ind w:firstLine="200" w:firstLineChars="0"/>
        <w:jc w:val="left"/>
        <w:rPr>
          <w:rFonts w:hAnsi="宋体"/>
          <w:b/>
          <w:bCs/>
          <w:szCs w:val="18"/>
        </w:rPr>
      </w:pPr>
      <w:r>
        <w:rPr>
          <w:rFonts w:hint="eastAsia" w:ascii="宋体" w:hAnsi="宋体" w:eastAsia="宋体" w:cs="Times New Roman"/>
          <w:b/>
          <w:bCs/>
          <w:sz w:val="24"/>
          <w:szCs w:val="18"/>
          <w:lang w:val="en-US" w:eastAsia="zh-CN" w:bidi="ar-SA"/>
        </w:rPr>
        <w:t>六、</w:t>
      </w:r>
      <w:r>
        <w:rPr>
          <w:rFonts w:hint="eastAsia" w:hAnsi="宋体"/>
          <w:b/>
          <w:bCs/>
          <w:szCs w:val="18"/>
        </w:rPr>
        <w:t>响应文件递交注意事项：</w:t>
      </w:r>
    </w:p>
    <w:p>
      <w:pPr>
        <w:pStyle w:val="20"/>
        <w:spacing w:line="360" w:lineRule="auto"/>
        <w:ind w:left="480" w:leftChars="200" w:firstLine="0" w:firstLineChars="0"/>
        <w:rPr>
          <w:color w:val="000000"/>
          <w:sz w:val="24"/>
          <w:szCs w:val="24"/>
        </w:rPr>
      </w:pPr>
      <w:r>
        <w:rPr>
          <w:rFonts w:hint="eastAsia"/>
          <w:color w:val="000000"/>
          <w:sz w:val="24"/>
          <w:szCs w:val="24"/>
        </w:rPr>
        <w:t>1.</w:t>
      </w:r>
      <w:r>
        <w:rPr>
          <w:color w:val="000000"/>
          <w:sz w:val="24"/>
          <w:szCs w:val="24"/>
        </w:rPr>
        <w:t>投标文件由投标人在响应文件递交截止时间前密封递交</w:t>
      </w:r>
      <w:r>
        <w:rPr>
          <w:rFonts w:hint="eastAsia"/>
          <w:color w:val="000000"/>
          <w:sz w:val="24"/>
          <w:szCs w:val="24"/>
        </w:rPr>
        <w:t>；</w:t>
      </w:r>
    </w:p>
    <w:p>
      <w:pPr>
        <w:pStyle w:val="20"/>
        <w:spacing w:line="360" w:lineRule="auto"/>
        <w:ind w:left="480" w:leftChars="200" w:firstLine="0" w:firstLineChars="0"/>
        <w:rPr>
          <w:color w:val="000000"/>
          <w:sz w:val="24"/>
          <w:szCs w:val="24"/>
        </w:rPr>
      </w:pPr>
      <w:r>
        <w:rPr>
          <w:rFonts w:hint="eastAsia"/>
          <w:color w:val="000000"/>
          <w:sz w:val="24"/>
          <w:szCs w:val="24"/>
        </w:rPr>
        <w:t>2.</w:t>
      </w:r>
      <w:r>
        <w:rPr>
          <w:color w:val="000000"/>
          <w:sz w:val="24"/>
          <w:szCs w:val="24"/>
        </w:rPr>
        <w:t>本项目仅接受线下</w:t>
      </w:r>
      <w:r>
        <w:rPr>
          <w:rFonts w:hint="eastAsia"/>
          <w:color w:val="000000"/>
          <w:sz w:val="24"/>
          <w:szCs w:val="24"/>
        </w:rPr>
        <w:t>凭授权委托书或法人身份证明文件现场</w:t>
      </w:r>
      <w:r>
        <w:rPr>
          <w:color w:val="000000"/>
          <w:sz w:val="24"/>
          <w:szCs w:val="24"/>
        </w:rPr>
        <w:t>递交</w:t>
      </w:r>
      <w:r>
        <w:rPr>
          <w:rFonts w:hint="eastAsia"/>
          <w:color w:val="000000"/>
          <w:sz w:val="24"/>
          <w:szCs w:val="24"/>
        </w:rPr>
        <w:t>，不接受邮寄等其他递交方式；</w:t>
      </w:r>
    </w:p>
    <w:p>
      <w:pPr>
        <w:pStyle w:val="20"/>
        <w:spacing w:line="360" w:lineRule="auto"/>
        <w:ind w:left="480" w:leftChars="200" w:firstLine="0" w:firstLineChars="0"/>
        <w:rPr>
          <w:color w:val="000000"/>
          <w:sz w:val="24"/>
          <w:szCs w:val="24"/>
        </w:rPr>
      </w:pPr>
      <w:r>
        <w:rPr>
          <w:rFonts w:hint="eastAsia"/>
          <w:color w:val="000000"/>
          <w:sz w:val="24"/>
          <w:szCs w:val="24"/>
        </w:rPr>
        <w:t>3.递交时须</w:t>
      </w:r>
      <w:r>
        <w:rPr>
          <w:color w:val="000000"/>
          <w:sz w:val="24"/>
          <w:szCs w:val="24"/>
        </w:rPr>
        <w:t>另行单独提交以下证明材料，否则招标人不予接收。</w:t>
      </w:r>
    </w:p>
    <w:p>
      <w:pPr>
        <w:pStyle w:val="20"/>
        <w:spacing w:line="360" w:lineRule="auto"/>
        <w:ind w:left="480" w:leftChars="200" w:firstLine="0" w:firstLineChars="0"/>
        <w:rPr>
          <w:color w:val="000000"/>
          <w:sz w:val="24"/>
          <w:szCs w:val="24"/>
        </w:rPr>
      </w:pPr>
      <w:r>
        <w:rPr>
          <w:color w:val="000000"/>
          <w:sz w:val="24"/>
          <w:szCs w:val="24"/>
        </w:rPr>
        <w:t>（1）法定代表人亲自递交的，应提供法定代表人身份证明和法定代表人的有效身份证件；</w:t>
      </w:r>
    </w:p>
    <w:p>
      <w:pPr>
        <w:pStyle w:val="20"/>
        <w:spacing w:line="360" w:lineRule="auto"/>
        <w:ind w:left="480" w:leftChars="200" w:firstLine="0" w:firstLineChars="0"/>
        <w:rPr>
          <w:color w:val="000000"/>
          <w:sz w:val="24"/>
          <w:szCs w:val="24"/>
        </w:rPr>
      </w:pPr>
      <w:r>
        <w:rPr>
          <w:color w:val="000000"/>
          <w:sz w:val="24"/>
          <w:szCs w:val="24"/>
        </w:rPr>
        <w:t>（2）委托代理人递交的，应提供授权委托书和委托代理人的有效身份证件。</w:t>
      </w:r>
    </w:p>
    <w:p>
      <w:pPr>
        <w:autoSpaceDE w:val="0"/>
        <w:autoSpaceDN w:val="0"/>
        <w:adjustRightInd w:val="0"/>
        <w:spacing w:line="360" w:lineRule="auto"/>
        <w:ind w:firstLine="200"/>
        <w:jc w:val="left"/>
        <w:rPr>
          <w:rFonts w:hAnsi="宋体"/>
          <w:b/>
          <w:bCs/>
          <w:szCs w:val="18"/>
        </w:rPr>
      </w:pPr>
      <w:r>
        <w:rPr>
          <w:rFonts w:hint="eastAsia" w:hAnsi="宋体"/>
          <w:b/>
          <w:bCs/>
          <w:szCs w:val="18"/>
        </w:rPr>
        <w:t>七、联系方法</w:t>
      </w:r>
    </w:p>
    <w:p>
      <w:pPr>
        <w:autoSpaceDE w:val="0"/>
        <w:autoSpaceDN w:val="0"/>
        <w:adjustRightInd w:val="0"/>
        <w:spacing w:line="360" w:lineRule="auto"/>
        <w:ind w:firstLine="200"/>
        <w:jc w:val="left"/>
        <w:rPr>
          <w:rFonts w:hAnsi="宋体"/>
          <w:bCs/>
          <w:szCs w:val="18"/>
        </w:rPr>
      </w:pPr>
      <w:r>
        <w:rPr>
          <w:rFonts w:hint="eastAsia" w:hAnsi="宋体"/>
          <w:bCs/>
          <w:szCs w:val="18"/>
        </w:rPr>
        <w:t>招标人：</w:t>
      </w:r>
      <w:r>
        <w:rPr>
          <w:rFonts w:hint="eastAsia" w:hAnsi="宋体"/>
          <w:bCs/>
          <w:szCs w:val="18"/>
          <w:lang w:eastAsia="zh-CN"/>
        </w:rPr>
        <w:t>合肥庐阳乡村振兴开发管理有限公司</w:t>
      </w:r>
    </w:p>
    <w:p>
      <w:pPr>
        <w:spacing w:line="360" w:lineRule="auto"/>
        <w:ind w:firstLine="240" w:firstLineChars="100"/>
        <w:rPr>
          <w:rFonts w:hAnsi="宋体"/>
          <w:bCs/>
          <w:szCs w:val="18"/>
        </w:rPr>
      </w:pPr>
      <w:r>
        <w:rPr>
          <w:rFonts w:hint="eastAsia" w:hAnsi="宋体"/>
          <w:bCs/>
          <w:szCs w:val="18"/>
        </w:rPr>
        <w:t>地址：合肥市原省政府办公区北楼一楼134办公室招标部</w:t>
      </w:r>
    </w:p>
    <w:p>
      <w:pPr>
        <w:autoSpaceDE w:val="0"/>
        <w:autoSpaceDN w:val="0"/>
        <w:adjustRightInd w:val="0"/>
        <w:spacing w:line="360" w:lineRule="auto"/>
        <w:ind w:firstLine="200"/>
        <w:jc w:val="left"/>
        <w:rPr>
          <w:rFonts w:hAnsi="宋体"/>
          <w:bCs/>
          <w:szCs w:val="18"/>
        </w:rPr>
      </w:pPr>
      <w:r>
        <w:rPr>
          <w:rFonts w:hint="eastAsia" w:hAnsi="宋体"/>
          <w:bCs/>
          <w:szCs w:val="18"/>
        </w:rPr>
        <w:t xml:space="preserve">联系人：刘工 </w:t>
      </w:r>
    </w:p>
    <w:p>
      <w:pPr>
        <w:autoSpaceDE w:val="0"/>
        <w:autoSpaceDN w:val="0"/>
        <w:adjustRightInd w:val="0"/>
        <w:spacing w:line="360" w:lineRule="auto"/>
        <w:ind w:firstLine="200"/>
        <w:jc w:val="left"/>
        <w:rPr>
          <w:rFonts w:hAnsi="宋体"/>
          <w:bCs/>
          <w:szCs w:val="18"/>
        </w:rPr>
      </w:pPr>
      <w:r>
        <w:rPr>
          <w:rFonts w:hint="eastAsia" w:hAnsi="宋体"/>
          <w:bCs/>
          <w:szCs w:val="18"/>
        </w:rPr>
        <w:t>电  话：0551-69115416</w:t>
      </w:r>
    </w:p>
    <w:p>
      <w:pPr>
        <w:autoSpaceDE w:val="0"/>
        <w:autoSpaceDN w:val="0"/>
        <w:adjustRightInd w:val="0"/>
        <w:spacing w:line="360" w:lineRule="auto"/>
        <w:ind w:firstLine="200"/>
        <w:jc w:val="left"/>
        <w:rPr>
          <w:rFonts w:hAnsi="宋体"/>
          <w:b/>
          <w:bCs/>
          <w:szCs w:val="18"/>
        </w:rPr>
      </w:pPr>
      <w:r>
        <w:rPr>
          <w:rFonts w:hint="eastAsia" w:hAnsi="宋体"/>
          <w:b/>
          <w:bCs/>
          <w:szCs w:val="18"/>
        </w:rPr>
        <w:t>八、其他事项说明</w:t>
      </w:r>
    </w:p>
    <w:p>
      <w:pPr>
        <w:autoSpaceDE w:val="0"/>
        <w:autoSpaceDN w:val="0"/>
        <w:adjustRightInd w:val="0"/>
        <w:spacing w:line="360" w:lineRule="auto"/>
        <w:ind w:firstLine="180" w:firstLineChars="75"/>
        <w:jc w:val="left"/>
        <w:rPr>
          <w:rFonts w:hAnsi="宋体"/>
          <w:color w:val="000000"/>
          <w:szCs w:val="24"/>
        </w:rPr>
      </w:pPr>
      <w:r>
        <w:rPr>
          <w:rFonts w:hint="eastAsia" w:hAnsi="宋体"/>
          <w:color w:val="000000"/>
          <w:szCs w:val="24"/>
        </w:rPr>
        <w:t>有任何疑问或问题，请在工作时间（周一至周五，上午8:00-11:30，下午14:30-17:30，节假日休息）与项目联系人联系。</w:t>
      </w:r>
    </w:p>
    <w:p/>
    <w:p>
      <w:pPr>
        <w:pStyle w:val="2"/>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2"/>
      </w:pPr>
      <w:bookmarkStart w:id="3" w:name="_Toc19928"/>
      <w:r>
        <w:rPr>
          <w:rFonts w:hint="eastAsia"/>
        </w:rPr>
        <w:t>第二章  投标人须知</w:t>
      </w:r>
      <w:bookmarkEnd w:id="3"/>
    </w:p>
    <w:p>
      <w:pPr>
        <w:spacing w:before="120" w:after="120" w:line="415" w:lineRule="auto"/>
        <w:jc w:val="center"/>
        <w:rPr>
          <w:rFonts w:ascii="黑体" w:hAnsi="黑体" w:eastAsia="黑体"/>
          <w:b/>
        </w:rPr>
      </w:pPr>
      <w:bookmarkStart w:id="4" w:name="_Toc38879315"/>
      <w:r>
        <w:rPr>
          <w:rFonts w:hint="eastAsia" w:ascii="黑体" w:hAnsi="黑体" w:eastAsia="黑体"/>
          <w:b/>
        </w:rPr>
        <w:t>投标人须知前附表</w:t>
      </w:r>
      <w:bookmarkEnd w:id="4"/>
    </w:p>
    <w:tbl>
      <w:tblPr>
        <w:tblStyle w:val="21"/>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vAlign w:val="center"/>
          </w:tcPr>
          <w:p>
            <w:pPr>
              <w:snapToGrid w:val="0"/>
              <w:jc w:val="center"/>
              <w:rPr>
                <w:b/>
                <w:szCs w:val="24"/>
              </w:rPr>
            </w:pPr>
            <w:r>
              <w:rPr>
                <w:rFonts w:hint="eastAsia"/>
                <w:b/>
                <w:szCs w:val="24"/>
              </w:rPr>
              <w:t>序号</w:t>
            </w:r>
          </w:p>
        </w:tc>
        <w:tc>
          <w:tcPr>
            <w:tcW w:w="2471" w:type="dxa"/>
            <w:vAlign w:val="center"/>
          </w:tcPr>
          <w:p>
            <w:pPr>
              <w:snapToGrid w:val="0"/>
              <w:jc w:val="center"/>
              <w:rPr>
                <w:b/>
                <w:szCs w:val="24"/>
              </w:rPr>
            </w:pPr>
            <w:r>
              <w:rPr>
                <w:rFonts w:hint="eastAsia"/>
                <w:b/>
                <w:szCs w:val="24"/>
              </w:rPr>
              <w:t>条 款 名 称</w:t>
            </w:r>
          </w:p>
        </w:tc>
        <w:tc>
          <w:tcPr>
            <w:tcW w:w="6051" w:type="dxa"/>
            <w:vAlign w:val="center"/>
          </w:tcPr>
          <w:p>
            <w:pPr>
              <w:snapToGrid w:val="0"/>
              <w:jc w:val="center"/>
              <w:rPr>
                <w:b/>
                <w:szCs w:val="24"/>
              </w:rPr>
            </w:pPr>
            <w:r>
              <w:rPr>
                <w:rFonts w:hint="eastAsia"/>
                <w:b/>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1</w:t>
            </w:r>
          </w:p>
        </w:tc>
        <w:tc>
          <w:tcPr>
            <w:tcW w:w="2471" w:type="dxa"/>
            <w:vAlign w:val="center"/>
          </w:tcPr>
          <w:p>
            <w:pPr>
              <w:snapToGrid w:val="0"/>
              <w:rPr>
                <w:szCs w:val="24"/>
              </w:rPr>
            </w:pPr>
            <w:r>
              <w:rPr>
                <w:rFonts w:hint="eastAsia"/>
                <w:szCs w:val="24"/>
              </w:rPr>
              <w:t>招标人</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2</w:t>
            </w:r>
          </w:p>
        </w:tc>
        <w:tc>
          <w:tcPr>
            <w:tcW w:w="2471" w:type="dxa"/>
            <w:vAlign w:val="center"/>
          </w:tcPr>
          <w:p>
            <w:pPr>
              <w:snapToGrid w:val="0"/>
              <w:rPr>
                <w:szCs w:val="24"/>
              </w:rPr>
            </w:pPr>
            <w:r>
              <w:rPr>
                <w:rFonts w:hint="eastAsia"/>
                <w:szCs w:val="24"/>
              </w:rPr>
              <w:t>招标代理机构</w:t>
            </w:r>
          </w:p>
        </w:tc>
        <w:tc>
          <w:tcPr>
            <w:tcW w:w="6051" w:type="dxa"/>
            <w:vAlign w:val="center"/>
          </w:tcPr>
          <w:p>
            <w:pPr>
              <w:snapToGrid w:val="0"/>
              <w:jc w:val="left"/>
              <w:rPr>
                <w:szCs w:val="24"/>
              </w:rPr>
            </w:pPr>
            <w:r>
              <w:rPr>
                <w:rFonts w:hint="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3</w:t>
            </w:r>
          </w:p>
        </w:tc>
        <w:tc>
          <w:tcPr>
            <w:tcW w:w="2471" w:type="dxa"/>
            <w:vAlign w:val="center"/>
          </w:tcPr>
          <w:p>
            <w:pPr>
              <w:snapToGrid w:val="0"/>
              <w:rPr>
                <w:szCs w:val="24"/>
              </w:rPr>
            </w:pPr>
            <w:r>
              <w:rPr>
                <w:rFonts w:hint="eastAsia"/>
                <w:szCs w:val="24"/>
              </w:rPr>
              <w:t>招标项目名称</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4</w:t>
            </w:r>
          </w:p>
        </w:tc>
        <w:tc>
          <w:tcPr>
            <w:tcW w:w="2471" w:type="dxa"/>
            <w:vAlign w:val="center"/>
          </w:tcPr>
          <w:p>
            <w:pPr>
              <w:snapToGrid w:val="0"/>
              <w:rPr>
                <w:szCs w:val="24"/>
              </w:rPr>
            </w:pPr>
            <w:r>
              <w:rPr>
                <w:rFonts w:hint="eastAsia"/>
                <w:szCs w:val="24"/>
              </w:rPr>
              <w:t>项目地点</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5</w:t>
            </w:r>
          </w:p>
        </w:tc>
        <w:tc>
          <w:tcPr>
            <w:tcW w:w="2471" w:type="dxa"/>
            <w:vAlign w:val="center"/>
          </w:tcPr>
          <w:p>
            <w:pPr>
              <w:snapToGrid w:val="0"/>
              <w:rPr>
                <w:szCs w:val="24"/>
              </w:rPr>
            </w:pPr>
            <w:r>
              <w:rPr>
                <w:rFonts w:hint="eastAsia"/>
                <w:szCs w:val="24"/>
              </w:rPr>
              <w:t>资金落实情况</w:t>
            </w:r>
          </w:p>
        </w:tc>
        <w:tc>
          <w:tcPr>
            <w:tcW w:w="6051" w:type="dxa"/>
            <w:vAlign w:val="center"/>
          </w:tcPr>
          <w:p>
            <w:pPr>
              <w:snapToGrid w:val="0"/>
              <w:rPr>
                <w:szCs w:val="24"/>
              </w:rPr>
            </w:pPr>
            <w:r>
              <w:rPr>
                <w:rFonts w:hAnsi="宋体" w:cs="宋体"/>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6</w:t>
            </w:r>
          </w:p>
        </w:tc>
        <w:tc>
          <w:tcPr>
            <w:tcW w:w="2471" w:type="dxa"/>
            <w:vAlign w:val="center"/>
          </w:tcPr>
          <w:p>
            <w:pPr>
              <w:snapToGrid w:val="0"/>
              <w:rPr>
                <w:szCs w:val="24"/>
              </w:rPr>
            </w:pPr>
            <w:r>
              <w:rPr>
                <w:rFonts w:hint="eastAsia"/>
                <w:szCs w:val="24"/>
              </w:rPr>
              <w:t>招标范围</w:t>
            </w:r>
          </w:p>
        </w:tc>
        <w:tc>
          <w:tcPr>
            <w:tcW w:w="6051" w:type="dxa"/>
            <w:vAlign w:val="center"/>
          </w:tcPr>
          <w:p>
            <w:pPr>
              <w:snapToGrid w:val="0"/>
              <w:rPr>
                <w:szCs w:val="24"/>
              </w:rPr>
            </w:pPr>
            <w:r>
              <w:rPr>
                <w:rFonts w:hint="eastAsia" w:hAnsi="宋体" w:cs="宋体"/>
                <w:szCs w:val="24"/>
              </w:rPr>
              <w:t>磋商文件、补疑（如有）</w:t>
            </w:r>
            <w:r>
              <w:rPr>
                <w:rFonts w:hAnsi="宋体" w:cs="宋体"/>
                <w:szCs w:val="24"/>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7</w:t>
            </w:r>
          </w:p>
        </w:tc>
        <w:tc>
          <w:tcPr>
            <w:tcW w:w="2471" w:type="dxa"/>
            <w:vAlign w:val="center"/>
          </w:tcPr>
          <w:p>
            <w:pPr>
              <w:snapToGrid w:val="0"/>
              <w:rPr>
                <w:szCs w:val="24"/>
              </w:rPr>
            </w:pPr>
            <w:r>
              <w:rPr>
                <w:rFonts w:hint="eastAsia"/>
                <w:szCs w:val="24"/>
              </w:rPr>
              <w:t>是否接受联合体投标</w:t>
            </w:r>
          </w:p>
        </w:tc>
        <w:tc>
          <w:tcPr>
            <w:tcW w:w="6051" w:type="dxa"/>
            <w:vAlign w:val="center"/>
          </w:tcPr>
          <w:p>
            <w:pPr>
              <w:snapToGrid w:val="0"/>
              <w:rPr>
                <w:color w:val="FF0000"/>
                <w:szCs w:val="24"/>
              </w:rPr>
            </w:pPr>
            <w:r>
              <w:rPr>
                <w:rFonts w:hint="eastAsia"/>
                <w:szCs w:val="24"/>
              </w:rPr>
              <w:sym w:font="Wingdings 2" w:char="0052"/>
            </w:r>
            <w:r>
              <w:rPr>
                <w:rFonts w:hint="eastAsia"/>
                <w:szCs w:val="24"/>
              </w:rPr>
              <w:t xml:space="preserve">不接受    </w:t>
            </w:r>
            <w:r>
              <w:rPr>
                <w:rFonts w:hint="eastAsia"/>
                <w:szCs w:val="24"/>
              </w:rPr>
              <w:sym w:font="Wingdings 2" w:char="00A3"/>
            </w:r>
            <w:r>
              <w:rPr>
                <w:rFonts w:hint="eastAsia"/>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37" w:type="dxa"/>
            <w:vAlign w:val="center"/>
          </w:tcPr>
          <w:p>
            <w:pPr>
              <w:snapToGrid w:val="0"/>
              <w:jc w:val="center"/>
              <w:rPr>
                <w:rFonts w:hint="eastAsia" w:ascii="宋体" w:hAnsi="Times New Roman" w:eastAsia="宋体" w:cs="Times New Roman"/>
                <w:sz w:val="24"/>
                <w:szCs w:val="24"/>
                <w:lang w:val="en-US" w:eastAsia="zh-CN" w:bidi="ar-SA"/>
              </w:rPr>
            </w:pPr>
            <w:r>
              <w:rPr>
                <w:rFonts w:hint="eastAsia"/>
                <w:szCs w:val="24"/>
              </w:rPr>
              <w:t>8</w:t>
            </w:r>
          </w:p>
        </w:tc>
        <w:tc>
          <w:tcPr>
            <w:tcW w:w="2471" w:type="dxa"/>
            <w:vAlign w:val="center"/>
          </w:tcPr>
          <w:p>
            <w:pPr>
              <w:snapToGrid w:val="0"/>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服务期限</w:t>
            </w:r>
          </w:p>
        </w:tc>
        <w:tc>
          <w:tcPr>
            <w:tcW w:w="6051" w:type="dxa"/>
            <w:vAlign w:val="center"/>
          </w:tcPr>
          <w:p>
            <w:pPr>
              <w:snapToGrid w:val="0"/>
              <w:rPr>
                <w:rFonts w:hint="default" w:eastAsia="宋体"/>
                <w:lang w:val="en-US" w:eastAsia="zh-CN"/>
              </w:rPr>
            </w:pPr>
            <w:r>
              <w:rPr>
                <w:rFonts w:hint="eastAsia"/>
                <w:lang w:val="en-US" w:eastAsia="zh-CN"/>
              </w:rPr>
              <w:t>90</w:t>
            </w:r>
            <w:r>
              <w:rPr>
                <w:rFonts w:hint="default" w:eastAsia="宋体"/>
                <w:lang w:val="en-US" w:eastAsia="zh-CN"/>
              </w:rPr>
              <w:t>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9</w:t>
            </w:r>
          </w:p>
        </w:tc>
        <w:tc>
          <w:tcPr>
            <w:tcW w:w="2471" w:type="dxa"/>
            <w:vAlign w:val="center"/>
          </w:tcPr>
          <w:p>
            <w:pPr>
              <w:snapToGrid w:val="0"/>
              <w:rPr>
                <w:szCs w:val="24"/>
              </w:rPr>
            </w:pPr>
            <w:r>
              <w:rPr>
                <w:rFonts w:hint="eastAsia"/>
                <w:szCs w:val="24"/>
              </w:rPr>
              <w:t>踏勘现场</w:t>
            </w:r>
          </w:p>
        </w:tc>
        <w:tc>
          <w:tcPr>
            <w:tcW w:w="6051" w:type="dxa"/>
            <w:vAlign w:val="center"/>
          </w:tcPr>
          <w:p>
            <w:pPr>
              <w:snapToGrid w:val="0"/>
              <w:rPr>
                <w:rFonts w:hint="eastAsia"/>
                <w:szCs w:val="24"/>
              </w:rPr>
            </w:pPr>
            <w:r>
              <w:rPr>
                <w:rFonts w:hint="eastAsia"/>
                <w:szCs w:val="24"/>
              </w:rPr>
              <w:sym w:font="Wingdings 2" w:char="0052"/>
            </w:r>
            <w:r>
              <w:rPr>
                <w:rFonts w:hint="eastAsia"/>
                <w:szCs w:val="24"/>
              </w:rPr>
              <w:t>不组织，投标人自行踏勘</w:t>
            </w:r>
          </w:p>
          <w:p>
            <w:pPr>
              <w:pStyle w:val="20"/>
              <w:ind w:left="0" w:leftChars="0" w:firstLine="0" w:firstLineChars="0"/>
              <w:rPr>
                <w:rFonts w:hint="default"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项目现场负责人：</w:t>
            </w:r>
            <w:r>
              <w:rPr>
                <w:rFonts w:hint="eastAsia" w:hAnsi="Times New Roman" w:cs="Times New Roman"/>
                <w:sz w:val="24"/>
                <w:szCs w:val="24"/>
                <w:lang w:val="en-US" w:eastAsia="zh-CN" w:bidi="ar-SA"/>
              </w:rPr>
              <w:t xml:space="preserve">来工 </w:t>
            </w:r>
            <w:r>
              <w:rPr>
                <w:rFonts w:hint="eastAsia" w:ascii="宋体" w:hAnsi="Times New Roman" w:eastAsia="宋体" w:cs="Times New Roman"/>
                <w:sz w:val="24"/>
                <w:szCs w:val="24"/>
                <w:lang w:val="en-US" w:eastAsia="zh-CN" w:bidi="ar-SA"/>
              </w:rPr>
              <w:t>联系方式：15655229261</w:t>
            </w:r>
          </w:p>
          <w:p>
            <w:pPr>
              <w:snapToGrid w:val="0"/>
              <w:rPr>
                <w:szCs w:val="24"/>
              </w:rPr>
            </w:pPr>
            <w:r>
              <w:rPr>
                <w:rFonts w:hint="eastAsia"/>
                <w:szCs w:val="24"/>
              </w:rPr>
              <w:t>□组织，踏勘时间：</w:t>
            </w:r>
          </w:p>
          <w:p>
            <w:pPr>
              <w:snapToGrid w:val="0"/>
              <w:rPr>
                <w:szCs w:val="24"/>
              </w:rPr>
            </w:pPr>
            <w:r>
              <w:rPr>
                <w:rFonts w:hint="eastAsia"/>
                <w:szCs w:val="24"/>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napToGrid w:val="0"/>
                <w:sz w:val="24"/>
                <w:szCs w:val="24"/>
                <w:lang w:val="en-US" w:eastAsia="zh-CN" w:bidi="ar-SA"/>
              </w:rPr>
            </w:pPr>
            <w:r>
              <w:rPr>
                <w:rFonts w:hint="eastAsia"/>
                <w:szCs w:val="24"/>
              </w:rPr>
              <w:t>10</w:t>
            </w:r>
          </w:p>
        </w:tc>
        <w:tc>
          <w:tcPr>
            <w:tcW w:w="2471" w:type="dxa"/>
            <w:vAlign w:val="center"/>
          </w:tcPr>
          <w:p>
            <w:pPr>
              <w:snapToGrid w:val="0"/>
              <w:rPr>
                <w:szCs w:val="24"/>
              </w:rPr>
            </w:pPr>
            <w:r>
              <w:rPr>
                <w:rFonts w:hint="eastAsia"/>
                <w:szCs w:val="24"/>
              </w:rPr>
              <w:t>分包</w:t>
            </w:r>
          </w:p>
        </w:tc>
        <w:tc>
          <w:tcPr>
            <w:tcW w:w="6051" w:type="dxa"/>
            <w:vAlign w:val="center"/>
          </w:tcPr>
          <w:p>
            <w:pPr>
              <w:snapToGrid w:val="0"/>
              <w:rPr>
                <w:szCs w:val="24"/>
              </w:rPr>
            </w:pPr>
            <w:r>
              <w:rPr>
                <w:rFonts w:hint="eastAsia" w:ascii="MS Mincho" w:hAnsi="MS Mincho" w:eastAsia="MS Mincho" w:cs="MS Mincho"/>
                <w:szCs w:val="24"/>
              </w:rPr>
              <w:t>☑</w:t>
            </w: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11</w:t>
            </w:r>
          </w:p>
        </w:tc>
        <w:tc>
          <w:tcPr>
            <w:tcW w:w="2471" w:type="dxa"/>
            <w:vAlign w:val="center"/>
          </w:tcPr>
          <w:p>
            <w:pPr>
              <w:kinsoku w:val="0"/>
              <w:overflowPunct w:val="0"/>
              <w:autoSpaceDE w:val="0"/>
              <w:autoSpaceDN w:val="0"/>
              <w:adjustRightInd w:val="0"/>
              <w:snapToGrid w:val="0"/>
              <w:ind w:left="120" w:leftChars="50" w:right="120" w:rightChars="50"/>
              <w:jc w:val="center"/>
              <w:rPr>
                <w:snapToGrid w:val="0"/>
                <w:szCs w:val="24"/>
              </w:rPr>
            </w:pPr>
            <w:r>
              <w:rPr>
                <w:rFonts w:hint="eastAsia"/>
                <w:snapToGrid w:val="0"/>
                <w:szCs w:val="24"/>
              </w:rPr>
              <w:t>磋商文件</w:t>
            </w:r>
            <w:r>
              <w:rPr>
                <w:snapToGrid w:val="0"/>
                <w:szCs w:val="24"/>
              </w:rPr>
              <w:t>修改发出的形式</w:t>
            </w:r>
          </w:p>
        </w:tc>
        <w:tc>
          <w:tcPr>
            <w:tcW w:w="6051" w:type="dxa"/>
            <w:vAlign w:val="center"/>
          </w:tcPr>
          <w:p>
            <w:pPr>
              <w:autoSpaceDE w:val="0"/>
              <w:autoSpaceDN w:val="0"/>
              <w:adjustRightInd w:val="0"/>
              <w:snapToGrid w:val="0"/>
              <w:ind w:right="120" w:rightChars="50"/>
              <w:jc w:val="left"/>
              <w:rPr>
                <w:snapToGrid w:val="0"/>
                <w:szCs w:val="24"/>
              </w:rPr>
            </w:pPr>
            <w:r>
              <w:rPr>
                <w:rFonts w:hint="eastAsia"/>
                <w:bCs/>
                <w:snapToGrid w:val="0"/>
                <w:szCs w:val="24"/>
              </w:rPr>
              <w:t>通过招标人官网</w:t>
            </w:r>
            <w:r>
              <w:rPr>
                <w:rFonts w:hint="eastAsia"/>
                <w:snapToGrid w:val="0"/>
                <w:szCs w:val="24"/>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vAlign w:val="center"/>
          </w:tcPr>
          <w:p>
            <w:pPr>
              <w:snapToGrid w:val="0"/>
              <w:jc w:val="center"/>
              <w:rPr>
                <w:szCs w:val="24"/>
              </w:rPr>
            </w:pPr>
            <w:r>
              <w:rPr>
                <w:rFonts w:hint="eastAsia"/>
                <w:szCs w:val="24"/>
              </w:rPr>
              <w:t>12</w:t>
            </w:r>
          </w:p>
        </w:tc>
        <w:tc>
          <w:tcPr>
            <w:tcW w:w="2471" w:type="dxa"/>
            <w:vMerge w:val="restart"/>
            <w:vAlign w:val="center"/>
          </w:tcPr>
          <w:p>
            <w:pPr>
              <w:snapToGrid w:val="0"/>
              <w:jc w:val="center"/>
            </w:pPr>
            <w:r>
              <w:rPr>
                <w:rFonts w:hint="eastAsia"/>
              </w:rPr>
              <w:t>磋商文件的</w:t>
            </w:r>
          </w:p>
          <w:p>
            <w:pPr>
              <w:snapToGrid w:val="0"/>
              <w:jc w:val="center"/>
              <w:rPr>
                <w:szCs w:val="24"/>
              </w:rPr>
            </w:pPr>
            <w:r>
              <w:rPr>
                <w:rFonts w:hint="eastAsia"/>
              </w:rPr>
              <w:t>异议</w:t>
            </w:r>
          </w:p>
        </w:tc>
        <w:tc>
          <w:tcPr>
            <w:tcW w:w="6051" w:type="dxa"/>
            <w:vAlign w:val="center"/>
          </w:tcPr>
          <w:p>
            <w:pPr>
              <w:snapToGrid w:val="0"/>
              <w:rPr>
                <w:rFonts w:hAnsi="宋体"/>
                <w:kern w:val="2"/>
                <w:szCs w:val="24"/>
              </w:rPr>
            </w:pPr>
            <w:r>
              <w:rPr>
                <w:rFonts w:hint="eastAsia" w:hAnsi="宋体"/>
              </w:rPr>
              <w:t>时间：</w:t>
            </w:r>
            <w:r>
              <w:rPr>
                <w:rFonts w:hint="eastAsia"/>
                <w:color w:val="auto"/>
              </w:rPr>
              <w:t>202</w:t>
            </w:r>
            <w:r>
              <w:rPr>
                <w:rFonts w:hint="eastAsia"/>
                <w:color w:val="auto"/>
                <w:lang w:val="en-US" w:eastAsia="zh-CN"/>
              </w:rPr>
              <w:t>4</w:t>
            </w:r>
            <w:r>
              <w:rPr>
                <w:rFonts w:hint="eastAsia"/>
                <w:color w:val="auto"/>
              </w:rPr>
              <w:t>年</w:t>
            </w:r>
            <w:r>
              <w:rPr>
                <w:rFonts w:hint="eastAsia"/>
                <w:color w:val="auto"/>
                <w:lang w:val="en-US" w:eastAsia="zh-CN"/>
              </w:rPr>
              <w:t>9</w:t>
            </w:r>
            <w:r>
              <w:rPr>
                <w:rFonts w:hint="eastAsia"/>
                <w:color w:val="auto"/>
              </w:rPr>
              <w:t>月</w:t>
            </w:r>
            <w:r>
              <w:rPr>
                <w:rFonts w:hint="eastAsia"/>
                <w:color w:val="auto"/>
                <w:lang w:val="en-US" w:eastAsia="zh-CN"/>
              </w:rPr>
              <w:t>4</w:t>
            </w:r>
            <w:r>
              <w:rPr>
                <w:rFonts w:hint="eastAsia"/>
                <w:color w:val="auto"/>
              </w:rPr>
              <w:t>日17时30分前</w:t>
            </w:r>
            <w:r>
              <w:rPr>
                <w:rFonts w:hint="eastAsia"/>
                <w:bCs/>
                <w:snapToGrid w:val="0"/>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vAlign w:val="center"/>
          </w:tcPr>
          <w:p>
            <w:pPr>
              <w:snapToGrid w:val="0"/>
              <w:jc w:val="center"/>
              <w:rPr>
                <w:rFonts w:ascii="宋体" w:hAnsi="Times New Roman" w:eastAsia="宋体" w:cs="Times New Roman"/>
                <w:sz w:val="24"/>
                <w:szCs w:val="24"/>
                <w:lang w:val="en-US" w:eastAsia="zh-CN" w:bidi="ar-SA"/>
              </w:rPr>
            </w:pPr>
          </w:p>
        </w:tc>
        <w:tc>
          <w:tcPr>
            <w:tcW w:w="2471" w:type="dxa"/>
            <w:vMerge w:val="continue"/>
            <w:vAlign w:val="center"/>
          </w:tcPr>
          <w:p>
            <w:pPr>
              <w:snapToGrid w:val="0"/>
              <w:rPr>
                <w:szCs w:val="24"/>
              </w:rPr>
            </w:pPr>
          </w:p>
        </w:tc>
        <w:tc>
          <w:tcPr>
            <w:tcW w:w="6051" w:type="dxa"/>
            <w:vAlign w:val="center"/>
          </w:tcPr>
          <w:p>
            <w:pPr>
              <w:snapToGrid w:val="0"/>
              <w:rPr>
                <w:kern w:val="2"/>
                <w:szCs w:val="24"/>
              </w:rPr>
            </w:pPr>
            <w:r>
              <w:rPr>
                <w:rFonts w:hint="eastAsia"/>
                <w:bCs/>
                <w:snapToGrid w:val="0"/>
              </w:rPr>
              <w:t>形式：纸质提交。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13</w:t>
            </w:r>
          </w:p>
        </w:tc>
        <w:tc>
          <w:tcPr>
            <w:tcW w:w="2471" w:type="dxa"/>
            <w:vAlign w:val="center"/>
          </w:tcPr>
          <w:p>
            <w:pPr>
              <w:snapToGrid w:val="0"/>
              <w:rPr>
                <w:szCs w:val="24"/>
              </w:rPr>
            </w:pPr>
            <w:r>
              <w:rPr>
                <w:rFonts w:hint="eastAsia" w:hAnsi="宋体"/>
                <w:szCs w:val="24"/>
              </w:rPr>
              <w:t>增值税税金相关要求</w:t>
            </w:r>
          </w:p>
        </w:tc>
        <w:tc>
          <w:tcPr>
            <w:tcW w:w="6051" w:type="dxa"/>
            <w:vAlign w:val="center"/>
          </w:tcPr>
          <w:p>
            <w:pPr>
              <w:snapToGrid w:val="0"/>
              <w:rPr>
                <w:bCs/>
                <w:snapToGrid w:val="0"/>
                <w:szCs w:val="24"/>
              </w:rPr>
            </w:pPr>
            <w:r>
              <w:rPr>
                <w:rFonts w:hint="eastAsia"/>
                <w:bCs/>
                <w:snapToGrid w:val="0"/>
                <w:szCs w:val="24"/>
              </w:rPr>
              <w:t>（1）计税方法：</w:t>
            </w:r>
          </w:p>
          <w:p>
            <w:pPr>
              <w:snapToGrid w:val="0"/>
              <w:rPr>
                <w:bCs/>
                <w:snapToGrid w:val="0"/>
                <w:szCs w:val="24"/>
              </w:rPr>
            </w:pPr>
            <w:r>
              <w:rPr>
                <w:rFonts w:hint="eastAsia" w:ascii="MS Mincho" w:hAnsi="MS Mincho" w:eastAsia="MS Mincho" w:cs="MS Mincho"/>
                <w:bCs/>
                <w:snapToGrid w:val="0"/>
                <w:szCs w:val="24"/>
              </w:rPr>
              <w:sym w:font="Wingdings 2" w:char="0052"/>
            </w:r>
            <w:r>
              <w:rPr>
                <w:rFonts w:hint="eastAsia"/>
                <w:bCs/>
                <w:snapToGrid w:val="0"/>
                <w:szCs w:val="24"/>
              </w:rPr>
              <w:t>一般计税方法</w:t>
            </w:r>
          </w:p>
          <w:p>
            <w:pPr>
              <w:snapToGrid w:val="0"/>
              <w:rPr>
                <w:bCs/>
                <w:snapToGrid w:val="0"/>
                <w:szCs w:val="24"/>
              </w:rPr>
            </w:pPr>
            <w:r>
              <w:rPr>
                <w:rFonts w:hint="eastAsia"/>
                <w:bCs/>
                <w:snapToGrid w:val="0"/>
                <w:szCs w:val="24"/>
              </w:rPr>
              <w:t xml:space="preserve">□简易计算方法 </w:t>
            </w:r>
          </w:p>
          <w:p>
            <w:pPr>
              <w:snapToGrid w:val="0"/>
              <w:rPr>
                <w:bCs/>
                <w:snapToGrid w:val="0"/>
                <w:szCs w:val="24"/>
              </w:rPr>
            </w:pPr>
            <w:r>
              <w:rPr>
                <w:rFonts w:hint="eastAsia"/>
                <w:bCs/>
                <w:snapToGrid w:val="0"/>
                <w:szCs w:val="24"/>
              </w:rPr>
              <w:t>（2）发票类型：</w:t>
            </w:r>
          </w:p>
          <w:p>
            <w:pPr>
              <w:snapToGrid w:val="0"/>
              <w:rPr>
                <w:bCs/>
                <w:snapToGrid w:val="0"/>
                <w:szCs w:val="24"/>
              </w:rPr>
            </w:pPr>
            <w:r>
              <w:rPr>
                <w:rFonts w:hint="eastAsia"/>
                <w:bCs/>
                <w:snapToGrid w:val="0"/>
                <w:szCs w:val="24"/>
              </w:rPr>
              <w:sym w:font="Wingdings 2" w:char="0052"/>
            </w:r>
            <w:r>
              <w:rPr>
                <w:rFonts w:hint="eastAsia"/>
                <w:bCs/>
                <w:snapToGrid w:val="0"/>
                <w:szCs w:val="24"/>
              </w:rPr>
              <w:t>增值税专用发票</w:t>
            </w:r>
          </w:p>
          <w:p>
            <w:pPr>
              <w:snapToGrid w:val="0"/>
              <w:rPr>
                <w:bCs/>
                <w:snapToGrid w:val="0"/>
                <w:szCs w:val="24"/>
              </w:rPr>
            </w:pPr>
            <w:r>
              <w:rPr>
                <w:rFonts w:hint="eastAsia" w:ascii="MS Mincho" w:hAnsi="MS Mincho" w:eastAsia="MS Mincho" w:cs="MS Mincho"/>
                <w:bCs/>
                <w:snapToGrid w:val="0"/>
                <w:szCs w:val="24"/>
              </w:rPr>
              <w:sym w:font="Wingdings 2" w:char="00A3"/>
            </w:r>
            <w:r>
              <w:rPr>
                <w:rFonts w:hint="eastAsia" w:ascii="MS Mincho" w:hAnsi="MS Mincho" w:eastAsia="MS Mincho" w:cs="MS Mincho"/>
                <w:bCs/>
                <w:snapToGrid w:val="0"/>
                <w:szCs w:val="24"/>
              </w:rPr>
              <w:t xml:space="preserve"> </w:t>
            </w:r>
            <w:r>
              <w:rPr>
                <w:rFonts w:hint="eastAsia"/>
                <w:bCs/>
                <w:snapToGrid w:val="0"/>
                <w:szCs w:val="24"/>
              </w:rPr>
              <w:t>增值税普通发票</w:t>
            </w:r>
          </w:p>
          <w:p>
            <w:pPr>
              <w:snapToGrid w:val="0"/>
              <w:rPr>
                <w:bCs/>
                <w:snapToGrid w:val="0"/>
                <w:szCs w:val="24"/>
              </w:rPr>
            </w:pPr>
            <w:r>
              <w:rPr>
                <w:rFonts w:hint="eastAsia"/>
                <w:bCs/>
                <w:snapToGrid w:val="0"/>
                <w:szCs w:val="24"/>
              </w:rPr>
              <w:t>（3）增值税税率按照国家有关规定执行。</w:t>
            </w:r>
          </w:p>
          <w:p>
            <w:pPr>
              <w:snapToGrid w:val="0"/>
              <w:rPr>
                <w:bCs/>
                <w:snapToGrid w:val="0"/>
                <w:szCs w:val="24"/>
              </w:rPr>
            </w:pPr>
            <w:r>
              <w:rPr>
                <w:rFonts w:hint="eastAsia"/>
                <w:bCs/>
                <w:snapToGrid w:val="0"/>
                <w:szCs w:val="24"/>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37" w:type="dxa"/>
            <w:vAlign w:val="center"/>
          </w:tcPr>
          <w:p>
            <w:pPr>
              <w:snapToGrid w:val="0"/>
              <w:ind w:left="120" w:leftChars="50" w:right="120" w:rightChars="50"/>
              <w:jc w:val="center"/>
              <w:rPr>
                <w:rFonts w:ascii="宋体" w:hAnsi="Times New Roman" w:eastAsia="宋体" w:cs="Times New Roman"/>
                <w:sz w:val="24"/>
                <w:szCs w:val="24"/>
                <w:lang w:val="en-US" w:eastAsia="zh-CN" w:bidi="ar-SA"/>
              </w:rPr>
            </w:pPr>
            <w:r>
              <w:rPr>
                <w:rFonts w:hint="eastAsia"/>
                <w:snapToGrid w:val="0"/>
                <w:szCs w:val="24"/>
              </w:rPr>
              <w:t>14</w:t>
            </w:r>
          </w:p>
        </w:tc>
        <w:tc>
          <w:tcPr>
            <w:tcW w:w="2471" w:type="dxa"/>
            <w:vAlign w:val="center"/>
          </w:tcPr>
          <w:p>
            <w:pPr>
              <w:snapToGrid w:val="0"/>
              <w:rPr>
                <w:szCs w:val="24"/>
              </w:rPr>
            </w:pPr>
            <w:r>
              <w:rPr>
                <w:rFonts w:hint="eastAsia"/>
                <w:szCs w:val="24"/>
              </w:rPr>
              <w:t>最高投标限价（招标控制价）</w:t>
            </w:r>
          </w:p>
        </w:tc>
        <w:tc>
          <w:tcPr>
            <w:tcW w:w="6051" w:type="dxa"/>
            <w:vAlign w:val="center"/>
          </w:tcPr>
          <w:p>
            <w:pPr>
              <w:snapToGrid w:val="0"/>
              <w:rPr>
                <w:bCs/>
                <w:snapToGrid w:val="0"/>
                <w:color w:val="FF0000"/>
                <w:szCs w:val="24"/>
              </w:rPr>
            </w:pPr>
            <w:r>
              <w:rPr>
                <w:rFonts w:hint="eastAsia"/>
                <w:bCs/>
                <w:snapToGrid w:val="0"/>
                <w:color w:val="auto"/>
                <w:szCs w:val="24"/>
              </w:rPr>
              <w:sym w:font="Wingdings 2" w:char="0052"/>
            </w:r>
            <w:r>
              <w:rPr>
                <w:rFonts w:hint="eastAsia"/>
                <w:bCs/>
                <w:snapToGrid w:val="0"/>
                <w:color w:val="auto"/>
                <w:szCs w:val="24"/>
              </w:rPr>
              <w:t>有，总价最高投标限价</w:t>
            </w:r>
            <w:r>
              <w:rPr>
                <w:rFonts w:hint="eastAsia" w:hAnsi="宋体"/>
                <w:szCs w:val="24"/>
                <w:lang w:val="en-US" w:eastAsia="zh-CN"/>
              </w:rPr>
              <w:t>18.2</w:t>
            </w:r>
            <w:r>
              <w:rPr>
                <w:rFonts w:hint="eastAsia"/>
                <w:bCs/>
                <w:snapToGrid w:val="0"/>
                <w:color w:val="auto"/>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pPr>
          </w:p>
          <w:p>
            <w:pPr>
              <w:snapToGrid w:val="0"/>
              <w:jc w:val="center"/>
              <w:rPr>
                <w:rFonts w:ascii="宋体" w:hAnsi="Times New Roman" w:eastAsia="宋体" w:cs="Times New Roman"/>
                <w:sz w:val="24"/>
                <w:szCs w:val="24"/>
                <w:lang w:val="en-US" w:eastAsia="zh-CN" w:bidi="ar-SA"/>
              </w:rPr>
            </w:pPr>
            <w:r>
              <w:rPr>
                <w:rFonts w:hint="eastAsia"/>
              </w:rPr>
              <w:t>15</w:t>
            </w:r>
          </w:p>
        </w:tc>
        <w:tc>
          <w:tcPr>
            <w:tcW w:w="2471" w:type="dxa"/>
            <w:vAlign w:val="center"/>
          </w:tcPr>
          <w:p>
            <w:pPr>
              <w:snapToGrid w:val="0"/>
              <w:rPr>
                <w:szCs w:val="24"/>
              </w:rPr>
            </w:pPr>
            <w:r>
              <w:rPr>
                <w:rFonts w:hint="eastAsia"/>
                <w:szCs w:val="24"/>
              </w:rPr>
              <w:t>投标报价的其他要求</w:t>
            </w:r>
          </w:p>
        </w:tc>
        <w:tc>
          <w:tcPr>
            <w:tcW w:w="6051" w:type="dxa"/>
            <w:vAlign w:val="center"/>
          </w:tcPr>
          <w:p>
            <w:pPr>
              <w:snapToGrid w:val="0"/>
              <w:rPr>
                <w:bCs/>
                <w:snapToGrid w:val="0"/>
                <w:szCs w:val="24"/>
              </w:rPr>
            </w:pPr>
            <w:r>
              <w:rPr>
                <w:rFonts w:hint="eastAsia"/>
                <w:bCs/>
                <w:snapToGrid w:val="0"/>
                <w:szCs w:val="24"/>
                <w:highlight w:val="none"/>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16</w:t>
            </w:r>
          </w:p>
        </w:tc>
        <w:tc>
          <w:tcPr>
            <w:tcW w:w="2471" w:type="dxa"/>
            <w:vAlign w:val="center"/>
          </w:tcPr>
          <w:p>
            <w:pPr>
              <w:snapToGrid w:val="0"/>
              <w:rPr>
                <w:szCs w:val="24"/>
              </w:rPr>
            </w:pPr>
            <w:r>
              <w:rPr>
                <w:rFonts w:hint="eastAsia"/>
                <w:szCs w:val="24"/>
              </w:rPr>
              <w:t>投标有效期</w:t>
            </w:r>
          </w:p>
        </w:tc>
        <w:tc>
          <w:tcPr>
            <w:tcW w:w="6051" w:type="dxa"/>
            <w:vAlign w:val="center"/>
          </w:tcPr>
          <w:p>
            <w:pPr>
              <w:snapToGrid w:val="0"/>
              <w:rPr>
                <w:snapToGrid w:val="0"/>
                <w:szCs w:val="24"/>
              </w:rPr>
            </w:pPr>
            <w:r>
              <w:rPr>
                <w:snapToGrid w:val="0"/>
                <w:szCs w:val="24"/>
              </w:rPr>
              <w:t>自投标人</w:t>
            </w:r>
            <w:r>
              <w:rPr>
                <w:rFonts w:hint="eastAsia"/>
                <w:snapToGrid w:val="0"/>
                <w:szCs w:val="24"/>
              </w:rPr>
              <w:t>递交</w:t>
            </w:r>
            <w:r>
              <w:rPr>
                <w:snapToGrid w:val="0"/>
                <w:szCs w:val="24"/>
              </w:rPr>
              <w:t>投标文件截止之日起计算</w:t>
            </w:r>
            <w:r>
              <w:rPr>
                <w:rFonts w:hint="eastAsia"/>
                <w:snapToGrid w:val="0"/>
                <w:szCs w:val="24"/>
                <w:u w:val="single"/>
              </w:rPr>
              <w:t xml:space="preserve"> 120</w:t>
            </w:r>
            <w:r>
              <w:rPr>
                <w:rFonts w:hint="eastAsia"/>
                <w:snapToGrid w:val="0"/>
                <w:szCs w:val="24"/>
              </w:rPr>
              <w:t>_</w:t>
            </w:r>
            <w:r>
              <w:rPr>
                <w:snapToGrid w:val="0"/>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17</w:t>
            </w:r>
          </w:p>
        </w:tc>
        <w:tc>
          <w:tcPr>
            <w:tcW w:w="2471" w:type="dxa"/>
            <w:vAlign w:val="center"/>
          </w:tcPr>
          <w:p>
            <w:pPr>
              <w:snapToGrid w:val="0"/>
              <w:rPr>
                <w:szCs w:val="24"/>
              </w:rPr>
            </w:pPr>
            <w:r>
              <w:rPr>
                <w:rFonts w:hint="eastAsia"/>
                <w:szCs w:val="24"/>
              </w:rPr>
              <w:t>投标保证金</w:t>
            </w:r>
          </w:p>
        </w:tc>
        <w:tc>
          <w:tcPr>
            <w:tcW w:w="6051" w:type="dxa"/>
            <w:vAlign w:val="center"/>
          </w:tcPr>
          <w:p>
            <w:pPr>
              <w:snapToGrid w:val="0"/>
              <w:rPr>
                <w:rFonts w:cs="楷体"/>
                <w:bCs/>
                <w:snapToGrid w:val="0"/>
                <w:szCs w:val="24"/>
              </w:rPr>
            </w:pPr>
            <w:r>
              <w:rPr>
                <w:rFonts w:hint="eastAsia" w:cs="楷体"/>
                <w:bCs/>
                <w:snapToGrid w:val="0"/>
                <w:szCs w:val="24"/>
              </w:rPr>
              <w:t>是否要求投标人递交投标保证金：</w:t>
            </w:r>
          </w:p>
          <w:p>
            <w:pPr>
              <w:snapToGrid w:val="0"/>
              <w:rPr>
                <w:rFonts w:cs="楷体"/>
                <w:b/>
                <w:snapToGrid w:val="0"/>
                <w:szCs w:val="24"/>
              </w:rPr>
            </w:pPr>
            <w:r>
              <w:rPr>
                <w:rFonts w:hint="eastAsia" w:cs="楷体"/>
                <w:bCs/>
                <w:snapToGrid w:val="0"/>
                <w:szCs w:val="24"/>
              </w:rPr>
              <w:sym w:font="Wingdings 2" w:char="0052"/>
            </w:r>
            <w:r>
              <w:rPr>
                <w:rFonts w:hint="eastAsia" w:cs="楷体"/>
                <w:bCs/>
                <w:snapToGrid w:val="0"/>
                <w:szCs w:val="24"/>
              </w:rPr>
              <w:t xml:space="preserve">不要求  </w:t>
            </w:r>
            <w:r>
              <w:rPr>
                <w:rFonts w:hint="eastAsia" w:cs="楷体"/>
                <w:bCs/>
                <w:snapToGrid w:val="0"/>
                <w:szCs w:val="24"/>
              </w:rPr>
              <w:sym w:font="Wingdings 2" w:char="00A3"/>
            </w:r>
            <w:r>
              <w:rPr>
                <w:rFonts w:hint="eastAsia" w:cs="楷体"/>
                <w:bCs/>
                <w:snapToGrid w:val="0"/>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18</w:t>
            </w:r>
          </w:p>
        </w:tc>
        <w:tc>
          <w:tcPr>
            <w:tcW w:w="2471" w:type="dxa"/>
            <w:vAlign w:val="center"/>
          </w:tcPr>
          <w:p>
            <w:pPr>
              <w:snapToGrid w:val="0"/>
              <w:rPr>
                <w:szCs w:val="24"/>
              </w:rPr>
            </w:pPr>
            <w:r>
              <w:rPr>
                <w:rFonts w:hint="eastAsia"/>
                <w:szCs w:val="24"/>
                <w:highlight w:val="none"/>
              </w:rPr>
              <w:t>履约保证金</w:t>
            </w:r>
          </w:p>
        </w:tc>
        <w:tc>
          <w:tcPr>
            <w:tcW w:w="6051" w:type="dxa"/>
            <w:vAlign w:val="center"/>
          </w:tcPr>
          <w:tbl>
            <w:tblPr>
              <w:tblStyle w:val="21"/>
              <w:tblpPr w:leftFromText="180" w:rightFromText="180" w:vertAnchor="text" w:horzAnchor="page" w:tblpX="-20" w:tblpY="84"/>
              <w:tblOverlap w:val="never"/>
              <w:tblW w:w="0" w:type="auto"/>
              <w:tblInd w:w="0" w:type="dxa"/>
              <w:tblLayout w:type="autofit"/>
              <w:tblCellMar>
                <w:top w:w="0" w:type="dxa"/>
                <w:left w:w="108" w:type="dxa"/>
                <w:bottom w:w="0" w:type="dxa"/>
                <w:right w:w="108" w:type="dxa"/>
              </w:tblCellMar>
            </w:tblPr>
            <w:tblGrid>
              <w:gridCol w:w="5835"/>
            </w:tblGrid>
            <w:tr>
              <w:tblPrEx>
                <w:tblCellMar>
                  <w:top w:w="0" w:type="dxa"/>
                  <w:left w:w="108" w:type="dxa"/>
                  <w:bottom w:w="0" w:type="dxa"/>
                  <w:right w:w="108" w:type="dxa"/>
                </w:tblCellMar>
              </w:tblPrEx>
              <w:tc>
                <w:tcPr>
                  <w:tcW w:w="5835" w:type="dxa"/>
                  <w:vAlign w:val="center"/>
                </w:tcPr>
                <w:p>
                  <w:pPr>
                    <w:snapToGrid w:val="0"/>
                    <w:ind w:left="-84" w:leftChars="-35"/>
                  </w:pPr>
                  <w:r>
                    <w:rPr>
                      <w:rFonts w:hint="eastAsia"/>
                    </w:rPr>
                    <w:t xml:space="preserve">（1）形式： </w:t>
                  </w:r>
                  <w:r>
                    <w:fldChar w:fldCharType="begin"/>
                  </w:r>
                  <w:r>
                    <w:instrText xml:space="preserve"> </w:instrText>
                  </w:r>
                  <w:r>
                    <w:rPr>
                      <w:rFonts w:hint="eastAsia"/>
                    </w:rPr>
                    <w:instrText xml:space="preserve">eq \o\ac(□</w:instrText>
                  </w:r>
                  <w:r>
                    <w:rPr>
                      <w:rFonts w:hint="eastAsia"/>
                      <w:lang w:eastAsia="zh-CN"/>
                    </w:rPr>
                    <w:instrText xml:space="preserve">,</w:instrText>
                  </w:r>
                  <w:r>
                    <w:rPr>
                      <w:rFonts w:hint="eastAsia"/>
                      <w:position w:val="2"/>
                      <w:sz w:val="13"/>
                      <w:lang w:eastAsia="zh-CN"/>
                    </w:rPr>
                    <w:instrText xml:space="preserve">√</w:instrText>
                  </w:r>
                  <w:r>
                    <w:rPr>
                      <w:rFonts w:hint="eastAsia"/>
                    </w:rPr>
                    <w:instrText xml:space="preserve">)</w:instrText>
                  </w:r>
                  <w:r>
                    <w:fldChar w:fldCharType="end"/>
                  </w:r>
                  <w:r>
                    <w:rPr>
                      <w:rFonts w:hint="eastAsia"/>
                    </w:rPr>
                    <w:t xml:space="preserve">免收  </w:t>
                  </w:r>
                  <w:r>
                    <w:fldChar w:fldCharType="begin"/>
                  </w:r>
                  <w:r>
                    <w:instrText xml:space="preserve"> </w:instrText>
                  </w:r>
                  <w:r>
                    <w:rPr>
                      <w:rFonts w:hint="eastAsia"/>
                    </w:rPr>
                    <w:instrText xml:space="preserve">eq \o\ac(□)</w:instrText>
                  </w:r>
                  <w:r>
                    <w:fldChar w:fldCharType="end"/>
                  </w:r>
                  <w:r>
                    <w:rPr>
                      <w:rFonts w:hint="eastAsia"/>
                    </w:rPr>
                    <w:t xml:space="preserve">银行转账  </w:t>
                  </w:r>
                  <w:r>
                    <w:fldChar w:fldCharType="begin"/>
                  </w:r>
                  <w:r>
                    <w:instrText xml:space="preserve"> </w:instrText>
                  </w:r>
                  <w:r>
                    <w:rPr>
                      <w:rFonts w:hint="eastAsia"/>
                    </w:rPr>
                    <w:instrText xml:space="preserve">eq \o\ac(□)</w:instrText>
                  </w:r>
                  <w:r>
                    <w:fldChar w:fldCharType="end"/>
                  </w:r>
                  <w:r>
                    <w:rPr>
                      <w:rFonts w:hint="eastAsia"/>
                    </w:rPr>
                    <w:t xml:space="preserve">银行电汇  </w:t>
                  </w:r>
                </w:p>
                <w:p>
                  <w:pPr>
                    <w:snapToGrid w:val="0"/>
                  </w:pPr>
                  <w:r>
                    <w:fldChar w:fldCharType="begin"/>
                  </w:r>
                  <w:r>
                    <w:instrText xml:space="preserve"> </w:instrText>
                  </w:r>
                  <w:r>
                    <w:rPr>
                      <w:rFonts w:hint="eastAsia"/>
                    </w:rPr>
                    <w:instrText xml:space="preserve">eq \o\ac(□)</w:instrText>
                  </w:r>
                  <w:r>
                    <w:fldChar w:fldCharType="end"/>
                  </w:r>
                  <w:r>
                    <w:rPr>
                      <w:rFonts w:hint="eastAsia"/>
                    </w:rPr>
                    <w:t xml:space="preserve">银行保函  </w:t>
                  </w:r>
                  <w:r>
                    <w:fldChar w:fldCharType="begin"/>
                  </w:r>
                  <w:r>
                    <w:instrText xml:space="preserve"> </w:instrText>
                  </w:r>
                  <w:r>
                    <w:rPr>
                      <w:rFonts w:hint="eastAsia"/>
                    </w:rPr>
                    <w:instrText xml:space="preserve">eq \o\ac(□)</w:instrText>
                  </w:r>
                  <w:r>
                    <w:fldChar w:fldCharType="end"/>
                  </w:r>
                  <w:r>
                    <w:rPr>
                      <w:rFonts w:hint="eastAsia"/>
                    </w:rPr>
                    <w:t xml:space="preserve">担保机构担保   </w:t>
                  </w:r>
                  <w:r>
                    <w:fldChar w:fldCharType="begin"/>
                  </w:r>
                  <w:r>
                    <w:instrText xml:space="preserve"> </w:instrText>
                  </w:r>
                  <w:r>
                    <w:rPr>
                      <w:rFonts w:hint="eastAsia"/>
                    </w:rPr>
                    <w:instrText xml:space="preserve">eq \o\ac(□)</w:instrText>
                  </w:r>
                  <w:r>
                    <w:fldChar w:fldCharType="end"/>
                  </w:r>
                  <w:r>
                    <w:rPr>
                      <w:rFonts w:hint="eastAsia"/>
                    </w:rPr>
                    <w:t>保证保险</w:t>
                  </w:r>
                </w:p>
              </w:tc>
            </w:tr>
          </w:tbl>
          <w:p>
            <w:pPr>
              <w:numPr>
                <w:ilvl w:val="0"/>
                <w:numId w:val="2"/>
              </w:numPr>
              <w:snapToGrid w:val="0"/>
              <w:ind w:left="-84" w:leftChars="-35"/>
              <w:rPr>
                <w:rFonts w:hint="default"/>
                <w:b/>
                <w:bCs/>
                <w:lang w:val="en-US" w:eastAsia="zh-CN"/>
              </w:rPr>
            </w:pPr>
            <w:r>
              <w:rPr>
                <w:rFonts w:hint="eastAsia"/>
                <w:b/>
                <w:bCs/>
              </w:rPr>
              <w:t>金额：</w:t>
            </w:r>
            <w:r>
              <w:rPr>
                <w:rFonts w:hint="eastAsia" w:cs="楷体"/>
                <w:bCs/>
                <w:snapToGrid w:val="0"/>
                <w:szCs w:val="24"/>
                <w:highlight w:val="none"/>
              </w:rPr>
              <w:t>中标金</w:t>
            </w:r>
            <w:r>
              <w:rPr>
                <w:rFonts w:hint="eastAsia"/>
                <w:szCs w:val="24"/>
                <w:highlight w:val="none"/>
              </w:rPr>
              <w:t xml:space="preserve">额的 </w:t>
            </w:r>
            <w:r>
              <w:rPr>
                <w:rFonts w:hint="eastAsia"/>
                <w:b/>
                <w:szCs w:val="24"/>
                <w:highlight w:val="none"/>
                <w:u w:val="single"/>
              </w:rPr>
              <w:t xml:space="preserve"> </w:t>
            </w:r>
            <w:r>
              <w:rPr>
                <w:rFonts w:hint="eastAsia"/>
                <w:b/>
                <w:szCs w:val="24"/>
                <w:highlight w:val="none"/>
                <w:u w:val="single"/>
                <w:lang w:val="en-US" w:eastAsia="zh-CN"/>
              </w:rPr>
              <w:t xml:space="preserve"> / </w:t>
            </w:r>
            <w:r>
              <w:rPr>
                <w:rFonts w:hint="eastAsia"/>
                <w:b/>
                <w:szCs w:val="24"/>
                <w:highlight w:val="none"/>
                <w:u w:val="single"/>
              </w:rPr>
              <w:t xml:space="preserve"> </w:t>
            </w:r>
            <w:r>
              <w:rPr>
                <w:rFonts w:hint="eastAsia"/>
                <w:b/>
                <w:szCs w:val="24"/>
                <w:highlight w:val="none"/>
              </w:rPr>
              <w:t>％</w:t>
            </w:r>
            <w:r>
              <w:rPr>
                <w:rFonts w:hint="eastAsia"/>
                <w:b/>
                <w:szCs w:val="24"/>
                <w:highlight w:val="none"/>
                <w:lang w:val="en-US" w:eastAsia="zh-CN"/>
              </w:rPr>
              <w:t xml:space="preserve"> </w:t>
            </w:r>
            <w:r>
              <w:rPr>
                <w:rFonts w:hint="eastAsia"/>
                <w:b/>
                <w:bCs/>
                <w:lang w:val="en-US" w:eastAsia="zh-CN"/>
              </w:rPr>
              <w:t>账户名称：/</w:t>
            </w:r>
          </w:p>
          <w:p>
            <w:pPr>
              <w:numPr>
                <w:ilvl w:val="0"/>
                <w:numId w:val="2"/>
              </w:numPr>
              <w:snapToGrid w:val="0"/>
              <w:ind w:left="-84" w:leftChars="-35"/>
              <w:rPr>
                <w:rFonts w:hint="eastAsia" w:ascii="宋体" w:hAnsi="Times New Roman" w:eastAsia="宋体" w:cs="Times New Roman"/>
                <w:lang w:val="en-US" w:eastAsia="zh-CN"/>
              </w:rPr>
            </w:pPr>
            <w:r>
              <w:rPr>
                <w:rFonts w:hint="eastAsia" w:ascii="宋体" w:hAnsi="Times New Roman" w:eastAsia="宋体" w:cs="Times New Roman"/>
                <w:lang w:val="en-US" w:eastAsia="zh-CN"/>
              </w:rPr>
              <w:t>履约保证金退还：履约保证金退还期限为服务期满后30 日历日内，乙方无违约行为，双方无异议后退还（无息）</w:t>
            </w:r>
          </w:p>
          <w:p>
            <w:pPr>
              <w:numPr>
                <w:ilvl w:val="0"/>
                <w:numId w:val="2"/>
              </w:numPr>
              <w:snapToGrid w:val="0"/>
              <w:ind w:left="-84" w:leftChars="-35"/>
              <w:rPr>
                <w:rFonts w:hint="eastAsia" w:ascii="宋体" w:hAnsi="Times New Roman" w:eastAsia="宋体" w:cs="Times New Roman"/>
                <w:lang w:val="en-US" w:eastAsia="zh-CN"/>
              </w:rPr>
            </w:pPr>
            <w:r>
              <w:rPr>
                <w:rFonts w:hint="eastAsia" w:ascii="宋体" w:hAnsi="Times New Roman" w:eastAsia="宋体" w:cs="Times New Roman"/>
                <w:lang w:val="en-US" w:eastAsia="zh-CN"/>
              </w:rPr>
              <w:t>如采用银行保函，银行保函应为合肥行政区域（含四县一市）具有分支机构的银行（或该银行国内任一分行或支行）出具的见索即付无条件银行保函。例如：某银行在合肥行政区域有分支机构，则该银行总行（或该银行国内任一分行或支行）出具的满足招标文件要求的银行保函均予以认可。</w:t>
            </w:r>
          </w:p>
          <w:p>
            <w:pPr>
              <w:numPr>
                <w:ilvl w:val="0"/>
                <w:numId w:val="2"/>
              </w:numPr>
              <w:snapToGrid w:val="0"/>
              <w:ind w:left="-84" w:leftChars="-35"/>
              <w:rPr>
                <w:rFonts w:hint="eastAsia" w:ascii="宋体" w:hAnsi="Times New Roman" w:eastAsia="宋体" w:cs="Times New Roman"/>
                <w:lang w:val="en-US" w:eastAsia="zh-CN"/>
              </w:rPr>
            </w:pPr>
            <w:r>
              <w:rPr>
                <w:rFonts w:hint="eastAsia" w:ascii="宋体" w:hAnsi="Times New Roman" w:eastAsia="宋体" w:cs="Times New Roman"/>
                <w:lang w:val="en-US" w:eastAsia="zh-CN"/>
              </w:rPr>
              <w:t>如采用担保机构担保，应为注册地在合肥行政区域（含四县一市）范围内的融资担保机构或经安徽省地方金融监督管理局备案的融资担保机构出具的无条件担保。</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19</w:t>
            </w:r>
          </w:p>
        </w:tc>
        <w:tc>
          <w:tcPr>
            <w:tcW w:w="2471" w:type="dxa"/>
            <w:vAlign w:val="center"/>
          </w:tcPr>
          <w:p>
            <w:pPr>
              <w:snapToGrid w:val="0"/>
              <w:rPr>
                <w:szCs w:val="24"/>
              </w:rPr>
            </w:pPr>
            <w:r>
              <w:rPr>
                <w:rFonts w:hint="eastAsia"/>
                <w:szCs w:val="24"/>
              </w:rPr>
              <w:t>是否允许递交备选投标方案</w:t>
            </w:r>
          </w:p>
        </w:tc>
        <w:tc>
          <w:tcPr>
            <w:tcW w:w="6051" w:type="dxa"/>
            <w:vAlign w:val="center"/>
          </w:tcPr>
          <w:p>
            <w:pPr>
              <w:snapToGrid w:val="0"/>
              <w:rPr>
                <w:szCs w:val="24"/>
              </w:rPr>
            </w:pPr>
            <w:r>
              <w:rPr>
                <w:rFonts w:hint="eastAsia"/>
                <w:szCs w:val="24"/>
              </w:rPr>
              <w:sym w:font="Wingdings 2" w:char="0052"/>
            </w: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20</w:t>
            </w:r>
          </w:p>
        </w:tc>
        <w:tc>
          <w:tcPr>
            <w:tcW w:w="2471" w:type="dxa"/>
            <w:vAlign w:val="center"/>
          </w:tcPr>
          <w:p>
            <w:pPr>
              <w:snapToGrid w:val="0"/>
              <w:rPr>
                <w:snapToGrid w:val="0"/>
                <w:szCs w:val="24"/>
                <w:shd w:val="clear" w:color="auto" w:fill="FFFFFF"/>
              </w:rPr>
            </w:pPr>
            <w:r>
              <w:rPr>
                <w:rFonts w:hint="eastAsia"/>
                <w:snapToGrid w:val="0"/>
                <w:szCs w:val="24"/>
                <w:shd w:val="clear" w:color="auto" w:fill="FFFFFF"/>
              </w:rPr>
              <w:t>投标文件份数及要求</w:t>
            </w:r>
          </w:p>
        </w:tc>
        <w:tc>
          <w:tcPr>
            <w:tcW w:w="6051" w:type="dxa"/>
            <w:vAlign w:val="center"/>
          </w:tcPr>
          <w:p>
            <w:pPr>
              <w:pStyle w:val="6"/>
              <w:rPr>
                <w:rFonts w:cs="楷体"/>
                <w:snapToGrid w:val="0"/>
                <w:szCs w:val="24"/>
              </w:rPr>
            </w:pPr>
            <w:r>
              <w:rPr>
                <w:rFonts w:hint="eastAsia" w:ascii="宋体" w:hAnsi="宋体"/>
              </w:rPr>
              <w:t>正本1份；副本2份，密封提交。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21</w:t>
            </w:r>
          </w:p>
        </w:tc>
        <w:tc>
          <w:tcPr>
            <w:tcW w:w="2471" w:type="dxa"/>
            <w:vAlign w:val="center"/>
          </w:tcPr>
          <w:p>
            <w:pPr>
              <w:snapToGrid w:val="0"/>
              <w:rPr>
                <w:rFonts w:ascii="楷体" w:hAnsi="楷体" w:eastAsia="楷体"/>
                <w:snapToGrid w:val="0"/>
                <w:szCs w:val="24"/>
                <w:shd w:val="clear" w:color="auto" w:fill="FFFFFF"/>
              </w:rPr>
            </w:pPr>
            <w:r>
              <w:rPr>
                <w:rFonts w:hint="eastAsia"/>
                <w:snapToGrid w:val="0"/>
                <w:szCs w:val="24"/>
                <w:shd w:val="clear" w:color="auto" w:fill="FFFFFF"/>
              </w:rPr>
              <w:t>投标文件密封和标记要求</w:t>
            </w:r>
          </w:p>
        </w:tc>
        <w:tc>
          <w:tcPr>
            <w:tcW w:w="6051" w:type="dxa"/>
            <w:vAlign w:val="center"/>
          </w:tcPr>
          <w:p>
            <w:pPr>
              <w:snapToGrid w:val="0"/>
            </w:pPr>
            <w:r>
              <w:rPr>
                <w:rFonts w:hint="eastAsia"/>
              </w:rPr>
              <w:t>投标文件封套：</w:t>
            </w:r>
            <w:r>
              <w:rPr>
                <w:rFonts w:hint="eastAsia"/>
                <w:u w:val="single"/>
              </w:rPr>
              <w:t xml:space="preserve">            </w:t>
            </w:r>
            <w:r>
              <w:rPr>
                <w:rFonts w:hint="eastAsia"/>
              </w:rPr>
              <w:t>项目投标文件</w:t>
            </w:r>
          </w:p>
          <w:p>
            <w:pPr>
              <w:snapToGrid w:val="0"/>
            </w:pPr>
            <w:r>
              <w:rPr>
                <w:rFonts w:hint="eastAsia"/>
              </w:rPr>
              <w:t xml:space="preserve">投标人地址：              </w:t>
            </w:r>
          </w:p>
          <w:p>
            <w:pPr>
              <w:snapToGrid w:val="0"/>
            </w:pPr>
            <w:r>
              <w:rPr>
                <w:rFonts w:hint="eastAsia"/>
              </w:rPr>
              <w:t xml:space="preserve">投标人名称：              </w:t>
            </w:r>
          </w:p>
          <w:p>
            <w:pPr>
              <w:snapToGrid w:val="0"/>
            </w:pPr>
            <w:r>
              <w:rPr>
                <w:rFonts w:hint="eastAsia"/>
              </w:rPr>
              <w:t xml:space="preserve">       (招标项目名称)投标文件</w:t>
            </w:r>
          </w:p>
          <w:p>
            <w:pPr>
              <w:snapToGrid w:val="0"/>
            </w:pPr>
          </w:p>
          <w:p>
            <w:pPr>
              <w:snapToGrid w:val="0"/>
            </w:pPr>
            <w:r>
              <w:rPr>
                <w:rFonts w:hint="eastAsia"/>
              </w:rPr>
              <w:t>在    年   月   日    时   分前不得开启</w:t>
            </w:r>
          </w:p>
          <w:p>
            <w:pPr>
              <w:pStyle w:val="6"/>
            </w:pPr>
            <w:r>
              <w:rPr>
                <w:rFonts w:hint="eastAsia" w:cs="楷体"/>
                <w:snapToGrid w:val="0"/>
                <w:szCs w:val="24"/>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22</w:t>
            </w:r>
          </w:p>
        </w:tc>
        <w:tc>
          <w:tcPr>
            <w:tcW w:w="2471" w:type="dxa"/>
            <w:vAlign w:val="center"/>
          </w:tcPr>
          <w:p>
            <w:pPr>
              <w:snapToGrid w:val="0"/>
              <w:rPr>
                <w:rFonts w:ascii="仿宋" w:hAnsi="仿宋" w:eastAsia="仿宋"/>
                <w:snapToGrid w:val="0"/>
                <w:szCs w:val="24"/>
                <w:shd w:val="clear" w:color="auto" w:fill="FFFFFF"/>
              </w:rPr>
            </w:pPr>
            <w:r>
              <w:rPr>
                <w:rFonts w:hint="eastAsia"/>
                <w:snapToGrid w:val="0"/>
                <w:szCs w:val="24"/>
                <w:shd w:val="clear" w:color="auto" w:fill="FFFFFF"/>
              </w:rPr>
              <w:t>投标文件递交</w:t>
            </w:r>
          </w:p>
        </w:tc>
        <w:tc>
          <w:tcPr>
            <w:tcW w:w="6051" w:type="dxa"/>
            <w:vAlign w:val="center"/>
          </w:tcPr>
          <w:p>
            <w:pPr>
              <w:snapToGrid w:val="0"/>
              <w:rPr>
                <w:snapToGrid w:val="0"/>
                <w:szCs w:val="24"/>
                <w:shd w:val="clear" w:color="auto" w:fill="FFFFFF"/>
              </w:rPr>
            </w:pPr>
            <w:r>
              <w:rPr>
                <w:rFonts w:hint="eastAsia"/>
                <w:snapToGrid w:val="0"/>
                <w:szCs w:val="24"/>
                <w:shd w:val="clear" w:color="auto" w:fill="FFFFFF"/>
              </w:rPr>
              <w:t>投标文件由投标人在响应文件递交截止时间前密封递交。</w:t>
            </w:r>
          </w:p>
          <w:p>
            <w:pPr>
              <w:snapToGrid w:val="0"/>
              <w:rPr>
                <w:b/>
                <w:bCs/>
                <w:snapToGrid w:val="0"/>
                <w:szCs w:val="24"/>
                <w:shd w:val="clear" w:color="auto" w:fill="FFFFFF"/>
              </w:rPr>
            </w:pPr>
            <w:r>
              <w:rPr>
                <w:rFonts w:hint="eastAsia"/>
                <w:b/>
                <w:bCs/>
                <w:snapToGrid w:val="0"/>
                <w:szCs w:val="24"/>
                <w:shd w:val="clear" w:color="auto" w:fill="FFFFFF"/>
              </w:rPr>
              <w:t>并另行单独提交以下证明材料，否则招标人不予接收。</w:t>
            </w:r>
          </w:p>
          <w:p>
            <w:pPr>
              <w:snapToGrid w:val="0"/>
              <w:rPr>
                <w:snapToGrid w:val="0"/>
                <w:szCs w:val="24"/>
                <w:shd w:val="clear" w:color="auto" w:fill="FFFFFF"/>
              </w:rPr>
            </w:pPr>
            <w:r>
              <w:rPr>
                <w:rFonts w:hint="eastAsia"/>
                <w:snapToGrid w:val="0"/>
                <w:szCs w:val="24"/>
                <w:shd w:val="clear" w:color="auto" w:fill="FFFFFF"/>
              </w:rPr>
              <w:t>（1）法定代表人亲自递交的，应提供法定代表人身份证明和法定代表人的有效身份证件；</w:t>
            </w:r>
          </w:p>
          <w:p>
            <w:pPr>
              <w:snapToGrid w:val="0"/>
              <w:rPr>
                <w:snapToGrid w:val="0"/>
                <w:szCs w:val="24"/>
                <w:shd w:val="clear" w:color="auto" w:fill="FFFFFF"/>
              </w:rPr>
            </w:pPr>
            <w:r>
              <w:rPr>
                <w:rFonts w:hint="eastAsia"/>
                <w:snapToGrid w:val="0"/>
                <w:szCs w:val="24"/>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23</w:t>
            </w:r>
          </w:p>
        </w:tc>
        <w:tc>
          <w:tcPr>
            <w:tcW w:w="2471" w:type="dxa"/>
            <w:vAlign w:val="center"/>
          </w:tcPr>
          <w:p>
            <w:pPr>
              <w:snapToGrid w:val="0"/>
              <w:rPr>
                <w:rFonts w:ascii="楷体" w:hAnsi="楷体" w:eastAsia="楷体"/>
                <w:snapToGrid w:val="0"/>
                <w:szCs w:val="24"/>
                <w:shd w:val="clear" w:color="auto" w:fill="FFFFFF"/>
              </w:rPr>
            </w:pPr>
            <w:r>
              <w:rPr>
                <w:rFonts w:hint="eastAsia"/>
                <w:snapToGrid w:val="0"/>
                <w:szCs w:val="24"/>
                <w:shd w:val="clear" w:color="auto" w:fill="FFFFFF"/>
              </w:rPr>
              <w:t>递交投标文件地点</w:t>
            </w:r>
          </w:p>
        </w:tc>
        <w:tc>
          <w:tcPr>
            <w:tcW w:w="6051" w:type="dxa"/>
            <w:vAlign w:val="center"/>
          </w:tcPr>
          <w:p>
            <w:pPr>
              <w:snapToGrid w:val="0"/>
              <w:rPr>
                <w:szCs w:val="24"/>
              </w:rPr>
            </w:pPr>
            <w:r>
              <w:rPr>
                <w:rFonts w:hint="eastAsia"/>
                <w:bCs/>
                <w:snapToGrid w:val="0"/>
                <w:szCs w:val="24"/>
              </w:rPr>
              <w:t xml:space="preserve"> </w:t>
            </w:r>
            <w:r>
              <w:rPr>
                <w:rFonts w:hint="eastAsia"/>
                <w:bCs/>
                <w:snapToGrid w:val="0"/>
                <w:szCs w:val="24"/>
                <w:highlight w:val="none"/>
                <w:lang w:val="en-US" w:eastAsia="zh-CN"/>
              </w:rPr>
              <w:t>安徽省合肥市庐阳区红星路省人民政府机关幼儿园北门对面原省政府北楼134办公室（地图搜索：红星路90号（安徽省人民政府机关医院），看见道闸进大院后往北方向（长江路方向）走，最北边楼134办公室。）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24</w:t>
            </w:r>
          </w:p>
        </w:tc>
        <w:tc>
          <w:tcPr>
            <w:tcW w:w="2471" w:type="dxa"/>
            <w:vAlign w:val="center"/>
          </w:tcPr>
          <w:p>
            <w:pPr>
              <w:snapToGrid w:val="0"/>
              <w:rPr>
                <w:szCs w:val="24"/>
              </w:rPr>
            </w:pPr>
            <w:r>
              <w:rPr>
                <w:rFonts w:hint="eastAsia"/>
                <w:szCs w:val="24"/>
              </w:rPr>
              <w:t>是否退还投标文件</w:t>
            </w:r>
          </w:p>
        </w:tc>
        <w:tc>
          <w:tcPr>
            <w:tcW w:w="6051" w:type="dxa"/>
            <w:vAlign w:val="center"/>
          </w:tcPr>
          <w:p>
            <w:pPr>
              <w:snapToGrid w:val="0"/>
              <w:rPr>
                <w:szCs w:val="24"/>
                <w:u w:val="single"/>
              </w:rPr>
            </w:pPr>
            <w:r>
              <w:rPr>
                <w:rFonts w:hint="eastAsia" w:ascii="MS Mincho" w:hAnsi="MS Mincho" w:eastAsia="MS Mincho" w:cs="MS Mincho"/>
                <w:bCs/>
                <w:snapToGrid w:val="0"/>
                <w:szCs w:val="24"/>
              </w:rPr>
              <w:sym w:font="Wingdings 2" w:char="0052"/>
            </w:r>
            <w:r>
              <w:rPr>
                <w:rFonts w:hint="eastAsia"/>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25</w:t>
            </w:r>
          </w:p>
        </w:tc>
        <w:tc>
          <w:tcPr>
            <w:tcW w:w="2471" w:type="dxa"/>
            <w:vAlign w:val="center"/>
          </w:tcPr>
          <w:p>
            <w:pPr>
              <w:snapToGrid w:val="0"/>
              <w:rPr>
                <w:szCs w:val="24"/>
              </w:rPr>
            </w:pPr>
            <w:r>
              <w:rPr>
                <w:rFonts w:hint="eastAsia"/>
                <w:szCs w:val="24"/>
              </w:rPr>
              <w:t>开标时间和地点</w:t>
            </w:r>
          </w:p>
        </w:tc>
        <w:tc>
          <w:tcPr>
            <w:tcW w:w="6051" w:type="dxa"/>
            <w:vAlign w:val="center"/>
          </w:tcPr>
          <w:p>
            <w:pPr>
              <w:adjustRightInd w:val="0"/>
              <w:snapToGrid w:val="0"/>
              <w:spacing w:line="300" w:lineRule="exact"/>
              <w:jc w:val="left"/>
            </w:pPr>
            <w:r>
              <w:rPr>
                <w:rFonts w:hint="eastAsia"/>
              </w:rPr>
              <w:t>开标时间：响应文件递交截止时间后由招标人确定</w:t>
            </w:r>
          </w:p>
          <w:p>
            <w:pPr>
              <w:adjustRightInd w:val="0"/>
              <w:snapToGrid w:val="0"/>
              <w:spacing w:line="300" w:lineRule="exact"/>
              <w:jc w:val="left"/>
            </w:pPr>
            <w:r>
              <w:rPr>
                <w:rFonts w:hint="eastAsia"/>
              </w:rPr>
              <w:t>开标地点：由招标人自行确定</w:t>
            </w:r>
          </w:p>
          <w:p>
            <w:pPr>
              <w:snapToGrid w:val="0"/>
              <w:rPr>
                <w:szCs w:val="24"/>
              </w:rPr>
            </w:pPr>
            <w:r>
              <w:rPr>
                <w:rFonts w:hint="eastAsia"/>
                <w:b/>
                <w:bCs/>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26</w:t>
            </w:r>
          </w:p>
        </w:tc>
        <w:tc>
          <w:tcPr>
            <w:tcW w:w="2471" w:type="dxa"/>
            <w:vAlign w:val="center"/>
          </w:tcPr>
          <w:p>
            <w:pPr>
              <w:snapToGrid w:val="0"/>
              <w:rPr>
                <w:rFonts w:ascii="楷体" w:hAnsi="楷体" w:eastAsia="楷体"/>
                <w:szCs w:val="24"/>
              </w:rPr>
            </w:pPr>
            <w:r>
              <w:rPr>
                <w:rFonts w:hint="eastAsia"/>
                <w:szCs w:val="24"/>
              </w:rPr>
              <w:t>中标通知书发出的形式</w:t>
            </w:r>
          </w:p>
        </w:tc>
        <w:tc>
          <w:tcPr>
            <w:tcW w:w="6051" w:type="dxa"/>
            <w:vAlign w:val="center"/>
          </w:tcPr>
          <w:p>
            <w:pPr>
              <w:snapToGrid w:val="0"/>
              <w:rPr>
                <w:szCs w:val="24"/>
              </w:rPr>
            </w:pPr>
            <w:r>
              <w:rPr>
                <w:rFonts w:hint="eastAsia" w:ascii="MS Mincho" w:hAnsi="MS Mincho" w:cs="MS Mincho"/>
                <w:color w:val="000000"/>
                <w:szCs w:val="24"/>
              </w:rPr>
              <w:sym w:font="Wingdings 2" w:char="0052"/>
            </w:r>
            <w:r>
              <w:rPr>
                <w:rFonts w:hint="eastAsia"/>
                <w:color w:val="000000"/>
                <w:szCs w:val="24"/>
              </w:rPr>
              <w:t xml:space="preserve">纸质  </w:t>
            </w:r>
            <w:r>
              <w:rPr>
                <w:rFonts w:hint="eastAsia"/>
                <w:color w:val="000000"/>
                <w:szCs w:val="24"/>
              </w:rPr>
              <w:sym w:font="Wingdings 2" w:char="00A3"/>
            </w:r>
            <w:r>
              <w:rPr>
                <w:rFonts w:hint="eastAsia"/>
                <w:color w:val="000000"/>
                <w:szCs w:val="24"/>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楷体" w:cs="Times New Roman"/>
                <w:bCs/>
                <w:snapToGrid w:val="0"/>
                <w:sz w:val="24"/>
                <w:szCs w:val="24"/>
                <w:lang w:val="en-US" w:eastAsia="zh-CN" w:bidi="ar-SA"/>
              </w:rPr>
            </w:pPr>
            <w:r>
              <w:rPr>
                <w:rFonts w:hint="eastAsia"/>
                <w:szCs w:val="24"/>
              </w:rPr>
              <w:t>27</w:t>
            </w:r>
          </w:p>
        </w:tc>
        <w:tc>
          <w:tcPr>
            <w:tcW w:w="2471" w:type="dxa"/>
            <w:vAlign w:val="center"/>
          </w:tcPr>
          <w:p>
            <w:pPr>
              <w:snapToGrid w:val="0"/>
              <w:rPr>
                <w:rFonts w:ascii="楷体" w:hAnsi="楷体" w:eastAsia="楷体"/>
                <w:szCs w:val="24"/>
              </w:rPr>
            </w:pPr>
            <w:r>
              <w:rPr>
                <w:rFonts w:hint="eastAsia"/>
                <w:szCs w:val="24"/>
              </w:rPr>
              <w:t>中标结果公示媒介</w:t>
            </w:r>
          </w:p>
        </w:tc>
        <w:tc>
          <w:tcPr>
            <w:tcW w:w="6051" w:type="dxa"/>
            <w:vAlign w:val="center"/>
          </w:tcPr>
          <w:p>
            <w:pPr>
              <w:snapToGrid w:val="0"/>
              <w:rPr>
                <w:rFonts w:ascii="楷体" w:hAnsi="楷体" w:eastAsia="楷体"/>
                <w:szCs w:val="24"/>
              </w:rPr>
            </w:pPr>
            <w:r>
              <w:rPr>
                <w:rFonts w:hint="eastAsia"/>
                <w:szCs w:val="24"/>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楷体" w:cs="Times New Roman"/>
                <w:bCs/>
                <w:snapToGrid w:val="0"/>
                <w:sz w:val="24"/>
                <w:szCs w:val="24"/>
                <w:lang w:val="en-US" w:eastAsia="zh-CN" w:bidi="ar-SA"/>
              </w:rPr>
            </w:pPr>
            <w:r>
              <w:rPr>
                <w:rFonts w:hint="eastAsia"/>
                <w:szCs w:val="24"/>
              </w:rPr>
              <w:t>28</w:t>
            </w:r>
          </w:p>
        </w:tc>
        <w:tc>
          <w:tcPr>
            <w:tcW w:w="2471" w:type="dxa"/>
            <w:vAlign w:val="center"/>
          </w:tcPr>
          <w:p>
            <w:pPr>
              <w:snapToGrid w:val="0"/>
              <w:jc w:val="left"/>
              <w:rPr>
                <w:rFonts w:ascii="楷体" w:hAnsi="楷体" w:eastAsia="楷体"/>
                <w:bCs/>
                <w:snapToGrid w:val="0"/>
                <w:szCs w:val="24"/>
              </w:rPr>
            </w:pPr>
            <w:r>
              <w:rPr>
                <w:rFonts w:hint="eastAsia"/>
                <w:bCs/>
                <w:snapToGrid w:val="0"/>
                <w:szCs w:val="24"/>
              </w:rPr>
              <w:t>其他</w:t>
            </w:r>
          </w:p>
        </w:tc>
        <w:tc>
          <w:tcPr>
            <w:tcW w:w="6051" w:type="dxa"/>
            <w:vAlign w:val="center"/>
          </w:tcPr>
          <w:p>
            <w:pPr>
              <w:snapToGrid w:val="0"/>
              <w:rPr>
                <w:bCs/>
                <w:snapToGrid w:val="0"/>
                <w:szCs w:val="24"/>
              </w:rPr>
            </w:pPr>
            <w:r>
              <w:rPr>
                <w:rFonts w:hint="eastAsia"/>
                <w:bCs/>
                <w:snapToGrid w:val="0"/>
                <w:szCs w:val="24"/>
              </w:rPr>
              <w:t>（1）项目经理必须是投标人本单位工作人员，提供虚假资料谋取中标的将报监管部门处理。</w:t>
            </w:r>
          </w:p>
          <w:p>
            <w:pPr>
              <w:snapToGrid w:val="0"/>
              <w:rPr>
                <w:bCs/>
                <w:snapToGrid w:val="0"/>
                <w:szCs w:val="24"/>
              </w:rPr>
            </w:pPr>
            <w:r>
              <w:rPr>
                <w:rFonts w:hint="eastAsia"/>
                <w:bCs/>
                <w:snapToGrid w:val="0"/>
                <w:szCs w:val="24"/>
              </w:rPr>
              <w:t xml:space="preserve">（2）投标人对所提交的投标人或拟派项目经理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29</w:t>
            </w:r>
          </w:p>
        </w:tc>
        <w:tc>
          <w:tcPr>
            <w:tcW w:w="2471" w:type="dxa"/>
            <w:vAlign w:val="center"/>
          </w:tcPr>
          <w:p>
            <w:pPr>
              <w:snapToGrid w:val="0"/>
              <w:rPr>
                <w:rFonts w:ascii="楷体" w:hAnsi="楷体" w:eastAsia="楷体"/>
                <w:szCs w:val="24"/>
              </w:rPr>
            </w:pPr>
            <w:r>
              <w:rPr>
                <w:rFonts w:hint="eastAsia"/>
                <w:szCs w:val="24"/>
              </w:rPr>
              <w:t>同义词语</w:t>
            </w:r>
          </w:p>
        </w:tc>
        <w:tc>
          <w:tcPr>
            <w:tcW w:w="6051" w:type="dxa"/>
            <w:vAlign w:val="center"/>
          </w:tcPr>
          <w:p>
            <w:pPr>
              <w:snapToGrid w:val="0"/>
              <w:rPr>
                <w:szCs w:val="24"/>
              </w:rPr>
            </w:pPr>
            <w:r>
              <w:rPr>
                <w:rFonts w:hint="eastAsia"/>
                <w:szCs w:val="24"/>
              </w:rPr>
              <w:t>构成磋商文件组成部分的“通用合同条款”、“专用合同条款”、“技术标准和要求”和“工程量清单”等章节中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30</w:t>
            </w:r>
          </w:p>
        </w:tc>
        <w:tc>
          <w:tcPr>
            <w:tcW w:w="2471" w:type="dxa"/>
            <w:vAlign w:val="center"/>
          </w:tcPr>
          <w:p>
            <w:pPr>
              <w:snapToGrid w:val="0"/>
              <w:rPr>
                <w:rFonts w:ascii="楷体" w:hAnsi="楷体" w:eastAsia="楷体"/>
                <w:szCs w:val="24"/>
              </w:rPr>
            </w:pPr>
            <w:r>
              <w:rPr>
                <w:rFonts w:hint="eastAsia"/>
                <w:szCs w:val="24"/>
              </w:rPr>
              <w:t>解释权</w:t>
            </w:r>
          </w:p>
        </w:tc>
        <w:tc>
          <w:tcPr>
            <w:tcW w:w="6051" w:type="dxa"/>
            <w:vAlign w:val="center"/>
          </w:tcPr>
          <w:p>
            <w:pPr>
              <w:snapToGrid w:val="0"/>
              <w:rPr>
                <w:szCs w:val="24"/>
              </w:rPr>
            </w:pPr>
            <w:r>
              <w:rPr>
                <w:rFonts w:hint="eastAsia"/>
                <w:szCs w:val="24"/>
              </w:rPr>
              <w:t>(1)构成本磋商文件的各个组成文件应互为解释，互为说明；</w:t>
            </w:r>
          </w:p>
          <w:p>
            <w:pPr>
              <w:snapToGrid w:val="0"/>
              <w:rPr>
                <w:szCs w:val="24"/>
              </w:rPr>
            </w:pPr>
            <w:r>
              <w:rPr>
                <w:rFonts w:hint="eastAsia"/>
                <w:szCs w:val="24"/>
              </w:rPr>
              <w:t>(2)同一组成文件中就同一事项的规定或约定不一致的，以编排顺序在后者为准；</w:t>
            </w:r>
          </w:p>
          <w:p>
            <w:pPr>
              <w:snapToGrid w:val="0"/>
              <w:rPr>
                <w:szCs w:val="24"/>
              </w:rPr>
            </w:pPr>
            <w:r>
              <w:rPr>
                <w:rFonts w:hint="eastAsia"/>
                <w:szCs w:val="24"/>
              </w:rPr>
              <w:t>(3)如有不明确或不一致，构成合同文件组成内容的，以合同文件约定内容为准，且以专用合同条款约定的合同文件优先顺序解释；</w:t>
            </w:r>
          </w:p>
          <w:p>
            <w:pPr>
              <w:snapToGrid w:val="0"/>
              <w:rPr>
                <w:szCs w:val="24"/>
              </w:rPr>
            </w:pPr>
            <w:r>
              <w:rPr>
                <w:rFonts w:hint="eastAsia"/>
                <w:szCs w:val="24"/>
              </w:rPr>
              <w:t>(4)除磋商文件中有特别规定外，仅适用于招标投标阶段的规定，按招标公告、投标人须知、评标办法、投标文件格式的先后顺序解释；</w:t>
            </w:r>
          </w:p>
          <w:p>
            <w:pPr>
              <w:snapToGrid w:val="0"/>
              <w:rPr>
                <w:szCs w:val="24"/>
              </w:rPr>
            </w:pPr>
            <w:r>
              <w:rPr>
                <w:rFonts w:hint="eastAsia"/>
                <w:szCs w:val="24"/>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vAlign w:val="center"/>
          </w:tcPr>
          <w:p>
            <w:pPr>
              <w:snapToGrid w:val="0"/>
              <w:jc w:val="center"/>
              <w:rPr>
                <w:rFonts w:hint="default" w:eastAsia="宋体"/>
                <w:szCs w:val="24"/>
                <w:lang w:val="en-US" w:eastAsia="zh-CN"/>
              </w:rPr>
            </w:pPr>
            <w:r>
              <w:rPr>
                <w:rFonts w:hint="eastAsia"/>
                <w:szCs w:val="24"/>
                <w:lang w:val="en-US" w:eastAsia="zh-CN"/>
              </w:rPr>
              <w:t>31</w:t>
            </w:r>
          </w:p>
        </w:tc>
        <w:tc>
          <w:tcPr>
            <w:tcW w:w="2471" w:type="dxa"/>
            <w:vAlign w:val="center"/>
          </w:tcPr>
          <w:p>
            <w:pPr>
              <w:snapToGrid w:val="0"/>
              <w:rPr>
                <w:szCs w:val="24"/>
              </w:rPr>
            </w:pPr>
            <w:r>
              <w:rPr>
                <w:rFonts w:hint="eastAsia"/>
                <w:szCs w:val="24"/>
              </w:rPr>
              <w:t>社保证明材料</w:t>
            </w:r>
          </w:p>
        </w:tc>
        <w:tc>
          <w:tcPr>
            <w:tcW w:w="6051" w:type="dxa"/>
            <w:vAlign w:val="center"/>
          </w:tcPr>
          <w:p>
            <w:pPr>
              <w:snapToGrid w:val="0"/>
            </w:pPr>
            <w:r>
              <w:rPr>
                <w:rFonts w:hint="eastAsia"/>
              </w:rPr>
              <w:t>本项目招标文件中要求提供的社保</w:t>
            </w:r>
            <w:r>
              <w:t>证明材料</w:t>
            </w:r>
            <w:r>
              <w:rPr>
                <w:rFonts w:hint="eastAsia"/>
              </w:rPr>
              <w:t>为下述形式之一（投标文件中须提供扫描件）：</w:t>
            </w:r>
          </w:p>
          <w:p>
            <w:pPr>
              <w:snapToGrid w:val="0"/>
            </w:pPr>
            <w:r>
              <w:rPr>
                <w:rFonts w:hint="eastAsia"/>
              </w:rPr>
              <w:t>（1）社保局官方网站查询的缴费记录截图；</w:t>
            </w:r>
          </w:p>
          <w:p>
            <w:pPr>
              <w:snapToGrid w:val="0"/>
            </w:pPr>
            <w:r>
              <w:rPr>
                <w:rFonts w:hint="eastAsia"/>
              </w:rPr>
              <w:t>（2）社保局的书面证明材料；</w:t>
            </w:r>
          </w:p>
          <w:p>
            <w:pPr>
              <w:snapToGrid w:val="0"/>
            </w:pPr>
            <w:r>
              <w:rPr>
                <w:rFonts w:hint="eastAsia"/>
              </w:rPr>
              <w:t>（3）经投标人委托的第三方人力资源服务机构或与投标人有直接隶属关系的机构可以代缴社保，但须提供有关证明材料并经评标委员会确认。</w:t>
            </w:r>
          </w:p>
          <w:p>
            <w:pPr>
              <w:snapToGrid w:val="0"/>
            </w:pPr>
            <w:r>
              <w:rPr>
                <w:rFonts w:hint="eastAsia"/>
              </w:rPr>
              <w:t>（4）参与投标的院校，社保证明可以用以下任意一种：</w:t>
            </w:r>
          </w:p>
          <w:p>
            <w:pPr>
              <w:snapToGrid w:val="0"/>
            </w:pPr>
            <w:r>
              <w:rPr>
                <w:rFonts w:hint="eastAsia"/>
              </w:rPr>
              <w:t>①加盖投标人公章的教师证（须为本单位人员）；</w:t>
            </w:r>
          </w:p>
          <w:p>
            <w:pPr>
              <w:snapToGrid w:val="0"/>
            </w:pPr>
            <w:r>
              <w:rPr>
                <w:rFonts w:hint="eastAsia"/>
              </w:rPr>
              <w:t>②医保证明材料。</w:t>
            </w:r>
          </w:p>
          <w:p>
            <w:pPr>
              <w:snapToGrid w:val="0"/>
            </w:pPr>
            <w:r>
              <w:rPr>
                <w:rFonts w:hint="eastAsia"/>
              </w:rPr>
              <w:t>（5）其他经评标委员会认可的证明材料。</w:t>
            </w:r>
          </w:p>
          <w:p>
            <w:pPr>
              <w:snapToGrid w:val="0"/>
            </w:pPr>
            <w:r>
              <w:rPr>
                <w:rFonts w:hint="eastAsia"/>
              </w:rPr>
              <w:t>（6）法定代表人参与项目的，无需提供社保证明材料，提供身份证明扫描件即可。</w:t>
            </w:r>
          </w:p>
        </w:tc>
      </w:tr>
    </w:tbl>
    <w:p/>
    <w:p>
      <w:pPr>
        <w:jc w:val="center"/>
        <w:rPr>
          <w:rFonts w:ascii="黑体" w:eastAsia="黑体"/>
          <w:sz w:val="28"/>
          <w:szCs w:val="28"/>
        </w:rPr>
      </w:pPr>
    </w:p>
    <w:p>
      <w:pPr>
        <w:pStyle w:val="28"/>
        <w:adjustRightInd w:val="0"/>
        <w:snapToGrid w:val="0"/>
        <w:spacing w:line="400" w:lineRule="exact"/>
        <w:jc w:val="left"/>
        <w:rPr>
          <w:rFonts w:ascii="Times New Roman" w:hAnsi="Times New Roman"/>
          <w:bCs/>
          <w:snapToGrid w:val="0"/>
          <w:kern w:val="0"/>
          <w:szCs w:val="21"/>
        </w:rPr>
      </w:pPr>
      <w:bookmarkStart w:id="5" w:name="_Toc460226725"/>
      <w:bookmarkStart w:id="6" w:name="_Toc460226994"/>
      <w:bookmarkStart w:id="7" w:name="_Toc460660067"/>
      <w:bookmarkStart w:id="8" w:name="_Toc184635071"/>
    </w:p>
    <w:p>
      <w:pPr>
        <w:pStyle w:val="28"/>
        <w:adjustRightInd w:val="0"/>
        <w:snapToGrid w:val="0"/>
        <w:spacing w:line="400" w:lineRule="exact"/>
        <w:jc w:val="left"/>
        <w:rPr>
          <w:rFonts w:ascii="Times New Roman" w:hAnsi="Times New Roman"/>
          <w:bCs/>
          <w:snapToGrid w:val="0"/>
          <w:kern w:val="0"/>
          <w:szCs w:val="21"/>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p>
    <w:bookmarkEnd w:id="5"/>
    <w:bookmarkEnd w:id="6"/>
    <w:bookmarkEnd w:id="7"/>
    <w:bookmarkEnd w:id="8"/>
    <w:p>
      <w:pPr>
        <w:pStyle w:val="2"/>
        <w:spacing w:line="500" w:lineRule="exact"/>
        <w:rPr>
          <w:rFonts w:eastAsia="宋体"/>
          <w:sz w:val="24"/>
          <w:szCs w:val="24"/>
        </w:rPr>
      </w:pPr>
      <w:bookmarkStart w:id="9" w:name="_Toc4981"/>
      <w:r>
        <w:rPr>
          <w:rFonts w:hint="eastAsia" w:eastAsia="宋体"/>
        </w:rPr>
        <w:t>投标人须知正文</w:t>
      </w:r>
      <w:bookmarkEnd w:id="9"/>
    </w:p>
    <w:p>
      <w:pPr>
        <w:pStyle w:val="6"/>
        <w:spacing w:line="500" w:lineRule="exact"/>
        <w:jc w:val="both"/>
        <w:rPr>
          <w:rFonts w:hAnsi="宋体"/>
          <w:sz w:val="28"/>
        </w:rPr>
      </w:pPr>
      <w:bookmarkStart w:id="10" w:name="_Hlt509650686"/>
      <w:bookmarkEnd w:id="10"/>
      <w:bookmarkStart w:id="11" w:name="_Hlt509649722"/>
      <w:bookmarkEnd w:id="11"/>
      <w:bookmarkStart w:id="12" w:name="_Hlt509649998"/>
      <w:bookmarkEnd w:id="12"/>
      <w:bookmarkStart w:id="13" w:name="_Hlt526418143"/>
      <w:bookmarkEnd w:id="13"/>
      <w:bookmarkStart w:id="14" w:name="_Hlt509650955"/>
      <w:bookmarkEnd w:id="14"/>
      <w:bookmarkStart w:id="15" w:name="_Hlt509650126"/>
      <w:bookmarkEnd w:id="15"/>
      <w:bookmarkStart w:id="16" w:name="_Toc50128749"/>
      <w:r>
        <w:rPr>
          <w:rFonts w:hint="eastAsia" w:hAnsi="宋体"/>
          <w:sz w:val="28"/>
        </w:rPr>
        <w:t>一．总    则</w:t>
      </w:r>
      <w:bookmarkEnd w:id="16"/>
    </w:p>
    <w:p>
      <w:pPr>
        <w:spacing w:line="360" w:lineRule="auto"/>
        <w:ind w:firstLine="550"/>
        <w:rPr>
          <w:rFonts w:hAnsi="宋体"/>
          <w:b/>
          <w:szCs w:val="24"/>
        </w:rPr>
      </w:pPr>
      <w:r>
        <w:rPr>
          <w:rFonts w:hAnsi="宋体"/>
          <w:b/>
          <w:szCs w:val="24"/>
        </w:rPr>
        <w:t>1</w:t>
      </w:r>
      <w:r>
        <w:rPr>
          <w:rFonts w:hint="eastAsia" w:hAnsi="宋体"/>
          <w:b/>
          <w:szCs w:val="24"/>
        </w:rPr>
        <w:t>.适用范围</w:t>
      </w:r>
    </w:p>
    <w:p>
      <w:pPr>
        <w:spacing w:line="360" w:lineRule="auto"/>
        <w:ind w:firstLine="550"/>
        <w:rPr>
          <w:rFonts w:hAnsi="宋体"/>
          <w:szCs w:val="24"/>
        </w:rPr>
      </w:pPr>
      <w:r>
        <w:rPr>
          <w:rFonts w:hAnsi="宋体"/>
          <w:szCs w:val="24"/>
        </w:rPr>
        <w:t>1.</w:t>
      </w:r>
      <w:r>
        <w:rPr>
          <w:rFonts w:hint="eastAsia" w:hAnsi="宋体"/>
          <w:szCs w:val="24"/>
        </w:rPr>
        <w:t>1本磋商文件仅适用于本次磋商公告所述项目招标。</w:t>
      </w:r>
    </w:p>
    <w:p>
      <w:pPr>
        <w:spacing w:line="360" w:lineRule="auto"/>
        <w:ind w:firstLine="550"/>
        <w:rPr>
          <w:rFonts w:hAnsi="宋体"/>
          <w:b/>
          <w:szCs w:val="24"/>
        </w:rPr>
      </w:pPr>
      <w:r>
        <w:rPr>
          <w:rFonts w:hint="eastAsia" w:hAnsi="宋体"/>
          <w:b/>
          <w:szCs w:val="24"/>
        </w:rPr>
        <w:t>2.有关定义</w:t>
      </w:r>
    </w:p>
    <w:p>
      <w:pPr>
        <w:spacing w:line="360" w:lineRule="auto"/>
        <w:ind w:firstLine="550"/>
        <w:rPr>
          <w:rFonts w:hAnsi="宋体"/>
          <w:szCs w:val="24"/>
        </w:rPr>
      </w:pPr>
      <w:r>
        <w:rPr>
          <w:rFonts w:hint="eastAsia" w:hAnsi="宋体"/>
          <w:szCs w:val="24"/>
        </w:rPr>
        <w:t>2.1招标人：系指本次招标项目的业主方。</w:t>
      </w:r>
    </w:p>
    <w:p>
      <w:pPr>
        <w:spacing w:line="360" w:lineRule="auto"/>
        <w:ind w:firstLine="550"/>
        <w:rPr>
          <w:rFonts w:hAnsi="宋体"/>
          <w:szCs w:val="24"/>
        </w:rPr>
      </w:pPr>
      <w:r>
        <w:rPr>
          <w:rFonts w:hint="eastAsia" w:hAnsi="宋体"/>
          <w:szCs w:val="24"/>
        </w:rPr>
        <w:t>2.2委托人：系指本次招标项目的委托方。</w:t>
      </w:r>
    </w:p>
    <w:p>
      <w:pPr>
        <w:spacing w:line="360" w:lineRule="auto"/>
        <w:ind w:firstLine="550"/>
        <w:rPr>
          <w:rFonts w:hAnsi="宋体"/>
          <w:szCs w:val="24"/>
        </w:rPr>
      </w:pPr>
      <w:r>
        <w:rPr>
          <w:rFonts w:hint="eastAsia" w:hAnsi="宋体"/>
          <w:szCs w:val="24"/>
        </w:rPr>
        <w:t>2.4投标人：系指按规定获取了本磋商文件，且已经提交或准备提交本次响应文件的法人或者其他组织。</w:t>
      </w:r>
    </w:p>
    <w:p>
      <w:pPr>
        <w:spacing w:line="360" w:lineRule="auto"/>
        <w:ind w:firstLine="550"/>
        <w:rPr>
          <w:rFonts w:hAnsi="宋体"/>
        </w:rPr>
      </w:pPr>
      <w:r>
        <w:rPr>
          <w:rFonts w:hint="eastAsia" w:hAnsi="宋体"/>
          <w:b/>
        </w:rPr>
        <w:t>2.7业绩：</w:t>
      </w:r>
      <w:r>
        <w:rPr>
          <w:rFonts w:hint="eastAsia" w:hAnsi="宋体"/>
        </w:rPr>
        <w:t>投标人与其关联公司（如母公司、分公司、全资子公司、控股子公司、同一法定代表人的公司）之间签订的合同，均不予认可。</w:t>
      </w:r>
    </w:p>
    <w:p>
      <w:pPr>
        <w:spacing w:line="360" w:lineRule="auto"/>
        <w:ind w:firstLine="550"/>
        <w:rPr>
          <w:rFonts w:hAnsi="宋体"/>
          <w:b/>
          <w:szCs w:val="24"/>
        </w:rPr>
      </w:pPr>
      <w:r>
        <w:rPr>
          <w:rFonts w:hint="eastAsia" w:hAnsi="宋体"/>
          <w:b/>
          <w:szCs w:val="24"/>
        </w:rPr>
        <w:t>3.投标费用</w:t>
      </w:r>
    </w:p>
    <w:p>
      <w:pPr>
        <w:spacing w:line="360" w:lineRule="auto"/>
        <w:ind w:firstLine="550"/>
        <w:rPr>
          <w:rFonts w:hAnsi="宋体"/>
          <w:szCs w:val="24"/>
        </w:rPr>
      </w:pPr>
      <w:r>
        <w:rPr>
          <w:rFonts w:hint="eastAsia" w:hAnsi="宋体"/>
          <w:szCs w:val="24"/>
        </w:rPr>
        <w:t>3.1无论投标结果如何，投标人应自行承担其编制与递交响应文件所涉及的一切费用。</w:t>
      </w:r>
    </w:p>
    <w:p>
      <w:pPr>
        <w:spacing w:line="360" w:lineRule="auto"/>
        <w:ind w:firstLine="550"/>
        <w:rPr>
          <w:rFonts w:hAnsi="宋体"/>
          <w:b/>
          <w:bCs/>
          <w:szCs w:val="24"/>
        </w:rPr>
      </w:pPr>
      <w:r>
        <w:rPr>
          <w:rFonts w:hint="eastAsia" w:hAnsi="宋体"/>
          <w:b/>
          <w:bCs/>
          <w:szCs w:val="24"/>
        </w:rPr>
        <w:t>4.合格的投标人</w:t>
      </w:r>
    </w:p>
    <w:p>
      <w:pPr>
        <w:spacing w:line="360" w:lineRule="auto"/>
        <w:ind w:firstLine="523" w:firstLineChars="218"/>
        <w:rPr>
          <w:rFonts w:hAnsi="宋体"/>
          <w:szCs w:val="24"/>
        </w:rPr>
      </w:pPr>
      <w:r>
        <w:rPr>
          <w:rFonts w:hint="eastAsia" w:hAnsi="宋体"/>
          <w:szCs w:val="24"/>
        </w:rPr>
        <w:t>4.1合格的投标人应符合磋商文件载明的投标资格。</w:t>
      </w:r>
    </w:p>
    <w:p>
      <w:pPr>
        <w:spacing w:line="360" w:lineRule="auto"/>
        <w:ind w:firstLine="523" w:firstLineChars="218"/>
        <w:rPr>
          <w:rFonts w:hAnsi="宋体"/>
          <w:szCs w:val="24"/>
        </w:rPr>
      </w:pPr>
      <w:r>
        <w:rPr>
          <w:rFonts w:hint="eastAsia" w:hAnsi="宋体"/>
          <w:szCs w:val="24"/>
        </w:rPr>
        <w:t>4.1.1除非磋商文件认可，否则母、子公司之间的业绩、资质不得互用。</w:t>
      </w:r>
    </w:p>
    <w:p>
      <w:pPr>
        <w:spacing w:line="360" w:lineRule="auto"/>
        <w:ind w:firstLine="523" w:firstLineChars="218"/>
        <w:rPr>
          <w:rFonts w:hAnsi="宋体"/>
          <w:szCs w:val="24"/>
        </w:rPr>
      </w:pPr>
      <w:r>
        <w:rPr>
          <w:rFonts w:hint="eastAsia" w:hAnsi="宋体"/>
          <w:szCs w:val="24"/>
        </w:rPr>
        <w:t>4.2与招标人存在利害关系可能影响招标公正性的法人、其他组织或个人，不得参加投标。</w:t>
      </w:r>
    </w:p>
    <w:p>
      <w:pPr>
        <w:spacing w:line="360" w:lineRule="auto"/>
        <w:ind w:firstLine="523" w:firstLineChars="218"/>
        <w:rPr>
          <w:rFonts w:hAnsi="宋体"/>
          <w:szCs w:val="24"/>
        </w:rPr>
      </w:pPr>
      <w:r>
        <w:rPr>
          <w:rFonts w:hint="eastAsia" w:hAnsi="宋体"/>
          <w:szCs w:val="24"/>
        </w:rPr>
        <w:t>单位负责人为同一人或者存在控股、管理关系的不同单位，不得参加同一标段投标或者未划分标段的同一招标项目投标。</w:t>
      </w:r>
    </w:p>
    <w:p>
      <w:pPr>
        <w:spacing w:line="360" w:lineRule="auto"/>
        <w:ind w:firstLine="523" w:firstLineChars="218"/>
        <w:rPr>
          <w:rFonts w:hAnsi="宋体"/>
          <w:szCs w:val="24"/>
        </w:rPr>
      </w:pPr>
      <w:r>
        <w:rPr>
          <w:rFonts w:hint="eastAsia" w:hAnsi="宋体"/>
          <w:szCs w:val="24"/>
        </w:rPr>
        <w:t>违反前两款规定的，相关投标均无效。</w:t>
      </w:r>
    </w:p>
    <w:p>
      <w:pPr>
        <w:spacing w:line="360" w:lineRule="auto"/>
        <w:ind w:firstLine="550"/>
        <w:rPr>
          <w:rFonts w:hAnsi="宋体"/>
          <w:b/>
          <w:szCs w:val="24"/>
        </w:rPr>
      </w:pPr>
      <w:r>
        <w:rPr>
          <w:rFonts w:hint="eastAsia" w:hAnsi="宋体"/>
          <w:b/>
          <w:szCs w:val="24"/>
        </w:rPr>
        <w:t>5.踏勘现场</w:t>
      </w:r>
    </w:p>
    <w:p>
      <w:pPr>
        <w:spacing w:line="360" w:lineRule="auto"/>
        <w:ind w:firstLine="550"/>
        <w:rPr>
          <w:rFonts w:hAnsi="宋体"/>
          <w:szCs w:val="24"/>
        </w:rPr>
      </w:pPr>
      <w:r>
        <w:rPr>
          <w:rFonts w:hint="eastAsia" w:hAnsi="宋体"/>
          <w:szCs w:val="24"/>
        </w:rPr>
        <w:t>5.1投标人应自行对服务现场和周围环境进行踏勘，以获取编制响应文件和签署合同所需的资料。踏勘现场的方式、地址及联系方式见投标人须知前附表（如有）。</w:t>
      </w:r>
    </w:p>
    <w:p>
      <w:pPr>
        <w:spacing w:line="360" w:lineRule="auto"/>
        <w:ind w:firstLine="550"/>
        <w:rPr>
          <w:rFonts w:hAnsi="宋体"/>
          <w:szCs w:val="24"/>
        </w:rPr>
      </w:pPr>
      <w:r>
        <w:rPr>
          <w:rFonts w:hint="eastAsia" w:hAnsi="宋体"/>
          <w:szCs w:val="24"/>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Ansi="宋体"/>
          <w:szCs w:val="24"/>
        </w:rPr>
      </w:pPr>
      <w:r>
        <w:rPr>
          <w:rFonts w:hint="eastAsia" w:hAnsi="宋体"/>
          <w:szCs w:val="24"/>
        </w:rPr>
        <w:t>5.3除非有特殊要求，磋商文件不单独提供服务地点的自然环境、气候条件、公用设施等情况，投标人被视为熟悉上述与履行合同有关的一切情况。</w:t>
      </w:r>
    </w:p>
    <w:p>
      <w:pPr>
        <w:spacing w:line="360" w:lineRule="auto"/>
        <w:ind w:firstLine="550"/>
        <w:rPr>
          <w:rFonts w:hAnsi="宋体"/>
          <w:bCs/>
          <w:szCs w:val="24"/>
        </w:rPr>
      </w:pPr>
      <w:r>
        <w:rPr>
          <w:rFonts w:hint="eastAsia" w:hAnsi="宋体"/>
          <w:b/>
          <w:szCs w:val="24"/>
        </w:rPr>
        <w:t>6.知识产权</w:t>
      </w:r>
    </w:p>
    <w:p>
      <w:pPr>
        <w:spacing w:line="360" w:lineRule="auto"/>
        <w:ind w:firstLine="549"/>
        <w:rPr>
          <w:rFonts w:hAnsi="宋体"/>
          <w:bCs/>
          <w:szCs w:val="24"/>
        </w:rPr>
      </w:pPr>
      <w:r>
        <w:rPr>
          <w:rFonts w:hint="eastAsia" w:hAnsi="宋体"/>
          <w:szCs w:val="24"/>
        </w:rPr>
        <w:t>6.1</w:t>
      </w:r>
      <w:r>
        <w:rPr>
          <w:rFonts w:hint="eastAsia" w:hAnsi="宋体"/>
          <w:bCs/>
          <w:szCs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hAnsi="宋体"/>
          <w:szCs w:val="24"/>
        </w:rPr>
        <w:t>如因此导致招标人损失的，投标人须承担全部赔偿责任。</w:t>
      </w:r>
    </w:p>
    <w:p>
      <w:pPr>
        <w:spacing w:line="360" w:lineRule="auto"/>
        <w:ind w:firstLine="549"/>
        <w:rPr>
          <w:rFonts w:hAnsi="宋体"/>
          <w:b/>
          <w:szCs w:val="24"/>
        </w:rPr>
      </w:pPr>
      <w:r>
        <w:rPr>
          <w:rFonts w:hint="eastAsia" w:hAnsi="宋体"/>
          <w:b/>
          <w:szCs w:val="24"/>
        </w:rPr>
        <w:t>7.纪律与保密</w:t>
      </w:r>
    </w:p>
    <w:p>
      <w:pPr>
        <w:spacing w:line="360" w:lineRule="auto"/>
        <w:ind w:firstLine="549"/>
        <w:rPr>
          <w:rFonts w:hAnsi="宋体"/>
        </w:rPr>
      </w:pPr>
      <w:r>
        <w:rPr>
          <w:rFonts w:hint="eastAsia" w:hAnsi="宋体"/>
        </w:rPr>
        <w:t>7.1投标人的投标行为应遵守中国的有关法律、法规和规章。</w:t>
      </w:r>
    </w:p>
    <w:p>
      <w:pPr>
        <w:spacing w:line="360" w:lineRule="auto"/>
        <w:ind w:firstLine="549"/>
        <w:rPr>
          <w:rFonts w:hAnsi="宋体"/>
        </w:rPr>
      </w:pPr>
      <w:r>
        <w:rPr>
          <w:rFonts w:hint="eastAsia" w:hAnsi="宋体"/>
        </w:rPr>
        <w:t>7.2</w:t>
      </w:r>
      <w:r>
        <w:rPr>
          <w:rFonts w:hAnsi="宋体"/>
        </w:rPr>
        <w:t xml:space="preserve">投标人不得相互串通投标报价，不得排挤其他投标人的公平竞争，损害招标人或者其他投标人的合法权益。 </w:t>
      </w:r>
    </w:p>
    <w:p>
      <w:pPr>
        <w:spacing w:line="360" w:lineRule="auto"/>
        <w:ind w:firstLine="619" w:firstLineChars="258"/>
        <w:rPr>
          <w:rFonts w:hAnsi="宋体"/>
        </w:rPr>
      </w:pPr>
      <w:r>
        <w:rPr>
          <w:rFonts w:hAnsi="宋体"/>
        </w:rPr>
        <w:t>投标人不得与招标人串通投标，损害国家利益、社会公共利益或者他人的合法权益。 禁止投标人以向招标人或者磋商小组成员行贿的手段谋取中标。</w:t>
      </w:r>
    </w:p>
    <w:p>
      <w:pPr>
        <w:spacing w:line="360" w:lineRule="auto"/>
        <w:ind w:firstLine="549"/>
        <w:rPr>
          <w:rFonts w:hAnsi="宋体"/>
        </w:rPr>
      </w:pPr>
      <w:r>
        <w:rPr>
          <w:rFonts w:hAnsi="宋体"/>
        </w:rPr>
        <w:t>投标人不得以低于成本的报价竞标，也不得以他人名义投标或者以其他方式弄虚作假，骗取中标。</w:t>
      </w:r>
    </w:p>
    <w:p>
      <w:pPr>
        <w:spacing w:line="360" w:lineRule="auto"/>
        <w:ind w:firstLine="549"/>
        <w:rPr>
          <w:rFonts w:hAnsi="宋体"/>
          <w:szCs w:val="24"/>
        </w:rPr>
      </w:pPr>
      <w:r>
        <w:rPr>
          <w:rFonts w:hint="eastAsia" w:hAnsi="宋体"/>
          <w:szCs w:val="24"/>
        </w:rPr>
        <w:t>7.3在确定中标人之前，投标人不得与招标人就投标价格、投标方案等实质性内容进行谈判，也不得私下接触磋商小组成员。</w:t>
      </w:r>
    </w:p>
    <w:p>
      <w:pPr>
        <w:spacing w:line="360" w:lineRule="auto"/>
        <w:ind w:firstLine="549"/>
        <w:rPr>
          <w:rFonts w:hAnsi="宋体"/>
          <w:szCs w:val="24"/>
        </w:rPr>
      </w:pPr>
      <w:r>
        <w:rPr>
          <w:rFonts w:hint="eastAsia" w:hAnsi="宋体"/>
          <w:szCs w:val="24"/>
        </w:rPr>
        <w:t>7.4在确定中标人之前，投标人试图在响应文件审查、澄清、比较和评价时对磋商小组、招标人施加任何影响都可能导致其投标无效。</w:t>
      </w:r>
    </w:p>
    <w:p>
      <w:pPr>
        <w:spacing w:line="360" w:lineRule="auto"/>
        <w:ind w:firstLine="549"/>
        <w:rPr>
          <w:rFonts w:hAnsi="宋体"/>
          <w:b/>
          <w:bCs/>
          <w:szCs w:val="24"/>
        </w:rPr>
      </w:pPr>
      <w:r>
        <w:rPr>
          <w:rFonts w:hint="eastAsia" w:hAnsi="宋体"/>
          <w:szCs w:val="24"/>
        </w:rPr>
        <w:t>7.5由招标人向投标人提供的图纸、详细资料、样品、模型、模件和所有其它资料，被视为保密资料，仅被用于它所规定的用途。除非得到招标人的同意，不能向任何第三方透露。磋商结束后，应招标人要求，投标人应归还所有从招标人处获得的保密资料。</w:t>
      </w:r>
    </w:p>
    <w:p>
      <w:pPr>
        <w:spacing w:line="360" w:lineRule="auto"/>
        <w:ind w:firstLine="549"/>
        <w:rPr>
          <w:rFonts w:hAnsi="宋体"/>
          <w:b/>
          <w:szCs w:val="24"/>
        </w:rPr>
      </w:pPr>
      <w:r>
        <w:rPr>
          <w:rFonts w:hint="eastAsia" w:hAnsi="宋体"/>
          <w:b/>
          <w:szCs w:val="24"/>
        </w:rPr>
        <w:t>8.联合体磋商</w:t>
      </w:r>
    </w:p>
    <w:p>
      <w:pPr>
        <w:spacing w:line="360" w:lineRule="auto"/>
        <w:ind w:firstLine="549"/>
        <w:rPr>
          <w:rFonts w:hAnsi="宋体"/>
          <w:szCs w:val="24"/>
        </w:rPr>
      </w:pPr>
      <w:r>
        <w:rPr>
          <w:rFonts w:hint="eastAsia" w:hAnsi="宋体"/>
          <w:szCs w:val="24"/>
        </w:rPr>
        <w:t>8.1除非本项目明确要求不接受联合体形式磋商外，</w:t>
      </w:r>
      <w:r>
        <w:rPr>
          <w:rFonts w:hAnsi="宋体"/>
          <w:szCs w:val="24"/>
        </w:rPr>
        <w:t>两个以上法人</w:t>
      </w:r>
      <w:r>
        <w:rPr>
          <w:rFonts w:hint="eastAsia" w:hAnsi="宋体"/>
          <w:szCs w:val="24"/>
        </w:rPr>
        <w:t>（磋商文件如有约定，从其约定）</w:t>
      </w:r>
      <w:r>
        <w:rPr>
          <w:rFonts w:hAnsi="宋体"/>
          <w:szCs w:val="24"/>
        </w:rPr>
        <w:t>或者其他组织可以组成一个联合体，以一个投标人的身份共同</w:t>
      </w:r>
      <w:r>
        <w:rPr>
          <w:rFonts w:hint="eastAsia" w:hAnsi="宋体"/>
        </w:rPr>
        <w:t>磋商</w:t>
      </w:r>
      <w:r>
        <w:rPr>
          <w:rFonts w:hAnsi="宋体"/>
          <w:szCs w:val="24"/>
        </w:rPr>
        <w:t>。</w:t>
      </w:r>
    </w:p>
    <w:p>
      <w:pPr>
        <w:spacing w:line="360" w:lineRule="auto"/>
        <w:ind w:firstLine="549"/>
        <w:rPr>
          <w:rFonts w:hAnsi="宋体"/>
          <w:szCs w:val="24"/>
        </w:rPr>
      </w:pPr>
      <w:r>
        <w:rPr>
          <w:rFonts w:hint="eastAsia" w:hAnsi="宋体"/>
          <w:szCs w:val="24"/>
        </w:rPr>
        <w:t>8.2以联合体形式参加</w:t>
      </w:r>
      <w:r>
        <w:rPr>
          <w:rFonts w:hint="eastAsia" w:hAnsi="宋体"/>
        </w:rPr>
        <w:t>磋商</w:t>
      </w:r>
      <w:r>
        <w:rPr>
          <w:rFonts w:hint="eastAsia" w:hAnsi="宋体"/>
          <w:szCs w:val="24"/>
        </w:rPr>
        <w:t>的，</w:t>
      </w:r>
      <w:r>
        <w:rPr>
          <w:rFonts w:hAnsi="宋体"/>
          <w:szCs w:val="24"/>
        </w:rPr>
        <w:t>联合体各方均应当具备承担</w:t>
      </w:r>
      <w:r>
        <w:rPr>
          <w:rFonts w:hint="eastAsia" w:hAnsi="宋体"/>
        </w:rPr>
        <w:t>磋商</w:t>
      </w:r>
      <w:r>
        <w:rPr>
          <w:rFonts w:hAnsi="宋体"/>
          <w:szCs w:val="24"/>
        </w:rPr>
        <w:t>项目的相应能力；国家有关规定或者磋商文件对投标人资格条件有规定的，联合体各方均应当具备规定的相应资格条件。由同一专业的单位组成的联合体，按照资质等级较低的单位确定资质等级。</w:t>
      </w:r>
    </w:p>
    <w:p>
      <w:pPr>
        <w:spacing w:line="360" w:lineRule="auto"/>
        <w:ind w:firstLine="549"/>
        <w:rPr>
          <w:rFonts w:hAnsi="宋体"/>
          <w:szCs w:val="24"/>
        </w:rPr>
      </w:pPr>
      <w:r>
        <w:rPr>
          <w:rFonts w:hint="eastAsia" w:hAnsi="宋体"/>
          <w:szCs w:val="24"/>
        </w:rPr>
        <w:t>8.3</w:t>
      </w:r>
      <w:r>
        <w:rPr>
          <w:rFonts w:hAnsi="宋体"/>
          <w:szCs w:val="24"/>
        </w:rPr>
        <w:t>联合体各方应当签订</w:t>
      </w:r>
      <w:r>
        <w:rPr>
          <w:rFonts w:hint="eastAsia" w:hAnsi="宋体"/>
          <w:szCs w:val="24"/>
        </w:rPr>
        <w:t>联合体</w:t>
      </w:r>
      <w:r>
        <w:rPr>
          <w:rFonts w:hAnsi="宋体"/>
          <w:szCs w:val="24"/>
        </w:rPr>
        <w:t>协议，明确约定各方拟承担的工作和责任，并将</w:t>
      </w:r>
      <w:r>
        <w:rPr>
          <w:rFonts w:hint="eastAsia" w:hAnsi="宋体"/>
          <w:szCs w:val="24"/>
        </w:rPr>
        <w:t>联合体</w:t>
      </w:r>
      <w:r>
        <w:rPr>
          <w:rFonts w:hAnsi="宋体"/>
          <w:szCs w:val="24"/>
        </w:rPr>
        <w:t>协议连同响应文件一并提交。联合体中标的，联合体各方应当共同与招标人签订合同，就中标项目向招标人承担连带责任。联合体各方在同一招标项目</w:t>
      </w:r>
      <w:r>
        <w:rPr>
          <w:rFonts w:hint="eastAsia" w:hAnsi="宋体"/>
          <w:szCs w:val="24"/>
        </w:rPr>
        <w:t>（标段）</w:t>
      </w:r>
      <w:r>
        <w:rPr>
          <w:rFonts w:hAnsi="宋体"/>
          <w:szCs w:val="24"/>
        </w:rPr>
        <w:t>中以自己名义单独</w:t>
      </w:r>
      <w:r>
        <w:rPr>
          <w:rFonts w:hint="eastAsia" w:hAnsi="宋体"/>
        </w:rPr>
        <w:t>磋商</w:t>
      </w:r>
      <w:r>
        <w:rPr>
          <w:rFonts w:hAnsi="宋体"/>
          <w:szCs w:val="24"/>
        </w:rPr>
        <w:t>或者参加其他联合体磋商的，相关</w:t>
      </w:r>
      <w:r>
        <w:rPr>
          <w:rFonts w:hint="eastAsia" w:hAnsi="宋体"/>
        </w:rPr>
        <w:t>磋商</w:t>
      </w:r>
      <w:r>
        <w:rPr>
          <w:rFonts w:hAnsi="宋体"/>
          <w:szCs w:val="24"/>
        </w:rPr>
        <w:t>均无效。</w:t>
      </w:r>
    </w:p>
    <w:p>
      <w:pPr>
        <w:spacing w:line="360" w:lineRule="auto"/>
        <w:ind w:firstLine="550"/>
        <w:rPr>
          <w:rFonts w:hAnsi="宋体"/>
          <w:szCs w:val="24"/>
        </w:rPr>
      </w:pPr>
      <w:r>
        <w:rPr>
          <w:rFonts w:hint="eastAsia" w:hAnsi="宋体"/>
          <w:szCs w:val="24"/>
        </w:rPr>
        <w:t>8.4</w:t>
      </w:r>
      <w:r>
        <w:rPr>
          <w:rFonts w:hint="eastAsia" w:hAnsi="宋体"/>
        </w:rPr>
        <w:t>联合体磋商的，磋商保证金由联合体牵头方递交，以一方名义递交保证金的，对联合体各方均具有约束力。</w:t>
      </w:r>
    </w:p>
    <w:p>
      <w:pPr>
        <w:spacing w:line="360" w:lineRule="auto"/>
        <w:ind w:firstLine="550"/>
        <w:rPr>
          <w:rFonts w:hAnsi="宋体"/>
          <w:szCs w:val="24"/>
        </w:rPr>
      </w:pPr>
      <w:r>
        <w:rPr>
          <w:rFonts w:hint="eastAsia" w:hAnsi="宋体"/>
          <w:szCs w:val="24"/>
        </w:rPr>
        <w:t>8.5除磋商文件有明确约定的，联合体参加</w:t>
      </w:r>
      <w:r>
        <w:rPr>
          <w:rFonts w:hint="eastAsia" w:hAnsi="宋体"/>
        </w:rPr>
        <w:t>磋商</w:t>
      </w:r>
      <w:r>
        <w:rPr>
          <w:rFonts w:hint="eastAsia" w:hAnsi="宋体"/>
          <w:szCs w:val="24"/>
        </w:rPr>
        <w:t>的，可以由联合体中的任一方获取磋商文件。</w:t>
      </w:r>
    </w:p>
    <w:p>
      <w:pPr>
        <w:spacing w:line="360" w:lineRule="auto"/>
        <w:ind w:firstLine="525"/>
        <w:rPr>
          <w:rFonts w:hAnsi="宋体"/>
          <w:b/>
          <w:bCs/>
          <w:szCs w:val="24"/>
        </w:rPr>
      </w:pPr>
      <w:r>
        <w:rPr>
          <w:rFonts w:hint="eastAsia" w:hAnsi="宋体"/>
          <w:b/>
          <w:bCs/>
          <w:szCs w:val="24"/>
        </w:rPr>
        <w:t>9.</w:t>
      </w:r>
      <w:r>
        <w:rPr>
          <w:rFonts w:hint="eastAsia" w:hAnsi="宋体"/>
          <w:b/>
          <w:bCs/>
        </w:rPr>
        <w:t>投标专用章的效力</w:t>
      </w:r>
    </w:p>
    <w:p>
      <w:pPr>
        <w:spacing w:line="360" w:lineRule="auto"/>
        <w:ind w:firstLine="525"/>
        <w:rPr>
          <w:rFonts w:hAnsi="宋体"/>
          <w:szCs w:val="24"/>
        </w:rPr>
      </w:pPr>
      <w:r>
        <w:rPr>
          <w:rFonts w:hint="eastAsia" w:hAnsi="宋体"/>
        </w:rPr>
        <w:t>10.1磋商文件中明确要求加盖公章的，投标人必须加盖投标人公章。</w:t>
      </w:r>
      <w:r>
        <w:rPr>
          <w:rFonts w:hAnsi="宋体"/>
        </w:rPr>
        <w:t>在有授权文件(原件</w:t>
      </w:r>
      <w:r>
        <w:rPr>
          <w:rFonts w:hint="eastAsia" w:hAnsi="宋体"/>
        </w:rPr>
        <w:t>或原件的扫描件</w:t>
      </w:r>
      <w:r>
        <w:rPr>
          <w:rFonts w:hAnsi="宋体"/>
        </w:rPr>
        <w:t>)表明投标专用章法律效力等同于</w:t>
      </w:r>
      <w:r>
        <w:rPr>
          <w:rFonts w:hint="eastAsia" w:hAnsi="宋体"/>
        </w:rPr>
        <w:t>投标人</w:t>
      </w:r>
      <w:r>
        <w:rPr>
          <w:rFonts w:hAnsi="宋体"/>
        </w:rPr>
        <w:t>公章的情况下，</w:t>
      </w:r>
      <w:r>
        <w:rPr>
          <w:rFonts w:hint="eastAsia" w:hAnsi="宋体"/>
        </w:rPr>
        <w:t>可以加</w:t>
      </w:r>
      <w:r>
        <w:rPr>
          <w:rFonts w:hAnsi="宋体"/>
        </w:rPr>
        <w:t>盖投标专用章</w:t>
      </w:r>
      <w:r>
        <w:rPr>
          <w:rFonts w:hint="eastAsia" w:hAnsi="宋体"/>
        </w:rPr>
        <w:t>，否则将导致投标无效。</w:t>
      </w:r>
    </w:p>
    <w:p>
      <w:pPr>
        <w:spacing w:line="360" w:lineRule="auto"/>
        <w:ind w:firstLine="550"/>
        <w:rPr>
          <w:rFonts w:hAnsi="宋体"/>
          <w:b/>
          <w:bCs/>
        </w:rPr>
      </w:pPr>
      <w:r>
        <w:rPr>
          <w:rFonts w:hint="eastAsia" w:hAnsi="宋体"/>
          <w:b/>
          <w:bCs/>
        </w:rPr>
        <w:t>10.合同标的转让</w:t>
      </w:r>
    </w:p>
    <w:p>
      <w:pPr>
        <w:spacing w:line="360" w:lineRule="auto"/>
        <w:ind w:firstLine="523" w:firstLineChars="218"/>
        <w:rPr>
          <w:rFonts w:hAnsi="宋体"/>
        </w:rPr>
      </w:pPr>
      <w:r>
        <w:rPr>
          <w:rFonts w:hint="eastAsia" w:hAnsi="宋体"/>
        </w:rPr>
        <w:t xml:space="preserve">10.1合同未约定或者未经招标人同意，中标人不得向他人转让中标项目，也不得将中标项目肢解后分别向他人转让。 </w:t>
      </w:r>
    </w:p>
    <w:p>
      <w:pPr>
        <w:spacing w:line="360" w:lineRule="auto"/>
        <w:ind w:firstLine="523" w:firstLineChars="218"/>
        <w:rPr>
          <w:rFonts w:hAnsi="宋体"/>
        </w:rPr>
      </w:pPr>
      <w:r>
        <w:rPr>
          <w:rFonts w:hint="eastAsia" w:hAnsi="宋体"/>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Ansi="宋体"/>
        </w:rPr>
      </w:pPr>
      <w:r>
        <w:rPr>
          <w:rFonts w:hint="eastAsia" w:hAnsi="宋体"/>
        </w:rPr>
        <w:t>10.3中标人应当就分包项目向招标人负责，接受分包的人就分包项目承担连带责任。</w:t>
      </w:r>
    </w:p>
    <w:p>
      <w:pPr>
        <w:spacing w:line="360" w:lineRule="auto"/>
        <w:ind w:firstLine="550"/>
        <w:rPr>
          <w:rFonts w:hAnsi="宋体"/>
          <w:b/>
          <w:bCs/>
        </w:rPr>
      </w:pPr>
      <w:r>
        <w:rPr>
          <w:rFonts w:hint="eastAsia" w:hAnsi="宋体"/>
          <w:b/>
          <w:bCs/>
        </w:rPr>
        <w:t>11.磋商信息的发布</w:t>
      </w:r>
    </w:p>
    <w:p>
      <w:pPr>
        <w:spacing w:line="360" w:lineRule="auto"/>
        <w:ind w:firstLine="550"/>
        <w:rPr>
          <w:rFonts w:hAnsi="宋体"/>
        </w:rPr>
      </w:pPr>
      <w:r>
        <w:rPr>
          <w:rFonts w:hint="eastAsia" w:hAnsi="宋体"/>
        </w:rPr>
        <w:t>11.1与本次磋商活动相关的信息，将在</w:t>
      </w:r>
      <w:r>
        <w:rPr>
          <w:rFonts w:hint="eastAsia" w:hAnsi="宋体"/>
          <w:szCs w:val="24"/>
        </w:rPr>
        <w:t>招标人官方网站</w:t>
      </w:r>
      <w:r>
        <w:rPr>
          <w:rFonts w:hint="eastAsia" w:hAnsi="宋体"/>
        </w:rPr>
        <w:t>发布。</w:t>
      </w:r>
    </w:p>
    <w:p>
      <w:pPr>
        <w:pStyle w:val="6"/>
        <w:spacing w:line="500" w:lineRule="exact"/>
        <w:jc w:val="both"/>
        <w:rPr>
          <w:rFonts w:hAnsi="宋体"/>
          <w:sz w:val="28"/>
        </w:rPr>
      </w:pPr>
      <w:bookmarkStart w:id="17" w:name="_Toc50128750"/>
      <w:r>
        <w:rPr>
          <w:rFonts w:hint="eastAsia" w:hAnsi="宋体"/>
          <w:sz w:val="28"/>
        </w:rPr>
        <w:t>二．磋商文件</w:t>
      </w:r>
      <w:bookmarkEnd w:id="17"/>
      <w:bookmarkStart w:id="18" w:name="_Hlt509649791"/>
      <w:bookmarkEnd w:id="18"/>
      <w:bookmarkStart w:id="19" w:name="_Hlt509649930"/>
      <w:bookmarkEnd w:id="19"/>
      <w:bookmarkStart w:id="20" w:name="_Hlt509650361"/>
      <w:bookmarkEnd w:id="20"/>
    </w:p>
    <w:p>
      <w:pPr>
        <w:spacing w:line="360" w:lineRule="auto"/>
        <w:ind w:firstLine="549"/>
        <w:rPr>
          <w:rFonts w:hAnsi="宋体"/>
          <w:b/>
          <w:szCs w:val="24"/>
        </w:rPr>
      </w:pPr>
      <w:bookmarkStart w:id="21" w:name="_Hlt509650734"/>
      <w:bookmarkEnd w:id="21"/>
      <w:r>
        <w:rPr>
          <w:rFonts w:hint="eastAsia" w:hAnsi="宋体"/>
          <w:b/>
          <w:szCs w:val="24"/>
        </w:rPr>
        <w:t>12.磋商文件构成</w:t>
      </w:r>
    </w:p>
    <w:p>
      <w:pPr>
        <w:spacing w:line="360" w:lineRule="auto"/>
        <w:ind w:firstLine="549"/>
        <w:rPr>
          <w:rFonts w:hAnsi="宋体"/>
          <w:szCs w:val="24"/>
        </w:rPr>
      </w:pPr>
      <w:r>
        <w:rPr>
          <w:rFonts w:hint="eastAsia" w:hAnsi="宋体"/>
          <w:szCs w:val="24"/>
        </w:rPr>
        <w:t>12</w:t>
      </w:r>
      <w:r>
        <w:rPr>
          <w:rFonts w:hAnsi="宋体"/>
          <w:szCs w:val="24"/>
        </w:rPr>
        <w:t>.1</w:t>
      </w:r>
      <w:r>
        <w:rPr>
          <w:rFonts w:hint="eastAsia" w:hAnsi="宋体"/>
          <w:szCs w:val="24"/>
        </w:rPr>
        <w:t>磋商文件包括以下部分：</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.1第一章：磋商邀请（磋商公告）；</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.2第二章：</w:t>
      </w:r>
      <w:bookmarkStart w:id="22" w:name="_Hlt509650925"/>
      <w:bookmarkEnd w:id="22"/>
      <w:r>
        <w:rPr>
          <w:rFonts w:hint="eastAsia" w:hAnsi="宋体"/>
          <w:szCs w:val="24"/>
        </w:rPr>
        <w:t>投标人须知；</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.3第三章：招标需求；</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.4第四章：磋商与评审办法；</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.5第五章：合同；</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.6第六章：技术标准和要求；</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.7第七章：响应文件格式；</w:t>
      </w:r>
    </w:p>
    <w:p>
      <w:pPr>
        <w:spacing w:line="360" w:lineRule="auto"/>
        <w:ind w:firstLine="523" w:firstLineChars="218"/>
        <w:rPr>
          <w:rFonts w:hAnsi="宋体"/>
          <w:szCs w:val="24"/>
        </w:rPr>
      </w:pPr>
      <w:r>
        <w:rPr>
          <w:rFonts w:hint="eastAsia" w:hAnsi="宋体"/>
          <w:szCs w:val="24"/>
        </w:rPr>
        <w:t>12.1.9招标人发布的图纸、答疑、补遗、补充通知（如有）等。</w:t>
      </w:r>
    </w:p>
    <w:p>
      <w:pPr>
        <w:spacing w:line="360" w:lineRule="auto"/>
        <w:ind w:firstLine="549"/>
        <w:rPr>
          <w:rFonts w:hAnsi="宋体"/>
          <w:szCs w:val="24"/>
        </w:rPr>
      </w:pPr>
      <w:r>
        <w:rPr>
          <w:rFonts w:hint="eastAsia" w:hAnsi="宋体"/>
          <w:szCs w:val="24"/>
        </w:rPr>
        <w:t>12</w:t>
      </w:r>
      <w:r>
        <w:rPr>
          <w:rFonts w:hAnsi="宋体"/>
          <w:szCs w:val="24"/>
        </w:rPr>
        <w:t>.</w:t>
      </w:r>
      <w:r>
        <w:rPr>
          <w:rFonts w:hint="eastAsia" w:hAnsi="宋体"/>
          <w:szCs w:val="24"/>
        </w:rPr>
        <w:t>2</w:t>
      </w:r>
      <w:r>
        <w:rPr>
          <w:rFonts w:hAnsi="宋体"/>
          <w:szCs w:val="24"/>
        </w:rPr>
        <w:t xml:space="preserve"> </w:t>
      </w:r>
      <w:r>
        <w:rPr>
          <w:rFonts w:hint="eastAsia" w:hAnsi="宋体"/>
          <w:szCs w:val="24"/>
        </w:rPr>
        <w:t>投标人应认真阅读磋商文件中所有的事项、格式、条件、条款和规范等要求。</w:t>
      </w:r>
    </w:p>
    <w:p>
      <w:pPr>
        <w:spacing w:line="360" w:lineRule="auto"/>
        <w:ind w:firstLine="550"/>
        <w:rPr>
          <w:rFonts w:hAnsi="宋体"/>
          <w:szCs w:val="24"/>
        </w:rPr>
      </w:pPr>
      <w:r>
        <w:rPr>
          <w:rFonts w:hint="eastAsia" w:hAnsi="宋体"/>
          <w:szCs w:val="24"/>
        </w:rPr>
        <w:t>12.3投标人应当按照磋商文件的要求编制响应文件。响应文件应对磋商文件提出的要求和条件作出实质性响应。</w:t>
      </w:r>
    </w:p>
    <w:p>
      <w:pPr>
        <w:spacing w:line="360" w:lineRule="auto"/>
        <w:ind w:firstLine="550"/>
        <w:rPr>
          <w:rFonts w:hAnsi="宋体"/>
          <w:szCs w:val="24"/>
        </w:rPr>
      </w:pPr>
      <w:r>
        <w:rPr>
          <w:rFonts w:hint="eastAsia" w:hAnsi="宋体"/>
          <w:szCs w:val="24"/>
        </w:rPr>
        <w:t>12.4投标人获取磋商文件后，应仔细检查磋商文件的所有内容，如有残缺等问题应在获得磋商文件</w:t>
      </w:r>
      <w:r>
        <w:rPr>
          <w:rFonts w:hAnsi="宋体"/>
          <w:szCs w:val="24"/>
        </w:rPr>
        <w:t>3</w:t>
      </w:r>
      <w:r>
        <w:rPr>
          <w:rFonts w:hint="eastAsia" w:hAnsi="宋体"/>
          <w:szCs w:val="24"/>
        </w:rPr>
        <w:t>日内向招标人提出，否则，由此引起的损失由投标人自行承担。</w:t>
      </w:r>
    </w:p>
    <w:p>
      <w:pPr>
        <w:spacing w:line="360" w:lineRule="auto"/>
        <w:ind w:firstLine="549"/>
        <w:rPr>
          <w:rFonts w:hAnsi="宋体"/>
          <w:b/>
          <w:szCs w:val="24"/>
        </w:rPr>
      </w:pPr>
      <w:r>
        <w:rPr>
          <w:rFonts w:hint="eastAsia" w:hAnsi="宋体"/>
          <w:b/>
          <w:szCs w:val="24"/>
        </w:rPr>
        <w:t>13.答疑及磋商文件的澄清与修改</w:t>
      </w:r>
    </w:p>
    <w:p>
      <w:pPr>
        <w:spacing w:line="360" w:lineRule="auto"/>
        <w:ind w:firstLine="550"/>
        <w:rPr>
          <w:rFonts w:hAnsi="宋体"/>
          <w:szCs w:val="24"/>
        </w:rPr>
      </w:pPr>
      <w:r>
        <w:rPr>
          <w:rFonts w:hint="eastAsia" w:hAnsi="宋体"/>
          <w:szCs w:val="24"/>
        </w:rPr>
        <w:t>13</w:t>
      </w:r>
      <w:r>
        <w:rPr>
          <w:rFonts w:hAnsi="宋体"/>
          <w:szCs w:val="24"/>
        </w:rPr>
        <w:t>.</w:t>
      </w:r>
      <w:r>
        <w:rPr>
          <w:rFonts w:hint="eastAsia" w:hAnsi="宋体"/>
          <w:szCs w:val="24"/>
        </w:rPr>
        <w:t>1投标人如果对磋商文件、工程量清单、最高投标限价（招标控制价）及相关附件等磋商文件的其他任何内容有相关疑问，可以于投标人须知前附表列明的答疑接受时间前，通过纸质形式向招标人提出（疑问文件以文档纸质形式（并加盖公章）提供）。</w:t>
      </w:r>
    </w:p>
    <w:p>
      <w:pPr>
        <w:spacing w:line="360" w:lineRule="auto"/>
        <w:ind w:firstLine="550"/>
        <w:rPr>
          <w:rFonts w:hAnsi="宋体"/>
          <w:szCs w:val="24"/>
        </w:rPr>
      </w:pPr>
      <w:r>
        <w:rPr>
          <w:rFonts w:hint="eastAsia" w:hAnsi="宋体"/>
          <w:szCs w:val="24"/>
        </w:rPr>
        <w:t>13.2如磋商文件存在不一致时，优先顺序如下：（1）磋商公告；（2）投标人须知前附表；（3）招标需求；（4）磋商与评审办法；（5）其他。</w:t>
      </w:r>
    </w:p>
    <w:p>
      <w:pPr>
        <w:spacing w:line="360" w:lineRule="auto"/>
        <w:ind w:firstLine="550"/>
        <w:rPr>
          <w:rFonts w:hAnsi="宋体"/>
          <w:szCs w:val="24"/>
        </w:rPr>
      </w:pPr>
      <w:r>
        <w:rPr>
          <w:rFonts w:hint="eastAsia" w:hAnsi="宋体"/>
          <w:szCs w:val="24"/>
        </w:rPr>
        <w:t>13.4招标人对磋商文件进行的答疑、澄清、变更或补充，将在网站上及时发布，该公告内容为磋商文件的组成部分，对投标人具有同样约束力效力。当磋商文件、磋商文件的答疑、澄清、变更或补充等在同一内容的表述上不一致时，</w:t>
      </w:r>
      <w:r>
        <w:rPr>
          <w:rFonts w:hint="eastAsia" w:hAnsi="宋体"/>
        </w:rPr>
        <w:t>以最后发出的文件（公告）为准</w:t>
      </w:r>
      <w:r>
        <w:rPr>
          <w:rFonts w:hint="eastAsia" w:hAnsi="宋体"/>
          <w:szCs w:val="24"/>
        </w:rPr>
        <w:t>。投标人应主动上网查询。招标人不承担投标人未及时关注相关信息引发的相关责任。</w:t>
      </w:r>
    </w:p>
    <w:p>
      <w:pPr>
        <w:spacing w:line="360" w:lineRule="auto"/>
        <w:ind w:firstLine="550"/>
        <w:rPr>
          <w:rFonts w:hAnsi="宋体"/>
          <w:szCs w:val="24"/>
        </w:rPr>
      </w:pPr>
      <w:r>
        <w:rPr>
          <w:rFonts w:hint="eastAsia" w:hAnsi="宋体"/>
          <w:szCs w:val="24"/>
        </w:rPr>
        <w:t>13.5</w:t>
      </w:r>
      <w:r>
        <w:rPr>
          <w:rFonts w:hint="eastAsia" w:hAnsi="宋体"/>
        </w:rPr>
        <w:t>在响应文件提交截止时间前，招标人可以视招标具体情况，延长响应文件提交截止时间和磋商时间，并及时在网站上发布变更（延期）公告。在上述情况下，招标人和投标人在响应文件提交截止期方面的全部权力、责任和义务，将适用于延长后新的响应文件提交截止期。</w:t>
      </w:r>
    </w:p>
    <w:p>
      <w:pPr>
        <w:pStyle w:val="6"/>
        <w:spacing w:line="500" w:lineRule="exact"/>
        <w:jc w:val="both"/>
        <w:rPr>
          <w:rFonts w:hAnsi="宋体"/>
          <w:sz w:val="28"/>
        </w:rPr>
      </w:pPr>
      <w:bookmarkStart w:id="23" w:name="_Hlt509649724"/>
      <w:bookmarkEnd w:id="23"/>
      <w:bookmarkStart w:id="24" w:name="_Hlt509650697"/>
      <w:bookmarkEnd w:id="24"/>
      <w:bookmarkStart w:id="25" w:name="_Hlt510342861"/>
      <w:bookmarkEnd w:id="25"/>
      <w:bookmarkStart w:id="26" w:name="_Toc50128751"/>
      <w:r>
        <w:rPr>
          <w:rFonts w:hint="eastAsia" w:hAnsi="宋体"/>
          <w:sz w:val="28"/>
        </w:rPr>
        <w:t>三．响应文件的编制</w:t>
      </w:r>
      <w:bookmarkEnd w:id="26"/>
    </w:p>
    <w:p>
      <w:pPr>
        <w:spacing w:line="360" w:lineRule="auto"/>
        <w:ind w:firstLine="550"/>
        <w:rPr>
          <w:rFonts w:hAnsi="宋体"/>
          <w:b/>
          <w:szCs w:val="24"/>
        </w:rPr>
      </w:pPr>
      <w:r>
        <w:rPr>
          <w:rFonts w:hint="eastAsia" w:hAnsi="宋体"/>
          <w:b/>
          <w:szCs w:val="24"/>
        </w:rPr>
        <w:t>14.响应文件构成与要求</w:t>
      </w:r>
    </w:p>
    <w:p>
      <w:pPr>
        <w:spacing w:line="360" w:lineRule="auto"/>
        <w:ind w:firstLine="550"/>
        <w:rPr>
          <w:rFonts w:hAnsi="宋体"/>
          <w:szCs w:val="24"/>
        </w:rPr>
      </w:pPr>
      <w:bookmarkStart w:id="27" w:name="_Hlt509650345"/>
      <w:bookmarkEnd w:id="27"/>
      <w:r>
        <w:rPr>
          <w:rFonts w:hint="eastAsia" w:hAnsi="宋体"/>
          <w:szCs w:val="24"/>
        </w:rPr>
        <w:t>14.1响应文件是对磋商文件的实质性响应及承诺文件。</w:t>
      </w:r>
    </w:p>
    <w:p>
      <w:pPr>
        <w:spacing w:line="360" w:lineRule="auto"/>
        <w:ind w:firstLine="550"/>
        <w:jc w:val="left"/>
        <w:rPr>
          <w:rFonts w:hAnsi="宋体"/>
          <w:szCs w:val="24"/>
        </w:rPr>
      </w:pPr>
      <w:r>
        <w:rPr>
          <w:rFonts w:hint="eastAsia" w:hAnsi="宋体"/>
          <w:szCs w:val="24"/>
        </w:rPr>
        <w:t>14.2</w:t>
      </w:r>
      <w:r>
        <w:rPr>
          <w:rFonts w:hint="eastAsia" w:hAnsi="宋体"/>
          <w:bCs/>
          <w:szCs w:val="24"/>
        </w:rPr>
        <w:t>除非注明“投标人</w:t>
      </w:r>
      <w:r>
        <w:rPr>
          <w:rFonts w:hint="eastAsia" w:hAnsi="宋体"/>
          <w:szCs w:val="24"/>
        </w:rPr>
        <w:t>可自行制作格式”，响应文件应使用磋商文件提供的格式。</w:t>
      </w:r>
    </w:p>
    <w:p>
      <w:pPr>
        <w:spacing w:line="360" w:lineRule="auto"/>
        <w:ind w:firstLine="550"/>
        <w:jc w:val="left"/>
        <w:rPr>
          <w:rFonts w:hAnsi="宋体"/>
          <w:szCs w:val="24"/>
        </w:rPr>
      </w:pPr>
      <w:r>
        <w:rPr>
          <w:rFonts w:hint="eastAsia" w:hAnsi="宋体"/>
          <w:szCs w:val="24"/>
        </w:rPr>
        <w:t>14.3除专用术语外，响应文件以及投标人与招标人就有关磋商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Ansi="宋体"/>
          <w:szCs w:val="24"/>
        </w:rPr>
      </w:pPr>
      <w:r>
        <w:rPr>
          <w:rFonts w:hint="eastAsia" w:hAnsi="宋体"/>
          <w:szCs w:val="24"/>
        </w:rPr>
        <w:t>14.4除非磋商文件另有规定，响应文件应使用中华人民共和国法定计量单位。</w:t>
      </w:r>
    </w:p>
    <w:p>
      <w:pPr>
        <w:spacing w:line="360" w:lineRule="auto"/>
        <w:ind w:firstLine="550"/>
        <w:jc w:val="left"/>
        <w:rPr>
          <w:rFonts w:hAnsi="宋体"/>
          <w:szCs w:val="24"/>
        </w:rPr>
      </w:pPr>
      <w:r>
        <w:rPr>
          <w:rFonts w:hint="eastAsia" w:hAnsi="宋体"/>
          <w:szCs w:val="24"/>
        </w:rPr>
        <w:t>14.5除非磋商文件另有规定，响应文件应使用人民币填报所有报价。允许以多种货币报价的，或涉及合同金额等计算的，均按照中国银行在磋商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Ansi="宋体"/>
          <w:szCs w:val="24"/>
        </w:rPr>
      </w:pPr>
      <w:r>
        <w:rPr>
          <w:rFonts w:hint="eastAsia" w:hAnsi="宋体"/>
          <w:szCs w:val="24"/>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Ansi="宋体"/>
          <w:szCs w:val="24"/>
        </w:rPr>
      </w:pPr>
      <w:r>
        <w:rPr>
          <w:rFonts w:hint="eastAsia" w:hAnsi="宋体"/>
          <w:szCs w:val="24"/>
        </w:rPr>
        <w:t>14.7电报、电话、传真形式的投标概不接受。</w:t>
      </w:r>
    </w:p>
    <w:p>
      <w:pPr>
        <w:spacing w:line="360" w:lineRule="auto"/>
        <w:ind w:firstLine="550"/>
        <w:jc w:val="left"/>
        <w:rPr>
          <w:rFonts w:hAnsi="宋体"/>
          <w:b/>
          <w:szCs w:val="24"/>
        </w:rPr>
      </w:pPr>
      <w:r>
        <w:rPr>
          <w:rFonts w:hint="eastAsia" w:hAnsi="宋体"/>
          <w:b/>
          <w:szCs w:val="24"/>
        </w:rPr>
        <w:t>14.8除非磋商文件另有规定，招标人一律不予退还投标人的响应文件。</w:t>
      </w:r>
    </w:p>
    <w:p>
      <w:pPr>
        <w:spacing w:line="360" w:lineRule="auto"/>
        <w:ind w:firstLine="523" w:firstLineChars="218"/>
        <w:rPr>
          <w:rFonts w:hAnsi="宋体"/>
          <w:szCs w:val="24"/>
        </w:rPr>
      </w:pPr>
      <w:r>
        <w:rPr>
          <w:rFonts w:hint="eastAsia" w:hAnsi="宋体"/>
          <w:szCs w:val="24"/>
        </w:rPr>
        <w:t>14.9 本磋商文件所要求的证书、认证、资质，均应当是有权机构颁发，且在有效期内的。</w:t>
      </w:r>
    </w:p>
    <w:p>
      <w:pPr>
        <w:spacing w:line="360" w:lineRule="auto"/>
        <w:ind w:firstLine="550"/>
        <w:rPr>
          <w:rFonts w:hAnsi="宋体"/>
          <w:b/>
          <w:szCs w:val="24"/>
        </w:rPr>
      </w:pPr>
      <w:r>
        <w:rPr>
          <w:rFonts w:hint="eastAsia" w:hAnsi="宋体"/>
          <w:b/>
          <w:szCs w:val="24"/>
        </w:rPr>
        <w:t>15.报价</w:t>
      </w:r>
    </w:p>
    <w:p>
      <w:pPr>
        <w:spacing w:line="360" w:lineRule="auto"/>
        <w:ind w:firstLine="550"/>
        <w:rPr>
          <w:rFonts w:hAnsi="宋体"/>
          <w:szCs w:val="24"/>
        </w:rPr>
      </w:pPr>
      <w:r>
        <w:rPr>
          <w:rFonts w:hint="eastAsia" w:hAnsi="宋体"/>
          <w:szCs w:val="24"/>
        </w:rPr>
        <w:t>15.1投标人应以“标段</w:t>
      </w:r>
      <w:r>
        <w:rPr>
          <w:rFonts w:hAnsi="宋体"/>
          <w:szCs w:val="24"/>
        </w:rPr>
        <w:t>”</w:t>
      </w:r>
      <w:r>
        <w:rPr>
          <w:rFonts w:hint="eastAsia" w:hAnsi="宋体"/>
          <w:szCs w:val="24"/>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Ansi="宋体"/>
          <w:szCs w:val="24"/>
        </w:rPr>
      </w:pPr>
      <w:r>
        <w:rPr>
          <w:rFonts w:hint="eastAsia" w:hAnsi="宋体"/>
          <w:szCs w:val="24"/>
        </w:rPr>
        <w:t>15.2投标人的报价应包含所投工程/服务/货物、保险、税费、验收和交付后约定期限内免费服务等工作所发生的一切应有费用。投标报价为签订合同的依据。</w:t>
      </w:r>
    </w:p>
    <w:p>
      <w:pPr>
        <w:spacing w:line="360" w:lineRule="auto"/>
        <w:ind w:firstLine="550"/>
        <w:rPr>
          <w:rFonts w:hAnsi="宋体"/>
          <w:szCs w:val="24"/>
        </w:rPr>
      </w:pPr>
      <w:r>
        <w:rPr>
          <w:rFonts w:hint="eastAsia" w:hAnsi="宋体"/>
          <w:szCs w:val="24"/>
        </w:rPr>
        <w:t>15.3报价应当低于</w:t>
      </w:r>
      <w:r>
        <w:rPr>
          <w:rFonts w:hAnsi="宋体"/>
          <w:szCs w:val="24"/>
        </w:rPr>
        <w:t>同类货物和服务的市场平均价格。</w:t>
      </w:r>
      <w:r>
        <w:rPr>
          <w:rFonts w:hint="eastAsia" w:hAnsi="宋体"/>
          <w:szCs w:val="24"/>
        </w:rPr>
        <w:t>除非磋商文件另有规定，投标报价均不得高于磋商文件（公告）列明的最高投标限价（招标控制价）、项目概算。</w:t>
      </w:r>
    </w:p>
    <w:p>
      <w:pPr>
        <w:spacing w:line="360" w:lineRule="auto"/>
        <w:ind w:firstLine="550"/>
        <w:rPr>
          <w:rFonts w:hAnsi="宋体"/>
          <w:szCs w:val="24"/>
        </w:rPr>
      </w:pPr>
      <w:r>
        <w:rPr>
          <w:rFonts w:hint="eastAsia" w:hAnsi="宋体"/>
          <w:szCs w:val="24"/>
        </w:rPr>
        <w:t>15.4除非磋商文件另有规定，每一标段只允许有一个最终报价，任何有选择的报价或替代方案将导致投标无效。</w:t>
      </w:r>
    </w:p>
    <w:p>
      <w:pPr>
        <w:spacing w:line="360" w:lineRule="auto"/>
        <w:ind w:firstLine="550"/>
        <w:rPr>
          <w:rFonts w:hAnsi="宋体"/>
          <w:szCs w:val="24"/>
        </w:rPr>
      </w:pPr>
      <w:r>
        <w:rPr>
          <w:rFonts w:hint="eastAsia" w:hAnsi="宋体"/>
          <w:szCs w:val="24"/>
        </w:rPr>
        <w:t>15.5 除政策性文件规定以外，投标人所报价格在合同实施期间不因市场变化因素而变动。</w:t>
      </w:r>
    </w:p>
    <w:p>
      <w:pPr>
        <w:spacing w:line="360" w:lineRule="auto"/>
        <w:ind w:firstLine="549"/>
        <w:rPr>
          <w:rFonts w:hAnsi="宋体"/>
          <w:b/>
          <w:bCs/>
          <w:szCs w:val="24"/>
        </w:rPr>
      </w:pPr>
      <w:r>
        <w:rPr>
          <w:rFonts w:hint="eastAsia" w:hAnsi="宋体"/>
          <w:b/>
          <w:bCs/>
          <w:szCs w:val="24"/>
        </w:rPr>
        <w:t>16.投标内容填写及说明</w:t>
      </w:r>
    </w:p>
    <w:p>
      <w:pPr>
        <w:spacing w:line="360" w:lineRule="auto"/>
        <w:ind w:firstLine="549"/>
        <w:rPr>
          <w:rFonts w:hAnsi="宋体"/>
          <w:szCs w:val="24"/>
        </w:rPr>
      </w:pPr>
      <w:r>
        <w:rPr>
          <w:rFonts w:hint="eastAsia" w:hAnsi="宋体"/>
          <w:szCs w:val="24"/>
        </w:rPr>
        <w:t>16.1响应文件须对磋商文件载明的投标资格、服务、报价等全部要求和条件做出实质性和完整的响应，如果响应文件填报的内容资料不详，或没有提供磋商文件中所要求的全部资料、证明及数据，将可能导致投标无效。</w:t>
      </w:r>
    </w:p>
    <w:p>
      <w:pPr>
        <w:spacing w:line="360" w:lineRule="auto"/>
        <w:ind w:firstLine="549"/>
        <w:rPr>
          <w:rFonts w:hAnsi="宋体"/>
          <w:szCs w:val="24"/>
        </w:rPr>
      </w:pPr>
      <w:r>
        <w:rPr>
          <w:rFonts w:hint="eastAsia" w:hAnsi="宋体"/>
          <w:szCs w:val="24"/>
        </w:rPr>
        <w:t>16.2投标人应在响应文件中提交磋商文件要求的有关证明文件，作为其响应文件的一部分。</w:t>
      </w:r>
    </w:p>
    <w:p>
      <w:pPr>
        <w:spacing w:line="360" w:lineRule="auto"/>
        <w:ind w:firstLine="549"/>
        <w:rPr>
          <w:rFonts w:hAnsi="宋体"/>
          <w:szCs w:val="24"/>
        </w:rPr>
      </w:pPr>
      <w:r>
        <w:rPr>
          <w:rFonts w:hint="eastAsia" w:hAnsi="宋体"/>
          <w:szCs w:val="24"/>
        </w:rPr>
        <w:t>16</w:t>
      </w:r>
      <w:r>
        <w:rPr>
          <w:rFonts w:hAnsi="宋体"/>
          <w:szCs w:val="24"/>
        </w:rPr>
        <w:t>.</w:t>
      </w:r>
      <w:r>
        <w:rPr>
          <w:rFonts w:hint="eastAsia" w:hAnsi="宋体"/>
          <w:szCs w:val="24"/>
        </w:rPr>
        <w:t>3响应文件须对磋商文件载明的全部初审要求（如磋商资格、技术、资信、服务、报价等），做出实质性响应，如果响应文件填报的内容资料不详，或没有提供磋商文件中所要求的资料、证明及数据，将导致投标无效。</w:t>
      </w:r>
    </w:p>
    <w:p>
      <w:pPr>
        <w:spacing w:line="360" w:lineRule="auto"/>
        <w:ind w:firstLine="549"/>
        <w:rPr>
          <w:rFonts w:hAnsi="宋体"/>
          <w:szCs w:val="24"/>
        </w:rPr>
      </w:pPr>
      <w:r>
        <w:rPr>
          <w:rFonts w:hAnsi="宋体"/>
          <w:szCs w:val="24"/>
        </w:rPr>
        <w:t>1</w:t>
      </w:r>
      <w:r>
        <w:rPr>
          <w:rFonts w:hint="eastAsia" w:hAnsi="宋体"/>
          <w:szCs w:val="24"/>
        </w:rPr>
        <w:t>6</w:t>
      </w:r>
      <w:r>
        <w:rPr>
          <w:rFonts w:hAnsi="宋体"/>
          <w:szCs w:val="24"/>
        </w:rPr>
        <w:t>.</w:t>
      </w:r>
      <w:r>
        <w:rPr>
          <w:rFonts w:hint="eastAsia" w:hAnsi="宋体"/>
          <w:szCs w:val="24"/>
        </w:rPr>
        <w:t>4响应文件应字迹清楚、编排有序、内容齐全、不得涂改或增删。如有错漏处必须修改，应在修改处加盖投标人公章。</w:t>
      </w:r>
    </w:p>
    <w:p>
      <w:pPr>
        <w:spacing w:line="360" w:lineRule="auto"/>
        <w:ind w:firstLine="549"/>
        <w:rPr>
          <w:rFonts w:hAnsi="宋体"/>
          <w:szCs w:val="24"/>
        </w:rPr>
      </w:pPr>
      <w:r>
        <w:rPr>
          <w:rFonts w:hint="eastAsia" w:hAnsi="宋体"/>
          <w:szCs w:val="24"/>
        </w:rPr>
        <w:t>16.5投标人应根据其响应文件中</w:t>
      </w:r>
      <w:r>
        <w:rPr>
          <w:rFonts w:hint="eastAsia" w:hAnsi="宋体"/>
        </w:rPr>
        <w:t>报价表</w:t>
      </w:r>
      <w:r>
        <w:rPr>
          <w:rFonts w:hint="eastAsia" w:hAnsi="宋体"/>
          <w:szCs w:val="24"/>
        </w:rPr>
        <w:t>的内容填写报价信息。</w:t>
      </w:r>
    </w:p>
    <w:p>
      <w:pPr>
        <w:spacing w:line="360" w:lineRule="auto"/>
        <w:ind w:firstLine="549"/>
        <w:rPr>
          <w:rFonts w:hAnsi="宋体"/>
          <w:b/>
          <w:szCs w:val="24"/>
        </w:rPr>
      </w:pPr>
      <w:r>
        <w:rPr>
          <w:rFonts w:hint="eastAsia" w:hAnsi="宋体"/>
          <w:b/>
          <w:szCs w:val="24"/>
        </w:rPr>
        <w:t>17.磋商保证金</w:t>
      </w:r>
    </w:p>
    <w:p>
      <w:pPr>
        <w:spacing w:line="360" w:lineRule="auto"/>
        <w:ind w:firstLine="550"/>
        <w:rPr>
          <w:rFonts w:hAnsi="宋体"/>
          <w:szCs w:val="22"/>
        </w:rPr>
      </w:pPr>
      <w:r>
        <w:rPr>
          <w:rFonts w:hint="eastAsia" w:hAnsi="宋体"/>
          <w:szCs w:val="22"/>
        </w:rPr>
        <w:t>17.1投标人在递交响应文件的同时，应按投标人须知前附表规定的金额、担保形式和第七章“响应文件格式”规定的磋商保证金格式递交磋商保证金（如有），并作为其响应文件的组成部分。境内投标人以现金或者支票形式提交的磋商保证金，应当从其基本账户转出并在响应文件中附上基本账户开户证明。联合体投标的，其磋商保证金由牵头人递交，并应符合投标人须知前附表的规定。</w:t>
      </w:r>
    </w:p>
    <w:p>
      <w:pPr>
        <w:spacing w:line="360" w:lineRule="auto"/>
        <w:ind w:firstLine="550"/>
        <w:rPr>
          <w:rFonts w:hAnsi="宋体"/>
          <w:szCs w:val="22"/>
        </w:rPr>
      </w:pPr>
      <w:r>
        <w:rPr>
          <w:rFonts w:hint="eastAsia" w:hAnsi="宋体"/>
          <w:szCs w:val="22"/>
        </w:rPr>
        <w:t>17.2无论采取何种形式的磋商保证金，磋商保证金有效期均应与投标有效期一致。招标人如果按本章18.4项的规定延长了投标有效期，则磋商保证金的有效期也相应延长。</w:t>
      </w:r>
    </w:p>
    <w:p>
      <w:pPr>
        <w:spacing w:line="360" w:lineRule="auto"/>
        <w:ind w:firstLine="550"/>
        <w:rPr>
          <w:rFonts w:hAnsi="宋体"/>
          <w:szCs w:val="22"/>
        </w:rPr>
      </w:pPr>
      <w:r>
        <w:rPr>
          <w:rFonts w:hint="eastAsia" w:hAnsi="宋体"/>
          <w:szCs w:val="22"/>
        </w:rPr>
        <w:t>17.3 投标人不按本章17.1要求提交磋商保证金的，</w:t>
      </w:r>
      <w:r>
        <w:rPr>
          <w:rFonts w:hint="eastAsia" w:hAnsi="宋体"/>
        </w:rPr>
        <w:t>磋商小组</w:t>
      </w:r>
      <w:r>
        <w:rPr>
          <w:rFonts w:hint="eastAsia" w:hAnsi="宋体"/>
          <w:szCs w:val="22"/>
        </w:rPr>
        <w:t>将否决其投标。</w:t>
      </w:r>
    </w:p>
    <w:p>
      <w:pPr>
        <w:spacing w:line="360" w:lineRule="auto"/>
        <w:ind w:firstLine="550"/>
        <w:rPr>
          <w:rFonts w:hAnsi="宋体"/>
          <w:szCs w:val="22"/>
        </w:rPr>
      </w:pPr>
      <w:r>
        <w:rPr>
          <w:rFonts w:hint="eastAsia" w:hAnsi="宋体"/>
          <w:szCs w:val="22"/>
        </w:rPr>
        <w:t>17.4招标人最迟将在中标通知书发出后5日内向中标候选人以外的其他投标人退还磋商保证金（无息），与中标人签订合同后5日内向中标人和其他中标候选人退还磋商保证金（无息）。</w:t>
      </w:r>
    </w:p>
    <w:p>
      <w:pPr>
        <w:spacing w:line="360" w:lineRule="auto"/>
        <w:ind w:firstLine="550"/>
        <w:rPr>
          <w:rFonts w:hAnsi="宋体"/>
          <w:szCs w:val="22"/>
        </w:rPr>
      </w:pPr>
      <w:r>
        <w:rPr>
          <w:rFonts w:hint="eastAsia" w:hAnsi="宋体"/>
          <w:szCs w:val="22"/>
        </w:rPr>
        <w:t xml:space="preserve">17.5 有下列情形之一的，投标保证金将不予退还： </w:t>
      </w:r>
    </w:p>
    <w:p>
      <w:pPr>
        <w:spacing w:line="360" w:lineRule="auto"/>
        <w:ind w:firstLine="550"/>
        <w:rPr>
          <w:rFonts w:hAnsi="宋体"/>
          <w:szCs w:val="22"/>
        </w:rPr>
      </w:pPr>
      <w:r>
        <w:rPr>
          <w:rFonts w:hint="eastAsia" w:hAnsi="宋体"/>
          <w:szCs w:val="22"/>
        </w:rPr>
        <w:t>（1）投标人在规定的投标有效期内撤销其投标文件；</w:t>
      </w:r>
    </w:p>
    <w:p>
      <w:pPr>
        <w:spacing w:line="360" w:lineRule="auto"/>
        <w:ind w:firstLine="550"/>
        <w:rPr>
          <w:rFonts w:hAnsi="宋体"/>
          <w:szCs w:val="22"/>
        </w:rPr>
      </w:pPr>
      <w:r>
        <w:rPr>
          <w:rFonts w:hint="eastAsia" w:hAnsi="宋体"/>
          <w:szCs w:val="22"/>
        </w:rPr>
        <w:t>（2）中标人在收到中标通知书后，无正当理由不与招标人订立合同，在签订合同时向招标人提出附加条件，或不按照磋商文件要求提交履约保证金；</w:t>
      </w:r>
    </w:p>
    <w:p>
      <w:pPr>
        <w:spacing w:line="360" w:lineRule="auto"/>
        <w:ind w:firstLine="550"/>
        <w:rPr>
          <w:rFonts w:hAnsi="宋体"/>
          <w:szCs w:val="22"/>
        </w:rPr>
      </w:pPr>
      <w:r>
        <w:rPr>
          <w:rFonts w:hint="eastAsia" w:hAnsi="宋体"/>
          <w:szCs w:val="22"/>
        </w:rPr>
        <w:t>（3）发生投标人须知前附表规定的其他可以不予退还投标保证金的情形。</w:t>
      </w:r>
    </w:p>
    <w:p>
      <w:pPr>
        <w:spacing w:line="360" w:lineRule="auto"/>
        <w:ind w:firstLine="550"/>
        <w:rPr>
          <w:rFonts w:hAnsi="宋体"/>
          <w:szCs w:val="24"/>
        </w:rPr>
      </w:pPr>
      <w:r>
        <w:rPr>
          <w:rFonts w:hint="eastAsia" w:hAnsi="宋体"/>
          <w:szCs w:val="22"/>
        </w:rPr>
        <w:t>17.6由于投标人行为导致招标人损失的，相应损失由投标人承担，从磋商保证金中扣除。磋商保证金扣除后仍不足以弥补损失的，投标人应当对超过部分予以赔偿。</w:t>
      </w:r>
    </w:p>
    <w:p>
      <w:pPr>
        <w:spacing w:line="360" w:lineRule="auto"/>
        <w:ind w:firstLine="550"/>
        <w:rPr>
          <w:rFonts w:hAnsi="宋体"/>
          <w:b/>
          <w:szCs w:val="24"/>
        </w:rPr>
      </w:pPr>
      <w:r>
        <w:rPr>
          <w:rFonts w:hint="eastAsia" w:hAnsi="宋体"/>
          <w:b/>
          <w:szCs w:val="24"/>
        </w:rPr>
        <w:t>18.投标有效期</w:t>
      </w:r>
    </w:p>
    <w:p>
      <w:pPr>
        <w:spacing w:line="360" w:lineRule="auto"/>
        <w:ind w:firstLine="550"/>
        <w:rPr>
          <w:rFonts w:hAnsi="宋体"/>
          <w:szCs w:val="24"/>
        </w:rPr>
      </w:pPr>
      <w:r>
        <w:rPr>
          <w:rFonts w:hint="eastAsia" w:hAnsi="宋体"/>
          <w:szCs w:val="24"/>
        </w:rPr>
        <w:t>18.1为</w:t>
      </w:r>
      <w:r>
        <w:rPr>
          <w:rFonts w:hAnsi="宋体"/>
          <w:szCs w:val="24"/>
        </w:rPr>
        <w:t>保证</w:t>
      </w:r>
      <w:r>
        <w:rPr>
          <w:rFonts w:hint="eastAsia" w:hAnsi="宋体"/>
          <w:szCs w:val="24"/>
        </w:rPr>
        <w:t>招标人</w:t>
      </w:r>
      <w:r>
        <w:rPr>
          <w:rFonts w:hAnsi="宋体"/>
          <w:szCs w:val="24"/>
        </w:rPr>
        <w:t>有足够的时间完成评</w:t>
      </w:r>
      <w:r>
        <w:rPr>
          <w:rFonts w:hint="eastAsia" w:hAnsi="宋体"/>
          <w:szCs w:val="24"/>
        </w:rPr>
        <w:t>审</w:t>
      </w:r>
      <w:r>
        <w:rPr>
          <w:rFonts w:hAnsi="宋体"/>
          <w:szCs w:val="24"/>
        </w:rPr>
        <w:t>和与中标人签订合同</w:t>
      </w:r>
      <w:r>
        <w:rPr>
          <w:rFonts w:hint="eastAsia" w:hAnsi="宋体"/>
          <w:szCs w:val="24"/>
        </w:rPr>
        <w:t>，规定投标有效期。投标有效期期限见投标人须知前附表。</w:t>
      </w:r>
    </w:p>
    <w:p>
      <w:pPr>
        <w:spacing w:line="360" w:lineRule="auto"/>
        <w:ind w:firstLine="550"/>
        <w:rPr>
          <w:rFonts w:hAnsi="宋体"/>
          <w:szCs w:val="24"/>
        </w:rPr>
      </w:pPr>
      <w:r>
        <w:rPr>
          <w:rFonts w:hint="eastAsia" w:hAnsi="宋体"/>
          <w:szCs w:val="24"/>
        </w:rPr>
        <w:t>18.2在投标有效期内，投标人的投标保持有效，投标人不得要求撤销或修改其响应文件。</w:t>
      </w:r>
    </w:p>
    <w:p>
      <w:pPr>
        <w:spacing w:line="360" w:lineRule="auto"/>
        <w:ind w:firstLine="550"/>
        <w:rPr>
          <w:rFonts w:hAnsi="宋体"/>
          <w:szCs w:val="24"/>
        </w:rPr>
      </w:pPr>
      <w:r>
        <w:rPr>
          <w:rFonts w:hint="eastAsia" w:hAnsi="宋体"/>
          <w:szCs w:val="24"/>
        </w:rPr>
        <w:t>18.3</w:t>
      </w:r>
      <w:r>
        <w:rPr>
          <w:rFonts w:hAnsi="宋体"/>
          <w:szCs w:val="24"/>
        </w:rPr>
        <w:t>投标有效期从投标截止日起计算。</w:t>
      </w:r>
    </w:p>
    <w:p>
      <w:pPr>
        <w:spacing w:line="360" w:lineRule="auto"/>
        <w:ind w:firstLine="550"/>
        <w:rPr>
          <w:rFonts w:hAnsi="宋体"/>
          <w:szCs w:val="24"/>
        </w:rPr>
      </w:pPr>
      <w:r>
        <w:rPr>
          <w:rFonts w:hint="eastAsia" w:hAnsi="宋体"/>
          <w:szCs w:val="24"/>
        </w:rPr>
        <w:t>18.4</w:t>
      </w:r>
      <w:r>
        <w:rPr>
          <w:szCs w:val="24"/>
        </w:rPr>
        <w:t>出现特殊情况需要延长投标有效期的，招标人以书面形式通知所有投标人延长投标有效期。投标人应予以书面答复，同意延长的，应相应延长其</w:t>
      </w:r>
      <w:r>
        <w:rPr>
          <w:rFonts w:hint="eastAsia"/>
          <w:szCs w:val="24"/>
        </w:rPr>
        <w:t>磋商</w:t>
      </w:r>
      <w:r>
        <w:rPr>
          <w:szCs w:val="24"/>
        </w:rPr>
        <w:t>保证金的有效期，但不得要求或被允许修改其响应文件；投标人拒绝延长的，其投标失效，但投标人有权收回其</w:t>
      </w:r>
      <w:r>
        <w:rPr>
          <w:rFonts w:hint="eastAsia"/>
          <w:szCs w:val="24"/>
        </w:rPr>
        <w:t>磋商</w:t>
      </w:r>
      <w:r>
        <w:rPr>
          <w:szCs w:val="24"/>
        </w:rPr>
        <w:t>保证金</w:t>
      </w:r>
      <w:r>
        <w:rPr>
          <w:rFonts w:hint="eastAsia"/>
          <w:szCs w:val="24"/>
        </w:rPr>
        <w:t>（无息）</w:t>
      </w:r>
      <w:r>
        <w:rPr>
          <w:szCs w:val="24"/>
        </w:rPr>
        <w:t>。</w:t>
      </w:r>
    </w:p>
    <w:p>
      <w:pPr>
        <w:spacing w:line="360" w:lineRule="auto"/>
        <w:ind w:firstLine="550"/>
        <w:rPr>
          <w:rFonts w:hAnsi="宋体"/>
          <w:b/>
          <w:szCs w:val="24"/>
        </w:rPr>
      </w:pPr>
      <w:r>
        <w:rPr>
          <w:rFonts w:hint="eastAsia" w:hAnsi="宋体"/>
          <w:b/>
          <w:szCs w:val="24"/>
        </w:rPr>
        <w:t>19.响应文件份数和签署</w:t>
      </w:r>
    </w:p>
    <w:p>
      <w:pPr>
        <w:pStyle w:val="29"/>
        <w:snapToGrid w:val="0"/>
        <w:spacing w:line="300" w:lineRule="auto"/>
        <w:ind w:firstLine="480" w:firstLineChars="200"/>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投标人应按照投标人须知前附表的要求准备响应文件。</w:t>
      </w:r>
    </w:p>
    <w:p>
      <w:pPr>
        <w:spacing w:line="360" w:lineRule="auto"/>
        <w:ind w:firstLine="480" w:firstLineChars="200"/>
        <w:rPr>
          <w:rFonts w:hAnsi="宋体"/>
          <w:szCs w:val="24"/>
        </w:rPr>
      </w:pPr>
      <w:r>
        <w:rPr>
          <w:rFonts w:hint="eastAsia" w:hAnsi="宋体"/>
          <w:szCs w:val="24"/>
        </w:rPr>
        <w:t>19</w:t>
      </w:r>
      <w:r>
        <w:rPr>
          <w:rFonts w:hAnsi="宋体"/>
          <w:szCs w:val="24"/>
        </w:rPr>
        <w:t>.</w:t>
      </w:r>
      <w:r>
        <w:rPr>
          <w:rFonts w:hint="eastAsia" w:hAnsi="宋体"/>
          <w:szCs w:val="24"/>
        </w:rPr>
        <w:t>2响应文件应按磋商文件要求加盖投标人公章。</w:t>
      </w:r>
    </w:p>
    <w:p>
      <w:pPr>
        <w:pStyle w:val="6"/>
        <w:ind w:firstLine="628"/>
        <w:jc w:val="both"/>
        <w:rPr>
          <w:rFonts w:hAnsi="宋体"/>
          <w:sz w:val="28"/>
        </w:rPr>
      </w:pPr>
      <w:bookmarkStart w:id="28" w:name="_Hlt509650572"/>
      <w:bookmarkEnd w:id="28"/>
      <w:bookmarkStart w:id="29" w:name="_Hlt509649294"/>
      <w:bookmarkEnd w:id="29"/>
      <w:bookmarkStart w:id="30" w:name="_Toc522466826"/>
      <w:bookmarkStart w:id="31" w:name="_Toc50128752"/>
      <w:r>
        <w:rPr>
          <w:rFonts w:hint="eastAsia" w:hAnsi="宋体"/>
          <w:sz w:val="28"/>
        </w:rPr>
        <w:t>四．响应文件的递交</w:t>
      </w:r>
      <w:bookmarkEnd w:id="30"/>
      <w:bookmarkEnd w:id="31"/>
      <w:bookmarkStart w:id="32" w:name="_Hlt509649414"/>
      <w:bookmarkEnd w:id="32"/>
    </w:p>
    <w:p>
      <w:pPr>
        <w:spacing w:line="360" w:lineRule="auto"/>
        <w:ind w:firstLine="550"/>
        <w:rPr>
          <w:rFonts w:hAnsi="宋体"/>
          <w:b/>
        </w:rPr>
      </w:pPr>
      <w:r>
        <w:rPr>
          <w:rFonts w:hint="eastAsia" w:hAnsi="宋体"/>
          <w:b/>
          <w:szCs w:val="24"/>
        </w:rPr>
        <w:t>20.</w:t>
      </w:r>
      <w:r>
        <w:rPr>
          <w:rFonts w:hint="eastAsia" w:hAnsi="宋体"/>
          <w:b/>
        </w:rPr>
        <w:t>响应文件的递交</w:t>
      </w:r>
    </w:p>
    <w:p>
      <w:pPr>
        <w:spacing w:line="360" w:lineRule="auto"/>
        <w:ind w:firstLine="550"/>
        <w:rPr>
          <w:rFonts w:hAnsi="宋体"/>
          <w:szCs w:val="24"/>
        </w:rPr>
      </w:pPr>
      <w:r>
        <w:rPr>
          <w:rFonts w:hint="eastAsia" w:hAnsi="宋体"/>
          <w:szCs w:val="24"/>
        </w:rPr>
        <w:t>20.1响应文件的递交见投标人须知前附表的相关规定。</w:t>
      </w:r>
    </w:p>
    <w:p>
      <w:pPr>
        <w:spacing w:line="360" w:lineRule="auto"/>
        <w:ind w:firstLine="550"/>
        <w:rPr>
          <w:rFonts w:hAnsi="宋体"/>
          <w:szCs w:val="24"/>
        </w:rPr>
      </w:pPr>
      <w:r>
        <w:rPr>
          <w:rFonts w:hint="eastAsia" w:hAnsi="宋体"/>
          <w:szCs w:val="24"/>
        </w:rPr>
        <w:t>20.2投标人应当在磋商文件规定的响应文件提交截止时间前递交响应文件。</w:t>
      </w:r>
    </w:p>
    <w:p>
      <w:pPr>
        <w:spacing w:line="360" w:lineRule="auto"/>
        <w:ind w:firstLine="550"/>
        <w:rPr>
          <w:rFonts w:hAnsi="宋体"/>
        </w:rPr>
      </w:pPr>
      <w:r>
        <w:rPr>
          <w:rFonts w:hint="eastAsia" w:hAnsi="宋体"/>
          <w:szCs w:val="24"/>
        </w:rPr>
        <w:t>20.3</w:t>
      </w:r>
      <w:r>
        <w:rPr>
          <w:rFonts w:hAnsi="宋体"/>
          <w:szCs w:val="24"/>
        </w:rPr>
        <w:t>逾期送达的响应文件，招标人</w:t>
      </w:r>
      <w:r>
        <w:rPr>
          <w:rFonts w:hint="eastAsia" w:hAnsi="宋体"/>
          <w:szCs w:val="24"/>
        </w:rPr>
        <w:t>将</w:t>
      </w:r>
      <w:r>
        <w:rPr>
          <w:rFonts w:hAnsi="宋体"/>
          <w:szCs w:val="24"/>
        </w:rPr>
        <w:t>拒收。</w:t>
      </w:r>
    </w:p>
    <w:p>
      <w:pPr>
        <w:spacing w:line="360" w:lineRule="auto"/>
        <w:ind w:firstLine="550"/>
        <w:rPr>
          <w:rFonts w:hAnsi="宋体"/>
          <w:b/>
        </w:rPr>
      </w:pPr>
      <w:r>
        <w:rPr>
          <w:rFonts w:hint="eastAsia" w:hAnsi="宋体"/>
          <w:b/>
        </w:rPr>
        <w:t>21.响应文件的修改和撤回</w:t>
      </w:r>
    </w:p>
    <w:p>
      <w:pPr>
        <w:spacing w:line="360" w:lineRule="auto"/>
        <w:ind w:firstLine="550"/>
        <w:rPr>
          <w:rFonts w:hAnsi="宋体"/>
        </w:rPr>
      </w:pPr>
      <w:r>
        <w:rPr>
          <w:rFonts w:hint="eastAsia" w:hAnsi="宋体"/>
        </w:rPr>
        <w:t>21</w:t>
      </w:r>
      <w:r>
        <w:rPr>
          <w:rFonts w:hAnsi="宋体"/>
        </w:rPr>
        <w:t>.</w:t>
      </w:r>
      <w:r>
        <w:rPr>
          <w:rFonts w:hint="eastAsia" w:hAnsi="宋体"/>
        </w:rPr>
        <w:t>1 投标人在递交响应文件后，可以修改或撤回其投标，但这种修改和撤回，必须在规定的</w:t>
      </w:r>
      <w:r>
        <w:rPr>
          <w:rFonts w:hint="eastAsia" w:hAnsi="宋体"/>
          <w:szCs w:val="24"/>
        </w:rPr>
        <w:t>响应文件提交</w:t>
      </w:r>
      <w:r>
        <w:rPr>
          <w:rFonts w:hint="eastAsia" w:hAnsi="宋体"/>
        </w:rPr>
        <w:t>截止时间前，并以书面形式通知招标人。在</w:t>
      </w:r>
      <w:r>
        <w:rPr>
          <w:rFonts w:hint="eastAsia" w:hAnsi="宋体"/>
          <w:szCs w:val="24"/>
        </w:rPr>
        <w:t>响应文件提交</w:t>
      </w:r>
      <w:r>
        <w:rPr>
          <w:rFonts w:hint="eastAsia" w:hAnsi="宋体"/>
        </w:rPr>
        <w:t>截止时间后，投标人不得再要求修改或撤回其响应文件。</w:t>
      </w:r>
    </w:p>
    <w:p>
      <w:pPr>
        <w:spacing w:line="360" w:lineRule="auto"/>
        <w:ind w:firstLine="550"/>
        <w:rPr>
          <w:rFonts w:hAnsi="宋体"/>
          <w:sz w:val="28"/>
        </w:rPr>
      </w:pPr>
      <w:r>
        <w:rPr>
          <w:rFonts w:hint="eastAsia" w:hAnsi="宋体"/>
        </w:rPr>
        <w:t>21</w:t>
      </w:r>
      <w:r>
        <w:rPr>
          <w:rFonts w:hAnsi="宋体"/>
        </w:rPr>
        <w:t>.2</w:t>
      </w:r>
      <w:r>
        <w:rPr>
          <w:rFonts w:hint="eastAsia" w:hAnsi="宋体"/>
        </w:rPr>
        <w:t xml:space="preserve"> 投标人的修改书或撤回通知书，应按规定进行编制、密封、标记和递交，且在内层信封上标明“修改”或“撤回”字样。</w:t>
      </w:r>
    </w:p>
    <w:p>
      <w:pPr>
        <w:pStyle w:val="6"/>
        <w:ind w:firstLine="628"/>
        <w:jc w:val="both"/>
        <w:rPr>
          <w:rFonts w:hAnsi="宋体"/>
          <w:sz w:val="28"/>
        </w:rPr>
      </w:pPr>
      <w:bookmarkStart w:id="33" w:name="_Toc459990140"/>
      <w:bookmarkStart w:id="34" w:name="_Toc50128753"/>
      <w:bookmarkStart w:id="35" w:name="_Toc522466827"/>
      <w:r>
        <w:rPr>
          <w:rFonts w:hint="eastAsia" w:hAnsi="宋体"/>
          <w:sz w:val="28"/>
        </w:rPr>
        <w:t>五．</w:t>
      </w:r>
      <w:bookmarkEnd w:id="33"/>
      <w:r>
        <w:rPr>
          <w:rFonts w:hint="eastAsia" w:hAnsi="宋体"/>
          <w:sz w:val="28"/>
        </w:rPr>
        <w:t>响应文件解密及磋商</w:t>
      </w:r>
      <w:bookmarkEnd w:id="34"/>
      <w:bookmarkEnd w:id="35"/>
    </w:p>
    <w:p>
      <w:pPr>
        <w:spacing w:line="360" w:lineRule="auto"/>
        <w:ind w:firstLine="549"/>
        <w:rPr>
          <w:rFonts w:hAnsi="宋体"/>
          <w:b/>
        </w:rPr>
      </w:pPr>
      <w:r>
        <w:rPr>
          <w:rFonts w:hint="eastAsia" w:hAnsi="宋体"/>
          <w:b/>
        </w:rPr>
        <w:t>23.响应文件的澄清、说明或补正</w:t>
      </w:r>
    </w:p>
    <w:p>
      <w:pPr>
        <w:spacing w:line="360" w:lineRule="auto"/>
        <w:ind w:firstLine="549"/>
        <w:rPr>
          <w:rFonts w:hAnsi="宋体"/>
          <w:bCs/>
        </w:rPr>
      </w:pPr>
      <w:r>
        <w:rPr>
          <w:rFonts w:hint="eastAsia" w:hAnsi="宋体"/>
          <w:bCs/>
        </w:rPr>
        <w:t>23</w:t>
      </w:r>
      <w:r>
        <w:rPr>
          <w:rFonts w:hAnsi="宋体"/>
          <w:bCs/>
        </w:rPr>
        <w:t>.</w:t>
      </w:r>
      <w:r>
        <w:rPr>
          <w:rFonts w:hint="eastAsia" w:hAnsi="宋体"/>
          <w:bCs/>
        </w:rPr>
        <w:t>1为有助于投标的审查、评价和比较，磋商小组可对投标人的响应文件中含义不明确、对同类问题表述不一致或者有明显文字和计算错误的内容作出不利于投标的推断。</w:t>
      </w:r>
    </w:p>
    <w:p>
      <w:pPr>
        <w:spacing w:line="360" w:lineRule="auto"/>
        <w:ind w:firstLine="549"/>
        <w:rPr>
          <w:rFonts w:hAnsi="宋体"/>
        </w:rPr>
      </w:pPr>
      <w:r>
        <w:rPr>
          <w:rFonts w:hint="eastAsia" w:hAnsi="宋体"/>
          <w:bCs/>
        </w:rPr>
        <w:t>23</w:t>
      </w:r>
      <w:r>
        <w:rPr>
          <w:rFonts w:hAnsi="宋体"/>
          <w:bCs/>
        </w:rPr>
        <w:t>.</w:t>
      </w:r>
      <w:r>
        <w:rPr>
          <w:rFonts w:hint="eastAsia" w:hAnsi="宋体"/>
        </w:rPr>
        <w:t>2响应文件中大写金额和小写金额不一致的，以大写金额为准。报价表内容与其他报价信息内容不一致的，以报价表为准。</w:t>
      </w:r>
    </w:p>
    <w:p>
      <w:pPr>
        <w:spacing w:line="360" w:lineRule="auto"/>
        <w:ind w:firstLine="549"/>
        <w:rPr>
          <w:rFonts w:hAnsi="宋体"/>
          <w:b/>
        </w:rPr>
      </w:pPr>
      <w:r>
        <w:rPr>
          <w:rFonts w:hint="eastAsia" w:hAnsi="宋体"/>
          <w:b/>
        </w:rPr>
        <w:t>24.评审</w:t>
      </w:r>
    </w:p>
    <w:p>
      <w:pPr>
        <w:spacing w:line="360" w:lineRule="auto"/>
        <w:ind w:firstLine="523" w:firstLineChars="218"/>
        <w:rPr>
          <w:rFonts w:hAnsi="宋体"/>
          <w:bCs/>
        </w:rPr>
      </w:pPr>
      <w:r>
        <w:rPr>
          <w:rFonts w:hint="eastAsia" w:hAnsi="宋体"/>
        </w:rPr>
        <w:t>24.1</w:t>
      </w:r>
      <w:r>
        <w:rPr>
          <w:rFonts w:hint="eastAsia" w:hAnsi="宋体"/>
          <w:bCs/>
        </w:rPr>
        <w:t>磋商小组将按照磋商文件规定的磋商与评审办法对投标人独立进行评审。</w:t>
      </w:r>
    </w:p>
    <w:p>
      <w:pPr>
        <w:spacing w:line="360" w:lineRule="auto"/>
        <w:ind w:firstLine="549"/>
        <w:rPr>
          <w:rFonts w:hAnsi="宋体"/>
        </w:rPr>
      </w:pPr>
      <w:r>
        <w:rPr>
          <w:rFonts w:hint="eastAsia" w:hAnsi="宋体" w:cs="Tahoma"/>
          <w:szCs w:val="24"/>
        </w:rPr>
        <w:t>24.</w:t>
      </w:r>
      <w:r>
        <w:rPr>
          <w:rFonts w:hint="eastAsia" w:hAnsi="宋体"/>
        </w:rPr>
        <w:t>3磋商小组将首先审查响应文件是否实质上响应磋商文件的初审评审指标要求。实质上响应的投标应与磋商文件的全部条款、条件和规格相符，没有重大偏离或保留。所谓重大偏离或保留是指影响合同的施工/供货/服务范围、质量和性能等；或者在实质上与磋商文件不一致，而且限制了合同中买方的权利或投标人的义务；这些偏离或保留将会对其他实质上响应要求的投标人的竞争地位产生不公正的影响。</w:t>
      </w:r>
    </w:p>
    <w:p>
      <w:pPr>
        <w:spacing w:line="360" w:lineRule="auto"/>
        <w:ind w:firstLine="549"/>
        <w:rPr>
          <w:rFonts w:hAnsi="宋体"/>
          <w:bCs/>
        </w:rPr>
      </w:pPr>
      <w:r>
        <w:rPr>
          <w:rFonts w:hint="eastAsia" w:hAnsi="宋体"/>
          <w:bCs/>
        </w:rPr>
        <w:t>有下列情形之一的，磋商小组应当否决其投标：</w:t>
      </w:r>
    </w:p>
    <w:p>
      <w:pPr>
        <w:spacing w:line="360" w:lineRule="auto"/>
        <w:ind w:firstLine="549"/>
        <w:rPr>
          <w:rFonts w:hAnsi="宋体"/>
        </w:rPr>
      </w:pPr>
      <w:r>
        <w:rPr>
          <w:rFonts w:hint="eastAsia" w:hAnsi="宋体" w:cs="Tahoma"/>
          <w:szCs w:val="24"/>
        </w:rPr>
        <w:t>24.</w:t>
      </w:r>
      <w:r>
        <w:rPr>
          <w:rFonts w:hint="eastAsia" w:hAnsi="宋体"/>
          <w:bCs/>
        </w:rPr>
        <w:t>3.1</w:t>
      </w:r>
      <w:r>
        <w:rPr>
          <w:rFonts w:hAnsi="宋体"/>
        </w:rPr>
        <w:t>响应文件未经投标单位盖章和单位负责人签字</w:t>
      </w:r>
      <w:r>
        <w:rPr>
          <w:rFonts w:hint="eastAsia" w:hAnsi="宋体"/>
        </w:rPr>
        <w:t>；</w:t>
      </w:r>
    </w:p>
    <w:p>
      <w:pPr>
        <w:spacing w:line="360" w:lineRule="auto"/>
        <w:ind w:firstLine="549"/>
        <w:rPr>
          <w:rFonts w:hAnsi="宋体"/>
        </w:rPr>
      </w:pPr>
      <w:r>
        <w:rPr>
          <w:rFonts w:hint="eastAsia" w:hAnsi="宋体" w:cs="Tahoma"/>
          <w:szCs w:val="24"/>
        </w:rPr>
        <w:t>24.</w:t>
      </w:r>
      <w:r>
        <w:rPr>
          <w:rFonts w:hint="eastAsia" w:hAnsi="宋体"/>
        </w:rPr>
        <w:t>3.2磋商</w:t>
      </w:r>
      <w:r>
        <w:rPr>
          <w:rFonts w:hAnsi="宋体"/>
        </w:rPr>
        <w:t>联合体没有提交</w:t>
      </w:r>
      <w:r>
        <w:rPr>
          <w:rFonts w:hint="eastAsia" w:hAnsi="宋体"/>
        </w:rPr>
        <w:t>共同磋商</w:t>
      </w:r>
      <w:r>
        <w:rPr>
          <w:rFonts w:hAnsi="宋体"/>
        </w:rPr>
        <w:t>协议</w:t>
      </w:r>
      <w:r>
        <w:rPr>
          <w:rFonts w:hint="eastAsia" w:hAnsi="宋体"/>
        </w:rPr>
        <w:t>（如联合体投标）</w:t>
      </w:r>
      <w:r>
        <w:rPr>
          <w:rFonts w:hAnsi="宋体"/>
        </w:rPr>
        <w:t>；</w:t>
      </w:r>
    </w:p>
    <w:p>
      <w:pPr>
        <w:spacing w:line="360" w:lineRule="auto"/>
        <w:ind w:firstLine="549"/>
        <w:rPr>
          <w:rFonts w:hAnsi="宋体"/>
        </w:rPr>
      </w:pPr>
      <w:r>
        <w:rPr>
          <w:rFonts w:hint="eastAsia" w:hAnsi="宋体" w:cs="Tahoma"/>
          <w:szCs w:val="24"/>
        </w:rPr>
        <w:t>24.</w:t>
      </w:r>
      <w:r>
        <w:rPr>
          <w:rFonts w:hint="eastAsia" w:hAnsi="宋体"/>
        </w:rPr>
        <w:t>3.3投标人不符合国家或者磋商文件规定的资格条件；</w:t>
      </w:r>
    </w:p>
    <w:p>
      <w:pPr>
        <w:spacing w:line="360" w:lineRule="auto"/>
        <w:ind w:firstLine="549"/>
        <w:rPr>
          <w:rFonts w:hAnsi="宋体"/>
        </w:rPr>
      </w:pPr>
      <w:r>
        <w:rPr>
          <w:rFonts w:hint="eastAsia" w:hAnsi="宋体" w:cs="Tahoma"/>
          <w:szCs w:val="24"/>
        </w:rPr>
        <w:t>24.</w:t>
      </w:r>
      <w:r>
        <w:rPr>
          <w:rFonts w:hint="eastAsia" w:hAnsi="宋体"/>
        </w:rPr>
        <w:t>3.4同一投标人提交两个以上不同的响应文件，但磋商文件要求提交备选投标的除外；</w:t>
      </w:r>
    </w:p>
    <w:p>
      <w:pPr>
        <w:spacing w:line="360" w:lineRule="auto"/>
        <w:ind w:firstLine="549"/>
        <w:rPr>
          <w:rFonts w:hAnsi="宋体"/>
        </w:rPr>
      </w:pPr>
      <w:r>
        <w:rPr>
          <w:rFonts w:hint="eastAsia" w:hAnsi="宋体" w:cs="Tahoma"/>
          <w:szCs w:val="24"/>
        </w:rPr>
        <w:t>24.</w:t>
      </w:r>
      <w:r>
        <w:rPr>
          <w:rFonts w:hint="eastAsia" w:hAnsi="宋体"/>
        </w:rPr>
        <w:t>3.5</w:t>
      </w:r>
      <w:r>
        <w:rPr>
          <w:rFonts w:hAnsi="宋体"/>
        </w:rPr>
        <w:t>投标报价低于成本或者高于磋商文件设定的最高投标限价；</w:t>
      </w:r>
    </w:p>
    <w:p>
      <w:pPr>
        <w:spacing w:line="360" w:lineRule="auto"/>
        <w:ind w:firstLine="549"/>
        <w:rPr>
          <w:rFonts w:hAnsi="宋体"/>
        </w:rPr>
      </w:pPr>
      <w:r>
        <w:rPr>
          <w:rFonts w:hint="eastAsia" w:hAnsi="宋体" w:cs="Tahoma"/>
          <w:szCs w:val="24"/>
        </w:rPr>
        <w:t>24.</w:t>
      </w:r>
      <w:r>
        <w:rPr>
          <w:rFonts w:hint="eastAsia" w:hAnsi="宋体"/>
        </w:rPr>
        <w:t>3.6</w:t>
      </w:r>
      <w:r>
        <w:rPr>
          <w:rFonts w:hAnsi="宋体"/>
        </w:rPr>
        <w:t>响应文件没有对磋商文件的实质性要求和条件作出响应；</w:t>
      </w:r>
    </w:p>
    <w:p>
      <w:pPr>
        <w:spacing w:line="360" w:lineRule="auto"/>
        <w:ind w:firstLine="549"/>
        <w:rPr>
          <w:rFonts w:hAnsi="宋体"/>
        </w:rPr>
      </w:pPr>
      <w:r>
        <w:rPr>
          <w:rFonts w:hint="eastAsia" w:hAnsi="宋体" w:cs="Tahoma"/>
          <w:szCs w:val="24"/>
        </w:rPr>
        <w:t>24.</w:t>
      </w:r>
      <w:r>
        <w:rPr>
          <w:rFonts w:hint="eastAsia" w:hAnsi="宋体"/>
        </w:rPr>
        <w:t>3.7</w:t>
      </w:r>
      <w:r>
        <w:rPr>
          <w:rFonts w:hAnsi="宋体"/>
        </w:rPr>
        <w:t>投标人有串通投标、弄虚作假、行贿等违法行为。</w:t>
      </w:r>
    </w:p>
    <w:p>
      <w:pPr>
        <w:spacing w:line="360" w:lineRule="auto"/>
        <w:ind w:firstLine="549"/>
        <w:rPr>
          <w:rFonts w:hAnsi="宋体"/>
        </w:rPr>
      </w:pPr>
      <w:r>
        <w:rPr>
          <w:rFonts w:hint="eastAsia" w:hAnsi="宋体" w:cs="Tahoma"/>
          <w:szCs w:val="24"/>
        </w:rPr>
        <w:t>24.</w:t>
      </w:r>
      <w:r>
        <w:rPr>
          <w:rFonts w:hint="eastAsia" w:hAnsi="宋体"/>
        </w:rPr>
        <w:t>4评审时，磋商小组将审查响应文件是否符合磋商文件的初审评审指标要求。</w:t>
      </w:r>
    </w:p>
    <w:p>
      <w:pPr>
        <w:spacing w:line="360" w:lineRule="auto"/>
        <w:ind w:firstLine="549"/>
        <w:rPr>
          <w:rFonts w:hAnsi="宋体"/>
        </w:rPr>
      </w:pPr>
      <w:r>
        <w:rPr>
          <w:rFonts w:hint="eastAsia" w:hAnsi="宋体" w:cs="Tahoma"/>
          <w:szCs w:val="24"/>
        </w:rPr>
        <w:t>24.</w:t>
      </w:r>
      <w:r>
        <w:rPr>
          <w:rFonts w:hint="eastAsia" w:hAnsi="宋体"/>
        </w:rPr>
        <w:t>5如果响应文件未通过投标有效性评审的，投标无效。</w:t>
      </w:r>
    </w:p>
    <w:p>
      <w:pPr>
        <w:spacing w:line="360" w:lineRule="auto"/>
        <w:ind w:firstLine="549"/>
        <w:rPr>
          <w:rFonts w:hAnsi="宋体"/>
        </w:rPr>
      </w:pPr>
      <w:r>
        <w:rPr>
          <w:rFonts w:hint="eastAsia" w:hAnsi="宋体" w:cs="Tahoma"/>
          <w:szCs w:val="24"/>
        </w:rPr>
        <w:t>24.</w:t>
      </w:r>
      <w:r>
        <w:rPr>
          <w:rFonts w:hint="eastAsia" w:hAnsi="宋体"/>
        </w:rPr>
        <w:t>6磋商小组决定响应文件的响应性及符合性只根据响应文件本身的内容，而不寻求其他外部证据。</w:t>
      </w:r>
    </w:p>
    <w:p>
      <w:pPr>
        <w:spacing w:line="360" w:lineRule="auto"/>
        <w:ind w:firstLine="549"/>
        <w:rPr>
          <w:rFonts w:hAnsi="宋体"/>
          <w:b/>
          <w:bCs/>
        </w:rPr>
      </w:pPr>
      <w:r>
        <w:rPr>
          <w:rFonts w:hint="eastAsia" w:hAnsi="宋体"/>
          <w:b/>
          <w:bCs/>
        </w:rPr>
        <w:t>25</w:t>
      </w:r>
      <w:r>
        <w:rPr>
          <w:rFonts w:hint="eastAsia" w:hAnsi="宋体"/>
          <w:b/>
        </w:rPr>
        <w:t>.</w:t>
      </w:r>
      <w:r>
        <w:rPr>
          <w:rFonts w:hint="eastAsia" w:hAnsi="宋体"/>
          <w:b/>
          <w:bCs/>
        </w:rPr>
        <w:t>流标处理</w:t>
      </w:r>
    </w:p>
    <w:p>
      <w:pPr>
        <w:spacing w:line="360" w:lineRule="auto"/>
        <w:ind w:firstLine="549"/>
        <w:rPr>
          <w:rFonts w:hAnsi="宋体"/>
        </w:rPr>
      </w:pPr>
      <w:r>
        <w:rPr>
          <w:rFonts w:hint="eastAsia" w:hAnsi="宋体"/>
        </w:rPr>
        <w:t>在磋商中，符合专业条件的投标人或对磋商文件作实质响应的投标人不足规定家数的，</w:t>
      </w:r>
      <w:r>
        <w:rPr>
          <w:rFonts w:hint="eastAsia" w:hAnsi="宋体"/>
          <w:szCs w:val="24"/>
        </w:rPr>
        <w:t>磋商小组</w:t>
      </w:r>
      <w:r>
        <w:rPr>
          <w:rFonts w:hint="eastAsia" w:hAnsi="宋体"/>
        </w:rPr>
        <w:t>有权对磋商项目作流标处理。流标后，流标原因将</w:t>
      </w:r>
      <w:r>
        <w:rPr>
          <w:rFonts w:hint="eastAsia" w:hAnsi="宋体"/>
          <w:bCs/>
        </w:rPr>
        <w:t>在网上公</w:t>
      </w:r>
      <w:r>
        <w:rPr>
          <w:rFonts w:hint="eastAsia" w:hAnsi="宋体"/>
        </w:rPr>
        <w:t>示</w:t>
      </w:r>
      <w:r>
        <w:rPr>
          <w:rFonts w:hint="eastAsia" w:hAnsi="宋体"/>
          <w:bCs/>
        </w:rPr>
        <w:t>。</w:t>
      </w:r>
    </w:p>
    <w:p>
      <w:pPr>
        <w:spacing w:line="360" w:lineRule="auto"/>
        <w:ind w:firstLine="482" w:firstLineChars="200"/>
        <w:rPr>
          <w:rFonts w:hAnsi="宋体"/>
          <w:b/>
          <w:bCs/>
        </w:rPr>
      </w:pPr>
      <w:r>
        <w:rPr>
          <w:rFonts w:hint="eastAsia" w:hAnsi="宋体"/>
          <w:b/>
          <w:bCs/>
        </w:rPr>
        <w:t>26</w:t>
      </w:r>
      <w:r>
        <w:rPr>
          <w:rFonts w:hint="eastAsia" w:hAnsi="宋体"/>
          <w:b/>
        </w:rPr>
        <w:t>.</w:t>
      </w:r>
      <w:r>
        <w:rPr>
          <w:rFonts w:hint="eastAsia" w:hAnsi="宋体"/>
          <w:b/>
          <w:bCs/>
        </w:rPr>
        <w:t>重新磋商</w:t>
      </w:r>
    </w:p>
    <w:p>
      <w:pPr>
        <w:spacing w:line="360" w:lineRule="auto"/>
        <w:ind w:firstLine="480" w:firstLineChars="200"/>
        <w:rPr>
          <w:rFonts w:hAnsi="宋体"/>
        </w:rPr>
      </w:pPr>
      <w:r>
        <w:rPr>
          <w:rFonts w:hint="eastAsia" w:hAnsi="宋体"/>
        </w:rPr>
        <w:t>26.1项目流标后，招标人可能重新发布磋商公告（磋商邀请），进行重新磋商。</w:t>
      </w:r>
    </w:p>
    <w:p>
      <w:pPr>
        <w:spacing w:line="360" w:lineRule="auto"/>
        <w:ind w:firstLine="480" w:firstLineChars="200"/>
        <w:rPr>
          <w:rFonts w:hAnsi="宋体"/>
        </w:rPr>
      </w:pPr>
      <w:r>
        <w:rPr>
          <w:rFonts w:hint="eastAsia" w:hAnsi="宋体"/>
        </w:rPr>
        <w:t>26.3重新磋商可能调整前次磋商的各项规定及要求，包括招标方式、项目预算、投标人资格、付款方式、磋商需求、磋商与评审办法等。投标人参与重新磋商，应及时获取新的磋商文件，以新的磋商文件为依据，编制响应文件。</w:t>
      </w:r>
    </w:p>
    <w:p>
      <w:pPr>
        <w:pStyle w:val="6"/>
        <w:ind w:firstLine="628"/>
        <w:jc w:val="both"/>
        <w:rPr>
          <w:rFonts w:hAnsi="宋体"/>
          <w:sz w:val="28"/>
        </w:rPr>
      </w:pPr>
      <w:bookmarkStart w:id="36" w:name="_Toc477793061"/>
      <w:bookmarkStart w:id="37" w:name="_Toc460487454"/>
      <w:bookmarkStart w:id="38" w:name="_Toc50128754"/>
      <w:bookmarkStart w:id="39" w:name="_Toc522466828"/>
      <w:r>
        <w:rPr>
          <w:rFonts w:hint="eastAsia" w:hAnsi="宋体"/>
          <w:sz w:val="28"/>
        </w:rPr>
        <w:t>六．定标与签订合同</w:t>
      </w:r>
      <w:bookmarkEnd w:id="36"/>
      <w:bookmarkEnd w:id="37"/>
      <w:bookmarkEnd w:id="38"/>
      <w:bookmarkEnd w:id="39"/>
    </w:p>
    <w:p>
      <w:pPr>
        <w:spacing w:line="360" w:lineRule="auto"/>
        <w:ind w:firstLine="549"/>
        <w:rPr>
          <w:rFonts w:hAnsi="宋体"/>
          <w:b/>
        </w:rPr>
      </w:pPr>
      <w:r>
        <w:rPr>
          <w:rFonts w:hint="eastAsia" w:hAnsi="宋体"/>
          <w:b/>
        </w:rPr>
        <w:t>27.定标</w:t>
      </w:r>
    </w:p>
    <w:p>
      <w:pPr>
        <w:spacing w:line="360" w:lineRule="auto"/>
        <w:ind w:firstLine="549"/>
        <w:rPr>
          <w:rFonts w:hAnsi="宋体"/>
        </w:rPr>
      </w:pPr>
      <w:r>
        <w:rPr>
          <w:rFonts w:hint="eastAsia" w:hAnsi="宋体"/>
        </w:rPr>
        <w:t>27</w:t>
      </w:r>
      <w:r>
        <w:rPr>
          <w:rFonts w:hAnsi="宋体"/>
        </w:rPr>
        <w:t>.</w:t>
      </w:r>
      <w:r>
        <w:rPr>
          <w:rFonts w:hint="eastAsia" w:hAnsi="宋体"/>
        </w:rPr>
        <w:t>1磋商小组应当按磋商文件规定的标准和方法提出独立评审意见，推荐中标候选人。</w:t>
      </w:r>
    </w:p>
    <w:p>
      <w:pPr>
        <w:spacing w:line="360" w:lineRule="auto"/>
        <w:ind w:firstLine="549"/>
        <w:rPr>
          <w:rFonts w:hAnsi="宋体"/>
        </w:rPr>
      </w:pPr>
      <w:r>
        <w:rPr>
          <w:rFonts w:hint="eastAsia" w:hAnsi="宋体"/>
        </w:rPr>
        <w:t>第一中标候选人放弃中标、因不可抗力不能履行合同、不按照磋商文件要求提交履约保证金，或者被查实存在影响中标结果的违法行为等情形，不符合中标条件的，招标人可以按照磋商小组提出的中标候选人名单排序依次确定其他中标候选人为中标人，也可以重新招标。</w:t>
      </w:r>
    </w:p>
    <w:p>
      <w:pPr>
        <w:spacing w:line="360" w:lineRule="auto"/>
        <w:ind w:firstLine="549"/>
        <w:rPr>
          <w:rFonts w:hAnsi="宋体"/>
        </w:rPr>
      </w:pPr>
      <w:r>
        <w:rPr>
          <w:rFonts w:hint="eastAsia" w:hAnsi="宋体"/>
        </w:rPr>
        <w:t>27.3原则上把合同授予实质上响应磋商文件要求的排名最前的中标候选人。</w:t>
      </w:r>
    </w:p>
    <w:p>
      <w:pPr>
        <w:spacing w:line="360" w:lineRule="auto"/>
        <w:ind w:firstLine="549"/>
        <w:rPr>
          <w:rFonts w:hAnsi="宋体"/>
        </w:rPr>
      </w:pPr>
      <w:r>
        <w:rPr>
          <w:rFonts w:hint="eastAsia" w:hAnsi="宋体"/>
        </w:rPr>
        <w:t>27.4 最低报价并不是被授予合同的保证。</w:t>
      </w:r>
    </w:p>
    <w:p>
      <w:pPr>
        <w:spacing w:line="360" w:lineRule="auto"/>
        <w:ind w:firstLine="549"/>
        <w:rPr>
          <w:rFonts w:hAnsi="宋体"/>
        </w:rPr>
      </w:pPr>
      <w:r>
        <w:rPr>
          <w:rFonts w:hint="eastAsia" w:hAnsi="宋体"/>
        </w:rPr>
        <w:t>27.5 凡发现中标候选人有下列行为之一的，其中标无效，并移交公共资源交易监督管理部门依法处理：</w:t>
      </w:r>
    </w:p>
    <w:p>
      <w:pPr>
        <w:spacing w:line="360" w:lineRule="auto"/>
        <w:ind w:firstLine="549"/>
        <w:rPr>
          <w:rFonts w:hAnsi="宋体"/>
        </w:rPr>
      </w:pPr>
      <w:r>
        <w:rPr>
          <w:rFonts w:hAnsi="宋体"/>
          <w:b/>
          <w:bCs/>
        </w:rPr>
        <w:t>27</w:t>
      </w:r>
      <w:r>
        <w:rPr>
          <w:rFonts w:hint="eastAsia" w:hAnsi="宋体"/>
          <w:b/>
          <w:bCs/>
        </w:rPr>
        <w:t>.5.1</w:t>
      </w:r>
      <w:r>
        <w:rPr>
          <w:rFonts w:hint="eastAsia" w:hAnsi="宋体"/>
        </w:rPr>
        <w:t>有下列情形之一的，属于投标人相互串通投标：</w:t>
      </w:r>
    </w:p>
    <w:p>
      <w:pPr>
        <w:spacing w:line="360" w:lineRule="auto"/>
        <w:ind w:firstLine="549"/>
        <w:rPr>
          <w:rFonts w:hAnsi="宋体"/>
        </w:rPr>
      </w:pPr>
      <w:r>
        <w:rPr>
          <w:rFonts w:hint="eastAsia" w:hAnsi="宋体"/>
        </w:rPr>
        <w:t>27.5.1.1投标人之间协商投标报价等响应文件的实质性内容；</w:t>
      </w:r>
    </w:p>
    <w:p>
      <w:pPr>
        <w:spacing w:line="360" w:lineRule="auto"/>
        <w:ind w:left="549"/>
        <w:rPr>
          <w:rFonts w:hAnsi="宋体"/>
        </w:rPr>
      </w:pPr>
      <w:r>
        <w:rPr>
          <w:rFonts w:hint="eastAsia" w:hAnsi="宋体"/>
        </w:rPr>
        <w:t>27.5.1.2投标人之间约定中标人；</w:t>
      </w:r>
    </w:p>
    <w:p>
      <w:pPr>
        <w:spacing w:line="360" w:lineRule="auto"/>
        <w:ind w:left="549"/>
        <w:rPr>
          <w:rFonts w:hAnsi="宋体"/>
        </w:rPr>
      </w:pPr>
      <w:r>
        <w:rPr>
          <w:rFonts w:hint="eastAsia" w:hAnsi="宋体"/>
        </w:rPr>
        <w:t>27.5.1.3投标人之间约定部分投标人放弃投标或者中标；</w:t>
      </w:r>
    </w:p>
    <w:p>
      <w:pPr>
        <w:spacing w:line="360" w:lineRule="auto"/>
        <w:ind w:left="549"/>
        <w:rPr>
          <w:rFonts w:hAnsi="宋体"/>
        </w:rPr>
      </w:pPr>
      <w:r>
        <w:rPr>
          <w:rFonts w:hint="eastAsia" w:hAnsi="宋体"/>
        </w:rPr>
        <w:t>27.5.1.4属于同一集团、协会、商会等组织成员的投标人按照该组织要求协同投标；</w:t>
      </w:r>
    </w:p>
    <w:p>
      <w:pPr>
        <w:spacing w:line="360" w:lineRule="auto"/>
        <w:ind w:left="549"/>
        <w:rPr>
          <w:rFonts w:hAnsi="宋体"/>
        </w:rPr>
      </w:pPr>
      <w:r>
        <w:rPr>
          <w:rFonts w:hint="eastAsia" w:hAnsi="宋体"/>
        </w:rPr>
        <w:t>27.5.1.5投标人之间为谋取中标或者排斥特定投标人而采取的其他联合行动。</w:t>
      </w:r>
    </w:p>
    <w:p>
      <w:pPr>
        <w:spacing w:line="360" w:lineRule="auto"/>
        <w:ind w:left="549"/>
        <w:rPr>
          <w:rFonts w:hAnsi="宋体"/>
        </w:rPr>
      </w:pPr>
      <w:r>
        <w:rPr>
          <w:rFonts w:hint="eastAsia" w:hAnsi="宋体"/>
        </w:rPr>
        <w:t>27</w:t>
      </w:r>
      <w:r>
        <w:rPr>
          <w:rFonts w:hint="eastAsia" w:hAnsi="宋体"/>
          <w:bCs/>
        </w:rPr>
        <w:t>.5.2</w:t>
      </w:r>
      <w:r>
        <w:rPr>
          <w:rFonts w:hint="eastAsia" w:hAnsi="宋体"/>
        </w:rPr>
        <w:t>有下列情形之一的，视为投标人相互串通投标：</w:t>
      </w:r>
    </w:p>
    <w:p>
      <w:pPr>
        <w:spacing w:line="360" w:lineRule="auto"/>
        <w:ind w:left="549"/>
        <w:rPr>
          <w:rFonts w:hAnsi="宋体"/>
        </w:rPr>
      </w:pPr>
      <w:r>
        <w:rPr>
          <w:rFonts w:hint="eastAsia" w:hAnsi="宋体"/>
        </w:rPr>
        <w:t>27.5.2.1不同投标人的响应文件由同一单位或者个人编制；</w:t>
      </w:r>
    </w:p>
    <w:p>
      <w:pPr>
        <w:spacing w:line="360" w:lineRule="auto"/>
        <w:ind w:left="549"/>
        <w:rPr>
          <w:rFonts w:hAnsi="宋体"/>
        </w:rPr>
      </w:pPr>
      <w:r>
        <w:rPr>
          <w:rFonts w:hint="eastAsia" w:hAnsi="宋体"/>
        </w:rPr>
        <w:t>27.5.2.2不同投标人委托同一单位或者个人办理投标事宜；</w:t>
      </w:r>
    </w:p>
    <w:p>
      <w:pPr>
        <w:spacing w:line="360" w:lineRule="auto"/>
        <w:ind w:left="549"/>
        <w:rPr>
          <w:rFonts w:hAnsi="宋体"/>
        </w:rPr>
      </w:pPr>
      <w:r>
        <w:rPr>
          <w:rFonts w:hint="eastAsia" w:hAnsi="宋体"/>
        </w:rPr>
        <w:t>27.5.2.3不同投标人的响应文件载明的项目管理成员为同一人；</w:t>
      </w:r>
    </w:p>
    <w:p>
      <w:pPr>
        <w:spacing w:line="360" w:lineRule="auto"/>
        <w:ind w:left="549"/>
        <w:rPr>
          <w:rFonts w:hAnsi="宋体"/>
        </w:rPr>
      </w:pPr>
      <w:r>
        <w:rPr>
          <w:rFonts w:hint="eastAsia" w:hAnsi="宋体"/>
        </w:rPr>
        <w:t>27.5.2.4不同投标人的响应文件异常一致或者投标报价呈规律性差异；</w:t>
      </w:r>
    </w:p>
    <w:p>
      <w:pPr>
        <w:spacing w:line="360" w:lineRule="auto"/>
        <w:ind w:left="549"/>
        <w:rPr>
          <w:rFonts w:hAnsi="宋体"/>
        </w:rPr>
      </w:pPr>
      <w:r>
        <w:rPr>
          <w:rFonts w:hint="eastAsia" w:hAnsi="宋体"/>
        </w:rPr>
        <w:t>27.5.2.5不同投标人的响应文件相互混装；</w:t>
      </w:r>
    </w:p>
    <w:p>
      <w:pPr>
        <w:spacing w:line="360" w:lineRule="auto"/>
        <w:ind w:left="549"/>
        <w:rPr>
          <w:rFonts w:hAnsi="宋体"/>
        </w:rPr>
      </w:pPr>
      <w:r>
        <w:rPr>
          <w:rFonts w:hint="eastAsia" w:hAnsi="宋体"/>
        </w:rPr>
        <w:t>27.5.2.6不同投标人的磋商保证金从同一单位或者个人的账户转出。</w:t>
      </w:r>
    </w:p>
    <w:p>
      <w:pPr>
        <w:spacing w:line="360" w:lineRule="auto"/>
        <w:ind w:left="549"/>
        <w:rPr>
          <w:rFonts w:hAnsi="宋体"/>
        </w:rPr>
      </w:pPr>
      <w:r>
        <w:rPr>
          <w:rFonts w:hint="eastAsia" w:hAnsi="宋体"/>
        </w:rPr>
        <w:t>27</w:t>
      </w:r>
      <w:r>
        <w:rPr>
          <w:rFonts w:hint="eastAsia" w:hAnsi="宋体"/>
          <w:bCs/>
        </w:rPr>
        <w:t>.5.3</w:t>
      </w:r>
      <w:r>
        <w:rPr>
          <w:rFonts w:hint="eastAsia" w:hAnsi="宋体"/>
        </w:rPr>
        <w:t>有下列情形之一的，属于招标人与投标人串通投标：</w:t>
      </w:r>
    </w:p>
    <w:p>
      <w:pPr>
        <w:spacing w:line="360" w:lineRule="auto"/>
        <w:ind w:left="549"/>
        <w:rPr>
          <w:rFonts w:hAnsi="宋体"/>
        </w:rPr>
      </w:pPr>
      <w:r>
        <w:rPr>
          <w:rFonts w:hint="eastAsia" w:hAnsi="宋体"/>
        </w:rPr>
        <w:t>27</w:t>
      </w:r>
      <w:r>
        <w:rPr>
          <w:rFonts w:hint="eastAsia" w:hAnsi="宋体"/>
          <w:bCs/>
        </w:rPr>
        <w:t>.5.3.1</w:t>
      </w:r>
      <w:r>
        <w:rPr>
          <w:rFonts w:hint="eastAsia" w:hAnsi="宋体"/>
        </w:rPr>
        <w:t>招标人在开标前开启响应文件并将有关信息泄露给其他投标人；</w:t>
      </w:r>
    </w:p>
    <w:p>
      <w:pPr>
        <w:spacing w:line="360" w:lineRule="auto"/>
        <w:ind w:left="549"/>
        <w:rPr>
          <w:rFonts w:hAnsi="宋体"/>
        </w:rPr>
      </w:pPr>
      <w:r>
        <w:rPr>
          <w:rFonts w:hint="eastAsia" w:hAnsi="宋体"/>
        </w:rPr>
        <w:t>27</w:t>
      </w:r>
      <w:r>
        <w:rPr>
          <w:rFonts w:hint="eastAsia" w:hAnsi="宋体"/>
          <w:bCs/>
        </w:rPr>
        <w:t>.5.3.2</w:t>
      </w:r>
      <w:r>
        <w:rPr>
          <w:rFonts w:hint="eastAsia" w:hAnsi="宋体"/>
        </w:rPr>
        <w:t>招标人直接或者间接向投标人泄露标底、磋商小组成员等信息；</w:t>
      </w:r>
    </w:p>
    <w:p>
      <w:pPr>
        <w:spacing w:line="360" w:lineRule="auto"/>
        <w:ind w:left="549"/>
        <w:rPr>
          <w:rFonts w:hAnsi="宋体"/>
        </w:rPr>
      </w:pPr>
      <w:r>
        <w:rPr>
          <w:rFonts w:hint="eastAsia" w:hAnsi="宋体"/>
        </w:rPr>
        <w:t>27</w:t>
      </w:r>
      <w:r>
        <w:rPr>
          <w:rFonts w:hint="eastAsia" w:hAnsi="宋体"/>
          <w:bCs/>
        </w:rPr>
        <w:t>.5.3.3</w:t>
      </w:r>
      <w:r>
        <w:rPr>
          <w:rFonts w:hint="eastAsia" w:hAnsi="宋体"/>
        </w:rPr>
        <w:t>招标人明示或者暗示投标人压低或者抬高投标报价；</w:t>
      </w:r>
    </w:p>
    <w:p>
      <w:pPr>
        <w:spacing w:line="360" w:lineRule="auto"/>
        <w:ind w:left="549"/>
        <w:rPr>
          <w:rFonts w:hAnsi="宋体"/>
        </w:rPr>
      </w:pPr>
      <w:r>
        <w:rPr>
          <w:rFonts w:hint="eastAsia" w:hAnsi="宋体"/>
        </w:rPr>
        <w:t>27</w:t>
      </w:r>
      <w:r>
        <w:rPr>
          <w:rFonts w:hint="eastAsia" w:hAnsi="宋体"/>
          <w:bCs/>
        </w:rPr>
        <w:t>.5.3.4</w:t>
      </w:r>
      <w:r>
        <w:rPr>
          <w:rFonts w:hint="eastAsia" w:hAnsi="宋体"/>
        </w:rPr>
        <w:t>招标人授意投标人撤换、修改响应文件；</w:t>
      </w:r>
    </w:p>
    <w:p>
      <w:pPr>
        <w:spacing w:line="360" w:lineRule="auto"/>
        <w:ind w:left="549"/>
        <w:rPr>
          <w:rFonts w:hAnsi="宋体"/>
        </w:rPr>
      </w:pPr>
      <w:r>
        <w:rPr>
          <w:rFonts w:hint="eastAsia" w:hAnsi="宋体"/>
        </w:rPr>
        <w:t>27</w:t>
      </w:r>
      <w:r>
        <w:rPr>
          <w:rFonts w:hint="eastAsia" w:hAnsi="宋体"/>
          <w:bCs/>
        </w:rPr>
        <w:t>.5.3.5</w:t>
      </w:r>
      <w:r>
        <w:rPr>
          <w:rFonts w:hint="eastAsia" w:hAnsi="宋体"/>
        </w:rPr>
        <w:t>招标人明示或者暗示投标人为特定投标人中标提供方便；</w:t>
      </w:r>
    </w:p>
    <w:p>
      <w:pPr>
        <w:spacing w:line="360" w:lineRule="auto"/>
        <w:ind w:left="549"/>
        <w:rPr>
          <w:rFonts w:hAnsi="宋体"/>
        </w:rPr>
      </w:pPr>
      <w:r>
        <w:rPr>
          <w:rFonts w:hint="eastAsia" w:hAnsi="宋体"/>
        </w:rPr>
        <w:t>27</w:t>
      </w:r>
      <w:r>
        <w:rPr>
          <w:rFonts w:hint="eastAsia" w:hAnsi="宋体"/>
          <w:bCs/>
        </w:rPr>
        <w:t>.5.3.6</w:t>
      </w:r>
      <w:r>
        <w:rPr>
          <w:rFonts w:hint="eastAsia" w:hAnsi="宋体"/>
        </w:rPr>
        <w:t>招标人与投标人为谋求特定投标人中标而采取的其他串通行为。</w:t>
      </w:r>
    </w:p>
    <w:p>
      <w:pPr>
        <w:spacing w:line="360" w:lineRule="auto"/>
        <w:ind w:left="549"/>
        <w:rPr>
          <w:rFonts w:hAnsi="宋体"/>
        </w:rPr>
      </w:pPr>
      <w:r>
        <w:rPr>
          <w:rFonts w:hint="eastAsia" w:hAnsi="宋体"/>
        </w:rPr>
        <w:t>27</w:t>
      </w:r>
      <w:r>
        <w:rPr>
          <w:rFonts w:hint="eastAsia" w:hAnsi="宋体"/>
          <w:bCs/>
        </w:rPr>
        <w:t>.5.4</w:t>
      </w:r>
      <w:r>
        <w:rPr>
          <w:rFonts w:hint="eastAsia" w:hAnsi="宋体"/>
        </w:rPr>
        <w:t>使用通过受让或者租借等方式获取的资格、资质证书投标的，</w:t>
      </w:r>
    </w:p>
    <w:p>
      <w:pPr>
        <w:spacing w:line="360" w:lineRule="auto"/>
        <w:ind w:left="549"/>
        <w:rPr>
          <w:rFonts w:hAnsi="宋体"/>
        </w:rPr>
      </w:pPr>
      <w:r>
        <w:rPr>
          <w:rFonts w:hint="eastAsia" w:hAnsi="宋体"/>
        </w:rPr>
        <w:t>27.5.5投标人有下列情形之一的，属于招标投标法第三十三条规定的以其他方式弄虚作假的行为：</w:t>
      </w:r>
    </w:p>
    <w:p>
      <w:pPr>
        <w:spacing w:line="360" w:lineRule="auto"/>
        <w:ind w:left="549"/>
        <w:rPr>
          <w:rFonts w:hAnsi="宋体"/>
        </w:rPr>
      </w:pPr>
      <w:r>
        <w:rPr>
          <w:rFonts w:hint="eastAsia" w:hAnsi="宋体"/>
        </w:rPr>
        <w:t>27.5.5.1使用伪造、变造的许可证件；</w:t>
      </w:r>
    </w:p>
    <w:p>
      <w:pPr>
        <w:spacing w:line="360" w:lineRule="auto"/>
        <w:ind w:left="549"/>
        <w:rPr>
          <w:rFonts w:hAnsi="宋体"/>
        </w:rPr>
      </w:pPr>
      <w:r>
        <w:rPr>
          <w:rFonts w:hint="eastAsia" w:hAnsi="宋体"/>
        </w:rPr>
        <w:t>27.5.5.2提供虚假的财务状况或者业绩；</w:t>
      </w:r>
    </w:p>
    <w:p>
      <w:pPr>
        <w:spacing w:line="360" w:lineRule="auto"/>
        <w:ind w:left="549"/>
        <w:rPr>
          <w:rFonts w:hAnsi="宋体"/>
        </w:rPr>
      </w:pPr>
      <w:r>
        <w:rPr>
          <w:rFonts w:hint="eastAsia" w:hAnsi="宋体"/>
        </w:rPr>
        <w:t>27.5.5.3提供虚假的项目负责人或者主要技术人员简历、劳动关系证明；</w:t>
      </w:r>
    </w:p>
    <w:p>
      <w:pPr>
        <w:spacing w:line="360" w:lineRule="auto"/>
        <w:ind w:left="549"/>
        <w:rPr>
          <w:rFonts w:hAnsi="宋体"/>
        </w:rPr>
      </w:pPr>
      <w:r>
        <w:rPr>
          <w:rFonts w:hint="eastAsia" w:hAnsi="宋体"/>
        </w:rPr>
        <w:t>27.5.5.4提供虚假的信用状况；</w:t>
      </w:r>
    </w:p>
    <w:p>
      <w:pPr>
        <w:spacing w:line="360" w:lineRule="auto"/>
        <w:ind w:left="549"/>
        <w:rPr>
          <w:rFonts w:hAnsi="宋体"/>
        </w:rPr>
      </w:pPr>
      <w:r>
        <w:rPr>
          <w:rFonts w:hint="eastAsia" w:hAnsi="宋体"/>
        </w:rPr>
        <w:t>27.5.5.5其他弄虚作假的行为。</w:t>
      </w:r>
    </w:p>
    <w:p>
      <w:pPr>
        <w:spacing w:line="360" w:lineRule="auto"/>
        <w:ind w:left="549"/>
        <w:rPr>
          <w:rFonts w:hAnsi="宋体"/>
        </w:rPr>
      </w:pPr>
      <w:r>
        <w:rPr>
          <w:rFonts w:hint="eastAsia" w:hAnsi="宋体"/>
        </w:rPr>
        <w:t>27.5.6其他违反招投标法律、法规和规章强制性规定的行为。</w:t>
      </w:r>
    </w:p>
    <w:p>
      <w:pPr>
        <w:spacing w:line="360" w:lineRule="auto"/>
        <w:ind w:firstLine="549"/>
        <w:rPr>
          <w:rFonts w:hAnsi="宋体"/>
        </w:rPr>
      </w:pPr>
      <w:r>
        <w:rPr>
          <w:rFonts w:hint="eastAsia" w:hAnsi="宋体"/>
        </w:rPr>
        <w:t>27.6 定标前，招标人对中标候选人进行约谈（如须）。约谈包括诚信承诺、履约承诺以及原件核查等内容。</w:t>
      </w:r>
    </w:p>
    <w:p>
      <w:pPr>
        <w:spacing w:line="360" w:lineRule="auto"/>
        <w:ind w:firstLine="549"/>
        <w:rPr>
          <w:rFonts w:hAnsi="宋体"/>
        </w:rPr>
      </w:pPr>
      <w:r>
        <w:rPr>
          <w:rFonts w:hint="eastAsia" w:hAnsi="宋体"/>
        </w:rPr>
        <w:t>27.7评审结果及中标人信息将</w:t>
      </w:r>
      <w:r>
        <w:rPr>
          <w:rFonts w:hint="eastAsia" w:hAnsi="宋体"/>
          <w:bCs/>
        </w:rPr>
        <w:t>在网上公</w:t>
      </w:r>
      <w:r>
        <w:rPr>
          <w:rFonts w:hint="eastAsia" w:hAnsi="宋体"/>
        </w:rPr>
        <w:t>示，公示期不少于3日，期满无异议评审结果自动转为中标结果。</w:t>
      </w:r>
    </w:p>
    <w:p>
      <w:pPr>
        <w:spacing w:line="360" w:lineRule="auto"/>
        <w:ind w:firstLine="549"/>
        <w:rPr>
          <w:rFonts w:hAnsi="宋体"/>
          <w:b/>
        </w:rPr>
      </w:pPr>
      <w:r>
        <w:rPr>
          <w:rFonts w:hint="eastAsia" w:hAnsi="宋体"/>
          <w:b/>
        </w:rPr>
        <w:t>28.中标通知书</w:t>
      </w:r>
    </w:p>
    <w:p>
      <w:pPr>
        <w:pStyle w:val="30"/>
        <w:snapToGrid w:val="0"/>
        <w:ind w:left="775" w:leftChars="228" w:hanging="228" w:hangingChars="95"/>
      </w:pPr>
      <w:r>
        <w:rPr>
          <w:rFonts w:hint="eastAsia"/>
        </w:rPr>
        <w:t>28</w:t>
      </w:r>
      <w:r>
        <w:t>.1</w:t>
      </w:r>
      <w:r>
        <w:rPr>
          <w:rFonts w:hint="eastAsia"/>
        </w:rPr>
        <w:t>招标人将以中标通知书形式通知中标人，其投标已被接受。</w:t>
      </w:r>
    </w:p>
    <w:p>
      <w:pPr>
        <w:pStyle w:val="30"/>
        <w:snapToGrid w:val="0"/>
        <w:ind w:left="775" w:leftChars="228" w:hanging="228" w:hangingChars="95"/>
      </w:pPr>
      <w:r>
        <w:rPr>
          <w:rFonts w:hint="eastAsia"/>
        </w:rPr>
        <w:t>28</w:t>
      </w:r>
      <w:r>
        <w:t>.</w:t>
      </w:r>
      <w:r>
        <w:rPr>
          <w:rFonts w:hint="eastAsia"/>
        </w:rPr>
        <w:t>2招标人对未中标的投标人不做未中标原因的解释。</w:t>
      </w:r>
    </w:p>
    <w:p>
      <w:pPr>
        <w:spacing w:line="360" w:lineRule="auto"/>
        <w:ind w:firstLine="480" w:firstLineChars="200"/>
        <w:rPr>
          <w:rFonts w:hAnsi="宋体"/>
        </w:rPr>
      </w:pPr>
      <w:r>
        <w:rPr>
          <w:rFonts w:hint="eastAsia" w:hAnsi="宋体"/>
          <w:szCs w:val="22"/>
        </w:rPr>
        <w:t>28.3中</w:t>
      </w:r>
      <w:r>
        <w:rPr>
          <w:rFonts w:hint="eastAsia" w:hAnsi="宋体"/>
        </w:rPr>
        <w:t>标结果公告公示后，中标人请在3个工作日内委派专人凭介绍信或公司授权书（须同时携带有效身份证明）领取中标通知书。</w:t>
      </w:r>
    </w:p>
    <w:p>
      <w:pPr>
        <w:spacing w:line="360" w:lineRule="auto"/>
        <w:ind w:firstLine="549"/>
        <w:rPr>
          <w:rFonts w:hAnsi="宋体"/>
          <w:b/>
          <w:szCs w:val="24"/>
        </w:rPr>
      </w:pPr>
      <w:r>
        <w:rPr>
          <w:rFonts w:hint="eastAsia" w:hAnsi="宋体"/>
          <w:b/>
          <w:szCs w:val="24"/>
        </w:rPr>
        <w:t>30.履约保证金</w:t>
      </w:r>
    </w:p>
    <w:p>
      <w:pPr>
        <w:spacing w:line="360" w:lineRule="auto"/>
        <w:ind w:firstLine="549"/>
        <w:rPr>
          <w:rFonts w:hAnsi="宋体"/>
          <w:dstrike/>
          <w:szCs w:val="24"/>
        </w:rPr>
      </w:pPr>
      <w:r>
        <w:rPr>
          <w:rFonts w:hint="eastAsia" w:hAnsi="宋体"/>
          <w:szCs w:val="24"/>
        </w:rPr>
        <w:t>30</w:t>
      </w:r>
      <w:r>
        <w:rPr>
          <w:rFonts w:hAnsi="宋体"/>
          <w:szCs w:val="24"/>
        </w:rPr>
        <w:t>.1</w:t>
      </w:r>
      <w:r>
        <w:rPr>
          <w:rFonts w:hint="eastAsia" w:hAnsi="宋体"/>
          <w:szCs w:val="24"/>
        </w:rPr>
        <w:t>签订合同前，投标人应提交履约保证金。履约保证金金额、收受方式及收受人见投标人须知前附表规定。</w:t>
      </w:r>
    </w:p>
    <w:p>
      <w:pPr>
        <w:spacing w:line="360" w:lineRule="auto"/>
        <w:ind w:firstLine="549"/>
        <w:rPr>
          <w:rFonts w:hAnsi="宋体"/>
          <w:szCs w:val="24"/>
        </w:rPr>
      </w:pPr>
      <w:r>
        <w:rPr>
          <w:rFonts w:hint="eastAsia" w:hAnsi="宋体"/>
          <w:szCs w:val="24"/>
        </w:rPr>
        <w:t>30.2投标人须知前附表约定收取定额履约保证金或免收履约保证金的，从其规定。</w:t>
      </w:r>
    </w:p>
    <w:p>
      <w:pPr>
        <w:spacing w:line="360" w:lineRule="auto"/>
        <w:ind w:firstLine="549"/>
        <w:rPr>
          <w:rFonts w:hAnsi="宋体"/>
          <w:szCs w:val="24"/>
        </w:rPr>
      </w:pPr>
      <w:r>
        <w:rPr>
          <w:rFonts w:hint="eastAsia" w:hAnsi="宋体"/>
          <w:szCs w:val="24"/>
        </w:rPr>
        <w:t>30</w:t>
      </w:r>
      <w:r>
        <w:rPr>
          <w:rFonts w:hAnsi="宋体"/>
          <w:szCs w:val="24"/>
        </w:rPr>
        <w:t>.</w:t>
      </w:r>
      <w:r>
        <w:rPr>
          <w:rFonts w:hint="eastAsia" w:hAnsi="宋体"/>
          <w:szCs w:val="24"/>
        </w:rPr>
        <w:t>3</w:t>
      </w:r>
      <w:r>
        <w:rPr>
          <w:rFonts w:hint="eastAsia" w:hAnsi="宋体"/>
        </w:rPr>
        <w:t>如果中标人未按规定交纳履约保证金的，视为放弃中标，其磋商保证金不予退还，给招标人造成的损失超过磋商保证金数额的，中标人还应当对超过部分予以赔偿。在此情况下招标人可以按照磋商小组提出的中标候选人名单排序依次确定其他中标候选人为中标人，也可以重新招标。</w:t>
      </w:r>
    </w:p>
    <w:p>
      <w:pPr>
        <w:spacing w:line="360" w:lineRule="auto"/>
        <w:ind w:firstLine="549"/>
        <w:rPr>
          <w:rFonts w:hAnsi="宋体"/>
          <w:b/>
          <w:szCs w:val="24"/>
        </w:rPr>
      </w:pPr>
      <w:r>
        <w:rPr>
          <w:rFonts w:hint="eastAsia" w:hAnsi="宋体"/>
          <w:b/>
          <w:szCs w:val="24"/>
        </w:rPr>
        <w:t>31.签订合同</w:t>
      </w:r>
    </w:p>
    <w:p>
      <w:pPr>
        <w:spacing w:line="360" w:lineRule="auto"/>
        <w:ind w:firstLine="549"/>
        <w:rPr>
          <w:rFonts w:hAnsi="宋体"/>
          <w:szCs w:val="24"/>
        </w:rPr>
      </w:pPr>
      <w:r>
        <w:rPr>
          <w:rFonts w:hint="eastAsia" w:hAnsi="宋体"/>
          <w:szCs w:val="24"/>
        </w:rPr>
        <w:t>31.1中标人应在中标通知书发出之日起三十日内（具体时间、地点见中标通知书）与招标人签订合同。磋商文件、中标人的响应文件及澄清文件等，均作为合同的附件。合同签订前中标人应向招标人出示履约保证金交纳证明。</w:t>
      </w:r>
    </w:p>
    <w:p>
      <w:pPr>
        <w:spacing w:line="360" w:lineRule="auto"/>
        <w:ind w:firstLine="549"/>
        <w:rPr>
          <w:rFonts w:hAnsi="宋体"/>
          <w:szCs w:val="24"/>
        </w:rPr>
      </w:pPr>
      <w:r>
        <w:rPr>
          <w:rFonts w:hint="eastAsia" w:hAnsi="宋体"/>
          <w:szCs w:val="24"/>
        </w:rPr>
        <w:t>32.2 招标双方必须严格按照磋商文件、响应文件及有关承诺签订合同，不得擅自变更。合同的标的、价款、质量、履行期限等主要条款应当与磋商文件和中标人的响应文件的内容一致，招标人和中标人不得再行订立背离合同实质性内容的其他协议。</w:t>
      </w:r>
    </w:p>
    <w:p>
      <w:pPr>
        <w:spacing w:line="360" w:lineRule="auto"/>
        <w:ind w:firstLine="523" w:firstLineChars="218"/>
        <w:rPr>
          <w:rFonts w:hAnsi="宋体"/>
          <w:szCs w:val="24"/>
        </w:rPr>
      </w:pPr>
      <w:r>
        <w:rPr>
          <w:rFonts w:hint="eastAsia" w:hAnsi="宋体"/>
          <w:szCs w:val="24"/>
        </w:rPr>
        <w:t>31.3招标人保留以书面形式要求合同的乙方对其所投工程/服务/货物的方式、地点及服务细则等作适当调整的权利。</w:t>
      </w:r>
    </w:p>
    <w:p>
      <w:pPr>
        <w:spacing w:line="360" w:lineRule="auto"/>
        <w:ind w:firstLine="523" w:firstLineChars="218"/>
        <w:rPr>
          <w:rFonts w:hAnsi="宋体"/>
          <w:bCs/>
          <w:szCs w:val="24"/>
        </w:rPr>
      </w:pPr>
      <w:r>
        <w:rPr>
          <w:rFonts w:hint="eastAsia" w:hAnsi="宋体"/>
          <w:szCs w:val="24"/>
        </w:rPr>
        <w:t>31.4</w:t>
      </w:r>
      <w:r>
        <w:rPr>
          <w:rFonts w:hint="eastAsia" w:hAnsi="宋体"/>
          <w:bCs/>
          <w:szCs w:val="24"/>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Ansi="宋体"/>
          <w:b/>
          <w:bCs/>
          <w:szCs w:val="24"/>
        </w:rPr>
      </w:pPr>
      <w:r>
        <w:rPr>
          <w:rFonts w:hint="eastAsia" w:hAnsi="宋体"/>
          <w:b/>
          <w:bCs/>
          <w:szCs w:val="24"/>
        </w:rPr>
        <w:t>32</w:t>
      </w:r>
      <w:r>
        <w:rPr>
          <w:rFonts w:hint="eastAsia" w:hAnsi="宋体"/>
          <w:b/>
          <w:szCs w:val="24"/>
        </w:rPr>
        <w:t>.</w:t>
      </w:r>
      <w:r>
        <w:rPr>
          <w:rFonts w:hint="eastAsia" w:hAnsi="宋体"/>
          <w:b/>
          <w:bCs/>
          <w:szCs w:val="24"/>
        </w:rPr>
        <w:t>异议</w:t>
      </w:r>
    </w:p>
    <w:p>
      <w:pPr>
        <w:spacing w:line="360" w:lineRule="auto"/>
        <w:ind w:firstLine="525" w:firstLineChars="218"/>
        <w:rPr>
          <w:rFonts w:hAnsi="宋体"/>
          <w:bCs/>
        </w:rPr>
      </w:pPr>
      <w:r>
        <w:rPr>
          <w:rFonts w:hint="eastAsia" w:hAnsi="宋体"/>
          <w:b/>
          <w:bCs/>
          <w:szCs w:val="24"/>
        </w:rPr>
        <w:t>32</w:t>
      </w:r>
      <w:r>
        <w:rPr>
          <w:rFonts w:hint="eastAsia" w:hAnsi="宋体"/>
          <w:bCs/>
        </w:rPr>
        <w:t>.1若投标人对评审结果有异议，可在中标公示期内以书面形式在工作时间向招标人提出。</w:t>
      </w:r>
    </w:p>
    <w:p>
      <w:pPr>
        <w:spacing w:line="360" w:lineRule="auto"/>
        <w:ind w:firstLine="525" w:firstLineChars="218"/>
        <w:rPr>
          <w:rFonts w:hAnsi="宋体"/>
          <w:bCs/>
        </w:rPr>
      </w:pPr>
      <w:r>
        <w:rPr>
          <w:rFonts w:hint="eastAsia" w:hAnsi="宋体"/>
          <w:b/>
          <w:bCs/>
          <w:szCs w:val="24"/>
        </w:rPr>
        <w:t>32</w:t>
      </w:r>
      <w:r>
        <w:rPr>
          <w:rFonts w:hint="eastAsia" w:hAnsi="宋体"/>
          <w:bCs/>
        </w:rPr>
        <w:t>.2异议应以书面形式实名提出，书面异议材料应当包括以下内容：</w:t>
      </w:r>
    </w:p>
    <w:p>
      <w:pPr>
        <w:spacing w:line="360" w:lineRule="auto"/>
        <w:ind w:firstLine="523" w:firstLineChars="218"/>
        <w:rPr>
          <w:rFonts w:hAnsi="宋体"/>
          <w:bCs/>
        </w:rPr>
      </w:pPr>
      <w:r>
        <w:rPr>
          <w:rFonts w:hint="eastAsia" w:hAnsi="宋体"/>
          <w:bCs/>
        </w:rPr>
        <w:t>32.2.1异议人的名称、地址、有效联系方式；</w:t>
      </w:r>
    </w:p>
    <w:p>
      <w:pPr>
        <w:spacing w:line="360" w:lineRule="auto"/>
        <w:ind w:firstLine="523" w:firstLineChars="218"/>
        <w:rPr>
          <w:rFonts w:hAnsi="宋体"/>
          <w:bCs/>
        </w:rPr>
      </w:pPr>
      <w:r>
        <w:rPr>
          <w:rFonts w:hint="eastAsia" w:hAnsi="宋体"/>
          <w:bCs/>
        </w:rPr>
        <w:t>32.2.2项目名称、项目编号、标段号（如有）；</w:t>
      </w:r>
    </w:p>
    <w:p>
      <w:pPr>
        <w:spacing w:line="360" w:lineRule="auto"/>
        <w:ind w:firstLine="523" w:firstLineChars="218"/>
        <w:rPr>
          <w:rFonts w:hAnsi="宋体"/>
          <w:bCs/>
        </w:rPr>
      </w:pPr>
      <w:r>
        <w:rPr>
          <w:rFonts w:hint="eastAsia" w:hAnsi="宋体"/>
          <w:bCs/>
        </w:rPr>
        <w:t>32.2.3被异议人名称；</w:t>
      </w:r>
    </w:p>
    <w:p>
      <w:pPr>
        <w:spacing w:line="360" w:lineRule="auto"/>
        <w:ind w:firstLine="523" w:firstLineChars="218"/>
        <w:rPr>
          <w:rFonts w:hAnsi="宋体"/>
          <w:bCs/>
        </w:rPr>
      </w:pPr>
      <w:r>
        <w:rPr>
          <w:rFonts w:hint="eastAsia" w:hAnsi="宋体"/>
          <w:bCs/>
        </w:rPr>
        <w:t>32.2.4具体的异议事项、基本事实及必要的证明材料；</w:t>
      </w:r>
    </w:p>
    <w:p>
      <w:pPr>
        <w:spacing w:line="360" w:lineRule="auto"/>
        <w:ind w:firstLine="523" w:firstLineChars="218"/>
        <w:rPr>
          <w:rFonts w:hAnsi="宋体"/>
          <w:bCs/>
        </w:rPr>
      </w:pPr>
      <w:r>
        <w:rPr>
          <w:rFonts w:hint="eastAsia" w:hAnsi="宋体"/>
          <w:bCs/>
        </w:rPr>
        <w:t>32.2.5明确的请求及主张；</w:t>
      </w:r>
    </w:p>
    <w:p>
      <w:pPr>
        <w:spacing w:line="360" w:lineRule="auto"/>
        <w:ind w:firstLine="523" w:firstLineChars="218"/>
        <w:rPr>
          <w:rFonts w:hAnsi="宋体"/>
          <w:bCs/>
        </w:rPr>
      </w:pPr>
      <w:r>
        <w:rPr>
          <w:rFonts w:hint="eastAsia" w:hAnsi="宋体"/>
          <w:bCs/>
        </w:rPr>
        <w:t>32.2.6提起异议的日期。</w:t>
      </w:r>
    </w:p>
    <w:p>
      <w:pPr>
        <w:spacing w:line="360" w:lineRule="auto"/>
        <w:ind w:firstLine="523" w:firstLineChars="218"/>
        <w:rPr>
          <w:rFonts w:hAnsi="宋体"/>
          <w:bCs/>
        </w:rPr>
      </w:pPr>
      <w:r>
        <w:rPr>
          <w:rFonts w:hint="eastAsia" w:hAnsi="宋体"/>
          <w:bCs/>
        </w:rPr>
        <w:t>异议人为法人或者其他组织的，应当由法定代表人或其委托代理人（需有委托授权书）签字并加盖公章。</w:t>
      </w:r>
    </w:p>
    <w:p>
      <w:pPr>
        <w:spacing w:line="360" w:lineRule="auto"/>
        <w:ind w:firstLine="523" w:firstLineChars="218"/>
        <w:rPr>
          <w:rFonts w:hAnsi="宋体"/>
          <w:bCs/>
          <w:szCs w:val="24"/>
        </w:rPr>
      </w:pPr>
      <w:r>
        <w:rPr>
          <w:rFonts w:hint="eastAsia" w:hAnsi="宋体"/>
          <w:bCs/>
        </w:rPr>
        <w:t>异议人需要修改、补充异议材料的，应当在异议期内提交修改或补充材料。</w:t>
      </w:r>
    </w:p>
    <w:p>
      <w:pPr>
        <w:spacing w:line="360" w:lineRule="auto"/>
        <w:ind w:firstLine="549"/>
        <w:rPr>
          <w:rFonts w:hAnsi="宋体"/>
          <w:b/>
        </w:rPr>
      </w:pPr>
      <w:r>
        <w:rPr>
          <w:rFonts w:hint="eastAsia" w:hAnsi="宋体"/>
          <w:b/>
        </w:rPr>
        <w:t>34.未尽事宜</w:t>
      </w:r>
    </w:p>
    <w:p>
      <w:pPr>
        <w:spacing w:line="360" w:lineRule="auto"/>
        <w:ind w:firstLine="549"/>
        <w:rPr>
          <w:rFonts w:hAnsi="宋体"/>
        </w:rPr>
      </w:pPr>
      <w:r>
        <w:rPr>
          <w:rFonts w:hint="eastAsia" w:hAnsi="宋体"/>
        </w:rPr>
        <w:t>未尽事宜参照《中华人民共和国招标投标法》、《中华人民共和国招标投标法实施条例》及其他有关法律法规的规定执行。</w:t>
      </w:r>
    </w:p>
    <w:p>
      <w:pPr>
        <w:spacing w:line="360" w:lineRule="auto"/>
        <w:ind w:firstLine="549"/>
        <w:rPr>
          <w:rFonts w:hAnsi="宋体"/>
          <w:bCs/>
        </w:rPr>
      </w:pPr>
      <w:r>
        <w:rPr>
          <w:rFonts w:hint="eastAsia" w:hAnsi="宋体"/>
          <w:b/>
        </w:rPr>
        <w:t>35.解释权</w:t>
      </w:r>
    </w:p>
    <w:p>
      <w:pPr>
        <w:spacing w:line="360" w:lineRule="auto"/>
        <w:ind w:firstLine="549"/>
        <w:rPr>
          <w:rFonts w:hAnsi="宋体"/>
          <w:bCs/>
          <w:szCs w:val="24"/>
        </w:rPr>
      </w:pPr>
      <w:r>
        <w:rPr>
          <w:rFonts w:hint="eastAsia" w:hAnsi="宋体"/>
          <w:bCs/>
        </w:rPr>
        <w:t>本磋商文件的解释权属于招标人。</w:t>
      </w:r>
    </w:p>
    <w:p>
      <w:pPr>
        <w:pStyle w:val="2"/>
        <w:rPr>
          <w:rFonts w:ascii="黑体" w:hAnsi="黑体"/>
          <w:b w:val="0"/>
        </w:rPr>
      </w:pPr>
      <w:bookmarkStart w:id="40" w:name="_Toc11229"/>
      <w:r>
        <w:rPr>
          <w:rFonts w:hint="eastAsia" w:ascii="黑体" w:hAnsi="黑体"/>
          <w:b w:val="0"/>
          <w:lang w:val="en-US" w:eastAsia="zh-CN"/>
        </w:rPr>
        <w:t xml:space="preserve"> </w:t>
      </w:r>
      <w:r>
        <w:rPr>
          <w:rFonts w:hint="eastAsia" w:ascii="黑体" w:hAnsi="黑体"/>
          <w:b w:val="0"/>
        </w:rPr>
        <w:t>第三章 招标需求</w:t>
      </w:r>
      <w:bookmarkEnd w:id="40"/>
    </w:p>
    <w:p>
      <w:pPr>
        <w:spacing w:line="360" w:lineRule="auto"/>
        <w:jc w:val="center"/>
        <w:rPr>
          <w:rFonts w:hint="eastAsia" w:ascii="宋体" w:hAnsi="宋体" w:eastAsia="宋体" w:cs="宋体"/>
          <w:b/>
          <w:kern w:val="0"/>
          <w:sz w:val="32"/>
          <w:szCs w:val="32"/>
          <w:lang w:eastAsia="zh-CN"/>
        </w:rPr>
      </w:pPr>
      <w:r>
        <w:rPr>
          <w:rFonts w:hint="eastAsia" w:ascii="宋体" w:hAnsi="宋体" w:eastAsia="宋体" w:cs="宋体"/>
          <w:b/>
          <w:kern w:val="0"/>
          <w:sz w:val="32"/>
          <w:szCs w:val="32"/>
          <w:lang w:val="en-US" w:eastAsia="zh-CN"/>
        </w:rPr>
        <w:t>采购需求</w:t>
      </w:r>
    </w:p>
    <w:p>
      <w:pPr>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b/>
          <w:bCs/>
          <w:sz w:val="32"/>
          <w:szCs w:val="32"/>
        </w:rPr>
        <w:t>、综合说明</w:t>
      </w:r>
      <w:r>
        <w:rPr>
          <w:rFonts w:hint="eastAsia" w:ascii="黑体" w:hAnsi="黑体" w:eastAsia="黑体" w:cs="黑体"/>
          <w:sz w:val="32"/>
          <w:szCs w:val="32"/>
        </w:rPr>
        <w:t> </w:t>
      </w:r>
      <w:r>
        <w:rPr>
          <w:rFonts w:hint="eastAsia" w:ascii="黑体" w:hAnsi="黑体" w:eastAsia="黑体" w:cs="黑体"/>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 xml:space="preserve">1、服务名称： 三十岗乡东瞿村彩色水稻种植服务项目（二次） </w:t>
      </w:r>
    </w:p>
    <w:p>
      <w:pPr>
        <w:ind w:left="2880" w:hanging="2880" w:hangingChars="900"/>
        <w:rPr>
          <w:rFonts w:hint="eastAsia" w:ascii="仿宋" w:hAnsi="仿宋" w:eastAsia="仿宋" w:cs="仿宋"/>
          <w:sz w:val="32"/>
          <w:szCs w:val="32"/>
          <w:lang w:eastAsia="zh-CN"/>
        </w:rPr>
      </w:pPr>
      <w:r>
        <w:rPr>
          <w:rFonts w:hint="eastAsia" w:ascii="仿宋" w:hAnsi="仿宋" w:eastAsia="仿宋" w:cs="仿宋"/>
          <w:sz w:val="32"/>
          <w:szCs w:val="32"/>
        </w:rPr>
        <w:t>2、服务项目地点</w:t>
      </w:r>
      <w:r>
        <w:rPr>
          <w:rFonts w:hint="eastAsia" w:ascii="仿宋" w:hAnsi="仿宋" w:eastAsia="仿宋" w:cs="仿宋"/>
          <w:sz w:val="32"/>
          <w:szCs w:val="32"/>
          <w:lang w:eastAsia="zh-CN"/>
        </w:rPr>
        <w:t>：庐阳区</w:t>
      </w:r>
      <w:r>
        <w:rPr>
          <w:rFonts w:hint="eastAsia" w:ascii="仿宋" w:hAnsi="仿宋" w:eastAsia="仿宋" w:cs="仿宋"/>
          <w:sz w:val="32"/>
          <w:szCs w:val="32"/>
        </w:rPr>
        <w:t>三十岗乡东瞿村</w:t>
      </w:r>
      <w:r>
        <w:rPr>
          <w:rFonts w:hint="eastAsia" w:ascii="仿宋" w:hAnsi="仿宋" w:eastAsia="仿宋" w:cs="仿宋"/>
          <w:sz w:val="32"/>
          <w:szCs w:val="32"/>
          <w:lang w:eastAsia="zh-CN"/>
        </w:rPr>
        <w:t>大隐原乡项目（最美稻田路以东）</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、服务内容：</w:t>
      </w:r>
      <w:r>
        <w:rPr>
          <w:rFonts w:hint="eastAsia" w:ascii="仿宋" w:hAnsi="仿宋" w:eastAsia="仿宋" w:cs="仿宋"/>
          <w:sz w:val="32"/>
          <w:szCs w:val="32"/>
          <w:lang w:val="en-US" w:eastAsia="zh-CN"/>
        </w:rPr>
        <w:t>彩色水稻种植</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、服务要求：</w:t>
      </w:r>
      <w:r>
        <w:rPr>
          <w:rFonts w:hint="eastAsia" w:ascii="仿宋" w:hAnsi="仿宋" w:eastAsia="仿宋" w:cs="仿宋"/>
          <w:sz w:val="32"/>
          <w:szCs w:val="32"/>
          <w:lang w:val="en-US" w:eastAsia="zh-CN"/>
        </w:rPr>
        <w:t>水稻种植全周期管理</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、报价限价：</w:t>
      </w:r>
      <w:r>
        <w:rPr>
          <w:rFonts w:hint="eastAsia" w:ascii="仿宋" w:hAnsi="仿宋" w:eastAsia="仿宋" w:cs="仿宋"/>
          <w:sz w:val="32"/>
          <w:szCs w:val="32"/>
          <w:lang w:val="en-US" w:eastAsia="zh-CN"/>
        </w:rPr>
        <w:t>18.2万元</w:t>
      </w:r>
    </w:p>
    <w:p>
      <w:pPr>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lang w:val="en-US" w:eastAsia="zh-CN"/>
        </w:rPr>
      </w:pPr>
      <w:r>
        <w:rPr>
          <w:rFonts w:hint="eastAsia" w:ascii="仿宋" w:hAnsi="仿宋" w:eastAsia="仿宋" w:cs="仿宋"/>
          <w:sz w:val="32"/>
          <w:szCs w:val="32"/>
          <w:lang w:val="en-US" w:eastAsia="zh-CN"/>
        </w:rPr>
        <w:t>桃蹊富硒水稻种植区位于三十岗乡东瞿村，比邻大科学装置中心和大隐原乡科普基地中心位置，区位条件优越。乡村振兴公司计划因地制宜，将创意农业与科普休闲旅游相结合，采用技术手段，在现有稻田区域种植“最美科研圣地”稻田字画景观，营造三十岗乡最美科研圣地科普氛围，通过航拍和瞭望视角，</w:t>
      </w:r>
      <w:r>
        <w:rPr>
          <w:rFonts w:hint="eastAsia" w:ascii="仿宋" w:hAnsi="仿宋" w:eastAsia="仿宋" w:cs="仿宋"/>
          <w:color w:val="000000"/>
          <w:kern w:val="0"/>
          <w:sz w:val="32"/>
          <w:szCs w:val="32"/>
          <w:lang w:val="en-US" w:eastAsia="zh-CN"/>
        </w:rPr>
        <w:t>呈现</w:t>
      </w:r>
      <w:r>
        <w:rPr>
          <w:rFonts w:hint="eastAsia" w:ascii="仿宋" w:hAnsi="仿宋" w:eastAsia="仿宋" w:cs="仿宋"/>
          <w:color w:val="000000"/>
          <w:kern w:val="0"/>
          <w:sz w:val="32"/>
          <w:szCs w:val="32"/>
        </w:rPr>
        <w:t>一处田园风光</w:t>
      </w:r>
      <w:r>
        <w:rPr>
          <w:rFonts w:hint="eastAsia" w:ascii="仿宋" w:hAnsi="仿宋" w:eastAsia="仿宋" w:cs="仿宋"/>
          <w:color w:val="000000"/>
          <w:kern w:val="0"/>
          <w:sz w:val="32"/>
          <w:szCs w:val="32"/>
          <w:lang w:val="en-US" w:eastAsia="zh-CN"/>
        </w:rPr>
        <w:t>与科普</w:t>
      </w:r>
      <w:r>
        <w:rPr>
          <w:rFonts w:hint="eastAsia" w:ascii="仿宋" w:hAnsi="仿宋" w:eastAsia="仿宋" w:cs="仿宋"/>
          <w:color w:val="000000"/>
          <w:kern w:val="0"/>
          <w:sz w:val="32"/>
          <w:szCs w:val="32"/>
        </w:rPr>
        <w:t>休闲</w:t>
      </w:r>
      <w:r>
        <w:rPr>
          <w:rFonts w:hint="eastAsia" w:ascii="仿宋" w:hAnsi="仿宋" w:eastAsia="仿宋" w:cs="仿宋"/>
          <w:color w:val="000000"/>
          <w:kern w:val="0"/>
          <w:sz w:val="32"/>
          <w:szCs w:val="32"/>
          <w:lang w:val="en-US" w:eastAsia="zh-CN"/>
        </w:rPr>
        <w:t>地网红</w:t>
      </w:r>
      <w:r>
        <w:rPr>
          <w:rFonts w:hint="eastAsia" w:ascii="仿宋" w:hAnsi="仿宋" w:eastAsia="仿宋" w:cs="仿宋"/>
          <w:color w:val="000000"/>
          <w:kern w:val="0"/>
          <w:sz w:val="32"/>
          <w:szCs w:val="32"/>
        </w:rPr>
        <w:t>打卡点</w:t>
      </w:r>
      <w:r>
        <w:rPr>
          <w:rFonts w:hint="eastAsia" w:ascii="仿宋" w:hAnsi="仿宋" w:eastAsia="仿宋" w:cs="仿宋"/>
          <w:sz w:val="32"/>
          <w:szCs w:val="32"/>
        </w:rPr>
        <w:t>。</w:t>
      </w:r>
    </w:p>
    <w:p>
      <w:pPr>
        <w:numPr>
          <w:ilvl w:val="0"/>
          <w:numId w:val="3"/>
        </w:numPr>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招标范围及内容：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(一)种植位置</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水稻种植区位于三十岗乡东瞿村，比邻大科学装置中心和大隐原乡科普基地中心位置。</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(二)种植内容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总占地面积约15亩，种植内容包含种植过程中所需的一切机械设备、灌溉设备、种子原材料、肥料等，以及种植劳务内容，包括不限于耕地、播种、插秧、施肥、除病虫害、浇灌、除草等劳务工作。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(三)种植景观效果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将创意农业与科普休闲旅游相结合，采用技术手段，种植彩色水稻，呈现“最美科研圣地”字体，每个字大小为长30米、宽30米。营造三十岗乡最美科研圣地科普氛围，通过航拍和瞭望视角，呈现一处田园风光与科普休闲地网红打卡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(四)配合开展户外研学活动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配合开展研学课程活动，活动周期为两个月，提供至少2人保障农业种植技术讲解服务，帮助学生们了解水稻的生长周期、种植技术、收割方法等基础知识。带领学生们观察水稻的生长情况，了解水稻的种植环境。指导学生们亲自动手收割水稻，体验劳动的艰辛与喜悦。提供镰刀或收割工具。为学生们进行知识分享，让他们了解更多关于水稻种植与收割的知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(五)种植要求</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种植期间内，必须严格遵守二级水源保护地相关法律，法规、规章、政策和政府文件规定;种植过程中不得使用违禁农药、化学性肥料、类便、城市生活垃圾或者其他可能对水源造成污染的养料;禁止使用未经净化的污水灌溉农田:种植项目产生的各种秸杆类需全部回收综合化利用，严禁焚烧。</w:t>
      </w:r>
    </w:p>
    <w:p>
      <w:pPr>
        <w:numPr>
          <w:ilvl w:val="0"/>
          <w:numId w:val="3"/>
        </w:numPr>
        <w:ind w:left="0" w:leftChars="0" w:firstLine="0" w:firstLineChars="0"/>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投标人资格要求：</w:t>
      </w:r>
    </w:p>
    <w:p>
      <w:pPr>
        <w:numPr>
          <w:ilvl w:val="0"/>
          <w:numId w:val="0"/>
        </w:numPr>
        <w:ind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numPr>
          <w:ilvl w:val="0"/>
          <w:numId w:val="3"/>
        </w:numPr>
        <w:ind w:left="0" w:leftChars="0" w:firstLine="0" w:firstLineChars="0"/>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工期要求：</w:t>
      </w:r>
      <w:r>
        <w:rPr>
          <w:rFonts w:hint="eastAsia" w:ascii="仿宋" w:hAnsi="仿宋" w:eastAsia="仿宋" w:cs="仿宋"/>
          <w:b w:val="0"/>
          <w:bCs w:val="0"/>
          <w:sz w:val="32"/>
          <w:szCs w:val="32"/>
          <w:lang w:val="en-US" w:eastAsia="zh-CN"/>
        </w:rPr>
        <w:t>90个日历天</w:t>
      </w:r>
    </w:p>
    <w:p>
      <w:pPr>
        <w:numPr>
          <w:ilvl w:val="0"/>
          <w:numId w:val="3"/>
        </w:numPr>
        <w:ind w:left="0" w:leftChars="0" w:firstLine="0" w:firstLineChars="0"/>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报价要求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本次</w:t>
      </w:r>
      <w:r>
        <w:rPr>
          <w:rFonts w:hint="eastAsia" w:ascii="仿宋" w:hAnsi="仿宋" w:eastAsia="仿宋" w:cs="仿宋"/>
          <w:sz w:val="32"/>
          <w:szCs w:val="32"/>
          <w:lang w:val="en-US" w:eastAsia="zh-CN"/>
        </w:rPr>
        <w:t>报价为总价报价</w:t>
      </w:r>
      <w:r>
        <w:rPr>
          <w:rFonts w:hint="eastAsia" w:ascii="仿宋" w:hAnsi="仿宋" w:eastAsia="仿宋" w:cs="仿宋"/>
          <w:sz w:val="32"/>
          <w:szCs w:val="32"/>
        </w:rPr>
        <w:t>，投标总价不得超出本项目概算，否则投标无效。报价包含完成本项目所发生的一切费用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包括不限于一切劳务工作、税费等完成项目的服务，</w:t>
      </w:r>
      <w:r>
        <w:rPr>
          <w:rFonts w:hint="eastAsia" w:ascii="仿宋" w:hAnsi="仿宋" w:eastAsia="仿宋" w:cs="仿宋"/>
          <w:sz w:val="32"/>
          <w:szCs w:val="32"/>
        </w:rPr>
        <w:t>最终总结算价</w:t>
      </w:r>
      <w:r>
        <w:rPr>
          <w:rFonts w:hint="eastAsia" w:ascii="仿宋" w:hAnsi="仿宋" w:eastAsia="仿宋" w:cs="仿宋"/>
          <w:sz w:val="32"/>
          <w:szCs w:val="32"/>
          <w:lang w:val="en-US" w:eastAsia="zh-CN"/>
        </w:rPr>
        <w:t>为中标价</w:t>
      </w:r>
      <w:r>
        <w:rPr>
          <w:rFonts w:hint="eastAsia" w:ascii="仿宋" w:hAnsi="仿宋" w:eastAsia="仿宋" w:cs="仿宋"/>
          <w:sz w:val="32"/>
          <w:szCs w:val="32"/>
        </w:rPr>
        <w:t>。</w:t>
      </w:r>
    </w:p>
    <w:p>
      <w:pPr>
        <w:pStyle w:val="20"/>
        <w:numPr>
          <w:ilvl w:val="0"/>
          <w:numId w:val="3"/>
        </w:numPr>
        <w:ind w:left="0" w:leftChars="0" w:firstLine="0" w:firstLineChars="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付款方式</w:t>
      </w:r>
    </w:p>
    <w:p>
      <w:pPr>
        <w:pStyle w:val="20"/>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合同签订后</w:t>
      </w:r>
      <w:r>
        <w:rPr>
          <w:rFonts w:hint="eastAsia" w:ascii="仿宋" w:hAnsi="仿宋" w:eastAsia="仿宋" w:cs="仿宋"/>
          <w:color w:val="000000"/>
          <w:kern w:val="0"/>
          <w:sz w:val="32"/>
          <w:szCs w:val="32"/>
          <w:lang w:bidi="ar"/>
        </w:rPr>
        <w:t>，</w:t>
      </w:r>
      <w:r>
        <w:rPr>
          <w:rFonts w:hint="eastAsia" w:ascii="仿宋" w:hAnsi="仿宋" w:eastAsia="仿宋" w:cs="仿宋"/>
          <w:sz w:val="32"/>
          <w:szCs w:val="32"/>
          <w:lang w:val="en-US" w:eastAsia="zh-CN"/>
        </w:rPr>
        <w:t>支付至合同价款的30%，服务期满后，经业主单位确认后支付至合同的100%。</w:t>
      </w:r>
    </w:p>
    <w:p>
      <w:pPr>
        <w:numPr>
          <w:ilvl w:val="0"/>
          <w:numId w:val="3"/>
        </w:numPr>
        <w:ind w:left="0" w:leftChars="0" w:firstLine="0" w:firstLineChars="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成果要求</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1、彩色水稻种植要求达到“</w:t>
      </w:r>
      <w:r>
        <w:rPr>
          <w:rFonts w:hint="eastAsia" w:ascii="仿宋" w:hAnsi="仿宋" w:eastAsia="仿宋" w:cs="仿宋"/>
          <w:sz w:val="32"/>
          <w:szCs w:val="32"/>
          <w:lang w:eastAsia="zh-CN"/>
        </w:rPr>
        <w:t>最美科研圣地</w:t>
      </w:r>
      <w:r>
        <w:rPr>
          <w:rFonts w:hint="eastAsia" w:ascii="仿宋" w:hAnsi="仿宋" w:eastAsia="仿宋" w:cs="仿宋"/>
          <w:sz w:val="32"/>
          <w:szCs w:val="32"/>
        </w:rPr>
        <w:t>”稻田字画效果的完美呈现，“</w:t>
      </w:r>
      <w:r>
        <w:rPr>
          <w:rFonts w:hint="eastAsia" w:ascii="仿宋" w:hAnsi="仿宋" w:eastAsia="仿宋" w:cs="仿宋"/>
          <w:sz w:val="32"/>
          <w:szCs w:val="32"/>
          <w:lang w:eastAsia="zh-CN"/>
        </w:rPr>
        <w:t>最美科研圣地</w:t>
      </w:r>
      <w:r>
        <w:rPr>
          <w:rFonts w:hint="eastAsia" w:ascii="仿宋" w:hAnsi="仿宋" w:eastAsia="仿宋" w:cs="仿宋"/>
          <w:sz w:val="32"/>
          <w:szCs w:val="32"/>
        </w:rPr>
        <w:t>”稻田字符合长30米、宽30米的大小标准，整体排版符合美学要求，同时满足甲方无人机在50至80米高度航拍时的拍摄效果(详见附件1)</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2、彩色水稻种植工作结束后未对周边环境造成污染，包括但不限于空气、土地等。</w:t>
      </w:r>
    </w:p>
    <w:p>
      <w:pPr>
        <w:rPr>
          <w:rFonts w:hint="eastAsia"/>
          <w:lang w:val="en-US" w:eastAsia="zh-CN"/>
        </w:rPr>
      </w:pPr>
      <w:r>
        <w:rPr>
          <w:rFonts w:hint="eastAsia" w:ascii="仿宋_GB2312" w:hAnsi="仿宋_GB2312" w:eastAsia="仿宋_GB2312" w:cs="仿宋_GB2312"/>
          <w:sz w:val="32"/>
          <w:szCs w:val="32"/>
          <w:lang w:val="en-US" w:eastAsia="zh-CN"/>
        </w:rPr>
        <w:drawing>
          <wp:inline distT="0" distB="0" distL="114300" distR="114300">
            <wp:extent cx="5273040" cy="2952750"/>
            <wp:effectExtent l="0" t="0" r="3810" b="0"/>
            <wp:docPr id="1" name="图片 1"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
                    <pic:cNvPicPr>
                      <a:picLocks noChangeAspect="1"/>
                    </pic:cNvPicPr>
                  </pic:nvPicPr>
                  <pic:blipFill>
                    <a:blip r:embed="rId10"/>
                    <a:stretch>
                      <a:fillRect/>
                    </a:stretch>
                  </pic:blipFill>
                  <pic:spPr>
                    <a:xfrm>
                      <a:off x="0" y="0"/>
                      <a:ext cx="5273040" cy="2952750"/>
                    </a:xfrm>
                    <a:prstGeom prst="rect">
                      <a:avLst/>
                    </a:prstGeom>
                  </pic:spPr>
                </pic:pic>
              </a:graphicData>
            </a:graphic>
          </wp:inline>
        </w:drawing>
      </w:r>
    </w:p>
    <w:p>
      <w:pPr>
        <w:pStyle w:val="19"/>
        <w:ind w:firstLine="540"/>
        <w:rPr>
          <w:rFonts w:ascii="宋体" w:hAnsi="宋体"/>
          <w:szCs w:val="24"/>
        </w:rPr>
      </w:pPr>
    </w:p>
    <w:p>
      <w:pPr>
        <w:rPr>
          <w:rFonts w:hint="eastAsia" w:ascii="黑体" w:hAnsi="黑体"/>
          <w:b w:val="0"/>
        </w:rPr>
      </w:pPr>
      <w:bookmarkStart w:id="41" w:name="_Toc38879335"/>
      <w:bookmarkStart w:id="42" w:name="_Toc63412030"/>
      <w:bookmarkStart w:id="43" w:name="_Toc22621"/>
      <w:r>
        <w:rPr>
          <w:rFonts w:hint="eastAsia" w:ascii="黑体" w:hAnsi="黑体"/>
          <w:b w:val="0"/>
        </w:rPr>
        <w:br w:type="page"/>
      </w:r>
    </w:p>
    <w:p>
      <w:pPr>
        <w:pStyle w:val="2"/>
        <w:rPr>
          <w:b w:val="0"/>
          <w:szCs w:val="22"/>
        </w:rPr>
      </w:pPr>
      <w:r>
        <w:rPr>
          <w:rFonts w:hint="eastAsia" w:ascii="黑体" w:hAnsi="黑体"/>
          <w:b w:val="0"/>
        </w:rPr>
        <w:t>第四章  评审方法</w:t>
      </w:r>
      <w:bookmarkEnd w:id="41"/>
      <w:bookmarkEnd w:id="42"/>
      <w:r>
        <w:rPr>
          <w:rFonts w:hint="eastAsia" w:ascii="黑体" w:hAnsi="黑体"/>
          <w:b w:val="0"/>
        </w:rPr>
        <w:t>与标准</w:t>
      </w:r>
      <w:bookmarkEnd w:id="43"/>
    </w:p>
    <w:p>
      <w:pPr>
        <w:adjustRightInd w:val="0"/>
        <w:snapToGrid w:val="0"/>
        <w:spacing w:line="360" w:lineRule="auto"/>
        <w:ind w:right="-10" w:firstLine="420" w:firstLineChars="175"/>
        <w:rPr>
          <w:rFonts w:hAnsi="宋体"/>
          <w:bCs/>
        </w:rPr>
      </w:pPr>
      <w:bookmarkStart w:id="44" w:name="_Toc448"/>
      <w:r>
        <w:rPr>
          <w:rFonts w:hint="eastAsia" w:hAnsi="宋体"/>
          <w:bCs/>
        </w:rPr>
        <w:t>一、总则</w:t>
      </w:r>
    </w:p>
    <w:p>
      <w:pPr>
        <w:adjustRightInd w:val="0"/>
        <w:snapToGrid w:val="0"/>
        <w:spacing w:line="360" w:lineRule="auto"/>
        <w:ind w:right="-10" w:firstLine="420" w:firstLineChars="175"/>
        <w:rPr>
          <w:rFonts w:hAnsi="宋体"/>
        </w:rPr>
      </w:pPr>
      <w:r>
        <w:rPr>
          <w:rFonts w:hint="eastAsia" w:hAnsi="宋体"/>
        </w:rPr>
        <w:t>本项目将按照磋商文件第二章 投标人须知的相关要求及本章的规定评审。</w:t>
      </w:r>
    </w:p>
    <w:p>
      <w:pPr>
        <w:numPr>
          <w:ilvl w:val="0"/>
          <w:numId w:val="4"/>
        </w:numPr>
        <w:snapToGrid w:val="0"/>
        <w:spacing w:line="360" w:lineRule="auto"/>
        <w:rPr>
          <w:rFonts w:hAnsi="宋体"/>
          <w:bCs/>
        </w:rPr>
      </w:pPr>
      <w:r>
        <w:rPr>
          <w:rFonts w:hint="eastAsia" w:hAnsi="宋体"/>
          <w:bCs/>
        </w:rPr>
        <w:t>评审方法与标准</w:t>
      </w:r>
    </w:p>
    <w:p>
      <w:pPr>
        <w:adjustRightInd w:val="0"/>
        <w:snapToGrid w:val="0"/>
        <w:spacing w:line="360" w:lineRule="auto"/>
        <w:ind w:right="-10" w:firstLine="420" w:firstLineChars="175"/>
        <w:rPr>
          <w:rFonts w:hAnsi="宋体"/>
          <w:bCs/>
        </w:rPr>
      </w:pPr>
      <w:r>
        <w:rPr>
          <w:rFonts w:hint="eastAsia" w:hAnsi="宋体"/>
          <w:bCs/>
        </w:rPr>
        <w:t>2.1 初审</w:t>
      </w:r>
    </w:p>
    <w:p>
      <w:pPr>
        <w:adjustRightInd w:val="0"/>
        <w:snapToGrid w:val="0"/>
        <w:spacing w:line="360" w:lineRule="auto"/>
        <w:ind w:right="-10" w:firstLine="420" w:firstLineChars="175"/>
        <w:rPr>
          <w:rFonts w:hAnsi="宋体"/>
        </w:rPr>
      </w:pPr>
      <w:r>
        <w:rPr>
          <w:rFonts w:hint="eastAsia" w:hAnsi="宋体"/>
        </w:rPr>
        <w:t>磋商小组对投标人的响应文件进行初审，以确定其是否满足磋商文件的实质</w:t>
      </w:r>
    </w:p>
    <w:p>
      <w:pPr>
        <w:adjustRightInd w:val="0"/>
        <w:snapToGrid w:val="0"/>
        <w:spacing w:line="360" w:lineRule="auto"/>
        <w:ind w:right="-10" w:firstLine="420" w:firstLineChars="175"/>
      </w:pPr>
      <w:r>
        <w:rPr>
          <w:rFonts w:hint="eastAsia" w:hAnsi="宋体"/>
        </w:rPr>
        <w:t>性要求。初审表如下：</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2414"/>
        <w:gridCol w:w="2182"/>
        <w:gridCol w:w="773"/>
        <w:gridCol w:w="2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5000" w:type="pct"/>
            <w:gridSpan w:val="5"/>
            <w:vAlign w:val="center"/>
          </w:tcPr>
          <w:p>
            <w:pPr>
              <w:pStyle w:val="34"/>
              <w:pBdr>
                <w:bottom w:val="none" w:color="auto" w:sz="0" w:space="0"/>
              </w:pBdr>
              <w:tabs>
                <w:tab w:val="clear" w:pos="4153"/>
                <w:tab w:val="clear" w:pos="8306"/>
              </w:tabs>
              <w:snapToGrid w:val="0"/>
              <w:spacing w:line="360" w:lineRule="auto"/>
              <w:ind w:right="-10"/>
              <w:textAlignment w:val="auto"/>
              <w:rPr>
                <w:rFonts w:hAnsi="宋体"/>
                <w:kern w:val="2"/>
                <w:szCs w:val="24"/>
              </w:rPr>
            </w:pPr>
            <w:r>
              <w:rPr>
                <w:rFonts w:hint="eastAsia" w:hAnsi="宋体"/>
                <w:szCs w:val="24"/>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18" w:type="pct"/>
            <w:tcBorders>
              <w:bottom w:val="single" w:color="auto" w:sz="4" w:space="0"/>
            </w:tcBorders>
            <w:vAlign w:val="center"/>
          </w:tcPr>
          <w:p>
            <w:pPr>
              <w:adjustRightInd w:val="0"/>
              <w:snapToGrid w:val="0"/>
              <w:spacing w:line="360" w:lineRule="auto"/>
              <w:ind w:right="-10"/>
              <w:jc w:val="center"/>
              <w:rPr>
                <w:rFonts w:hAnsi="宋体"/>
                <w:szCs w:val="24"/>
              </w:rPr>
            </w:pPr>
            <w:r>
              <w:rPr>
                <w:rFonts w:hint="eastAsia" w:hAnsi="宋体"/>
                <w:szCs w:val="24"/>
              </w:rPr>
              <w:t>序号</w:t>
            </w:r>
          </w:p>
        </w:tc>
        <w:tc>
          <w:tcPr>
            <w:tcW w:w="1384" w:type="pct"/>
            <w:tcBorders>
              <w:bottom w:val="single" w:color="auto" w:sz="4" w:space="0"/>
            </w:tcBorders>
            <w:vAlign w:val="center"/>
          </w:tcPr>
          <w:p>
            <w:pPr>
              <w:pStyle w:val="34"/>
              <w:pBdr>
                <w:bottom w:val="none" w:color="auto" w:sz="0" w:space="0"/>
              </w:pBdr>
              <w:tabs>
                <w:tab w:val="clear" w:pos="4153"/>
                <w:tab w:val="clear" w:pos="8306"/>
              </w:tabs>
              <w:snapToGrid w:val="0"/>
              <w:spacing w:line="420" w:lineRule="exact"/>
              <w:ind w:right="-11"/>
              <w:textAlignment w:val="auto"/>
              <w:rPr>
                <w:rFonts w:hAnsi="宋体"/>
                <w:kern w:val="2"/>
                <w:szCs w:val="24"/>
              </w:rPr>
            </w:pPr>
            <w:r>
              <w:rPr>
                <w:rFonts w:hint="eastAsia" w:hAnsi="宋体"/>
                <w:kern w:val="2"/>
                <w:szCs w:val="24"/>
              </w:rPr>
              <w:t>指标名称</w:t>
            </w:r>
          </w:p>
        </w:tc>
        <w:tc>
          <w:tcPr>
            <w:tcW w:w="1251"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指标要求</w:t>
            </w:r>
          </w:p>
        </w:tc>
        <w:tc>
          <w:tcPr>
            <w:tcW w:w="443"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是否通过</w:t>
            </w:r>
          </w:p>
        </w:tc>
        <w:tc>
          <w:tcPr>
            <w:tcW w:w="1502"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18" w:type="pct"/>
            <w:tcBorders>
              <w:bottom w:val="single" w:color="auto" w:sz="4" w:space="0"/>
            </w:tcBorders>
            <w:vAlign w:val="center"/>
          </w:tcPr>
          <w:p>
            <w:pPr>
              <w:adjustRightInd w:val="0"/>
              <w:snapToGrid w:val="0"/>
              <w:spacing w:line="360" w:lineRule="auto"/>
              <w:ind w:right="-10" w:rightChars="0"/>
              <w:jc w:val="center"/>
              <w:rPr>
                <w:rFonts w:hAnsi="宋体"/>
                <w:szCs w:val="24"/>
              </w:rPr>
            </w:pPr>
            <w:r>
              <w:rPr>
                <w:rFonts w:hint="eastAsia" w:hAnsi="宋体"/>
                <w:szCs w:val="24"/>
              </w:rPr>
              <w:t>1</w:t>
            </w:r>
          </w:p>
        </w:tc>
        <w:tc>
          <w:tcPr>
            <w:tcW w:w="1384" w:type="pct"/>
            <w:tcBorders>
              <w:bottom w:val="single" w:color="auto" w:sz="4" w:space="0"/>
            </w:tcBorders>
            <w:vAlign w:val="center"/>
          </w:tcPr>
          <w:p>
            <w:pPr>
              <w:spacing w:line="420" w:lineRule="exact"/>
              <w:ind w:right="-11"/>
              <w:jc w:val="center"/>
              <w:rPr>
                <w:rFonts w:hAnsi="宋体"/>
                <w:szCs w:val="24"/>
              </w:rPr>
            </w:pPr>
            <w:r>
              <w:rPr>
                <w:rFonts w:hint="eastAsia" w:hAnsi="宋体"/>
                <w:szCs w:val="24"/>
              </w:rPr>
              <w:t>营业执照或事业单位法人证书</w:t>
            </w:r>
          </w:p>
        </w:tc>
        <w:tc>
          <w:tcPr>
            <w:tcW w:w="1251" w:type="pct"/>
            <w:tcBorders>
              <w:bottom w:val="single" w:color="auto" w:sz="4" w:space="0"/>
            </w:tcBorders>
            <w:vAlign w:val="center"/>
          </w:tcPr>
          <w:p>
            <w:pPr>
              <w:spacing w:line="420" w:lineRule="exact"/>
              <w:ind w:right="-11"/>
              <w:jc w:val="center"/>
              <w:rPr>
                <w:rFonts w:hAnsi="宋体"/>
                <w:szCs w:val="24"/>
              </w:rPr>
            </w:pPr>
            <w:r>
              <w:rPr>
                <w:rFonts w:hint="eastAsia" w:hAnsi="宋体"/>
                <w:szCs w:val="24"/>
              </w:rPr>
              <w:t>合法有效</w:t>
            </w:r>
          </w:p>
        </w:tc>
        <w:tc>
          <w:tcPr>
            <w:tcW w:w="443" w:type="pct"/>
            <w:tcBorders>
              <w:bottom w:val="single" w:color="auto" w:sz="4" w:space="0"/>
            </w:tcBorders>
            <w:vAlign w:val="center"/>
          </w:tcPr>
          <w:p>
            <w:pPr>
              <w:adjustRightInd w:val="0"/>
              <w:snapToGrid w:val="0"/>
              <w:spacing w:line="420" w:lineRule="exact"/>
              <w:ind w:right="-11"/>
              <w:jc w:val="center"/>
              <w:rPr>
                <w:rFonts w:hAnsi="宋体"/>
                <w:szCs w:val="24"/>
              </w:rPr>
            </w:pPr>
          </w:p>
        </w:tc>
        <w:tc>
          <w:tcPr>
            <w:tcW w:w="1502"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提供有效的营业执照（或事业单位法人证书）的复印件</w:t>
            </w:r>
            <w:r>
              <w:rPr>
                <w:rFonts w:hint="eastAsia" w:hAnsi="宋体"/>
                <w:bCs/>
                <w:szCs w:val="24"/>
              </w:rPr>
              <w:t>，应完整的体现出营业执照</w:t>
            </w:r>
            <w:r>
              <w:rPr>
                <w:rFonts w:hint="eastAsia" w:hAnsi="宋体"/>
                <w:szCs w:val="24"/>
              </w:rPr>
              <w:t>（或事业单位法人证书）</w:t>
            </w:r>
            <w:r>
              <w:rPr>
                <w:rFonts w:hint="eastAsia" w:hAnsi="宋体"/>
                <w:bCs/>
                <w:szCs w:val="24"/>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418" w:type="pct"/>
            <w:vAlign w:val="center"/>
          </w:tcPr>
          <w:p>
            <w:pPr>
              <w:adjustRightInd w:val="0"/>
              <w:snapToGrid w:val="0"/>
              <w:spacing w:line="360" w:lineRule="auto"/>
              <w:ind w:right="-10" w:rightChars="0"/>
              <w:jc w:val="center"/>
              <w:rPr>
                <w:rFonts w:hAnsi="宋体"/>
                <w:szCs w:val="24"/>
              </w:rPr>
            </w:pPr>
            <w:r>
              <w:rPr>
                <w:rFonts w:hint="eastAsia" w:hAnsi="宋体"/>
                <w:szCs w:val="24"/>
              </w:rPr>
              <w:t>2</w:t>
            </w:r>
          </w:p>
        </w:tc>
        <w:tc>
          <w:tcPr>
            <w:tcW w:w="1384" w:type="pct"/>
            <w:vAlign w:val="center"/>
          </w:tcPr>
          <w:p>
            <w:pPr>
              <w:spacing w:line="420" w:lineRule="exact"/>
              <w:ind w:right="-11"/>
              <w:jc w:val="center"/>
              <w:rPr>
                <w:rFonts w:hAnsi="宋体"/>
                <w:szCs w:val="24"/>
              </w:rPr>
            </w:pPr>
            <w:r>
              <w:rPr>
                <w:rFonts w:hint="eastAsia" w:hAnsi="宋体"/>
                <w:szCs w:val="24"/>
              </w:rPr>
              <w:t>投标函</w:t>
            </w:r>
          </w:p>
        </w:tc>
        <w:tc>
          <w:tcPr>
            <w:tcW w:w="1251" w:type="pct"/>
            <w:vAlign w:val="center"/>
          </w:tcPr>
          <w:p>
            <w:pPr>
              <w:spacing w:line="420" w:lineRule="exact"/>
              <w:ind w:right="-11"/>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502" w:type="pct"/>
            <w:vAlign w:val="center"/>
          </w:tcPr>
          <w:p>
            <w:pPr>
              <w:adjustRightInd w:val="0"/>
              <w:snapToGrid w:val="0"/>
              <w:spacing w:line="420" w:lineRule="exact"/>
              <w:ind w:right="-11"/>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8" w:type="pct"/>
            <w:vAlign w:val="center"/>
          </w:tcPr>
          <w:p>
            <w:pPr>
              <w:adjustRightInd w:val="0"/>
              <w:snapToGrid w:val="0"/>
              <w:spacing w:line="360" w:lineRule="auto"/>
              <w:ind w:right="-10" w:rightChars="0"/>
              <w:jc w:val="center"/>
              <w:rPr>
                <w:rFonts w:ascii="宋体" w:hAnsi="宋体" w:eastAsia="宋体" w:cs="Times New Roman"/>
                <w:sz w:val="24"/>
                <w:szCs w:val="24"/>
                <w:lang w:val="en-US" w:eastAsia="zh-CN" w:bidi="ar-SA"/>
              </w:rPr>
            </w:pPr>
            <w:r>
              <w:rPr>
                <w:rFonts w:hint="eastAsia" w:hAnsi="宋体"/>
                <w:szCs w:val="24"/>
              </w:rPr>
              <w:t>3</w:t>
            </w:r>
          </w:p>
        </w:tc>
        <w:tc>
          <w:tcPr>
            <w:tcW w:w="1384" w:type="pct"/>
            <w:vAlign w:val="center"/>
          </w:tcPr>
          <w:p>
            <w:pPr>
              <w:spacing w:line="420" w:lineRule="exact"/>
              <w:ind w:right="-11"/>
              <w:jc w:val="center"/>
              <w:rPr>
                <w:rFonts w:hAnsi="宋体"/>
                <w:szCs w:val="24"/>
              </w:rPr>
            </w:pPr>
            <w:r>
              <w:rPr>
                <w:rFonts w:hint="eastAsia" w:hAnsi="宋体"/>
                <w:szCs w:val="24"/>
              </w:rPr>
              <w:t>投标授权书</w:t>
            </w:r>
          </w:p>
        </w:tc>
        <w:tc>
          <w:tcPr>
            <w:tcW w:w="1251" w:type="pct"/>
            <w:vAlign w:val="center"/>
          </w:tcPr>
          <w:p>
            <w:pPr>
              <w:spacing w:line="420" w:lineRule="exact"/>
              <w:ind w:right="-11"/>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502" w:type="pct"/>
            <w:vAlign w:val="center"/>
          </w:tcPr>
          <w:p>
            <w:pPr>
              <w:adjustRightInd w:val="0"/>
              <w:snapToGrid w:val="0"/>
              <w:spacing w:line="420" w:lineRule="exact"/>
              <w:ind w:right="-11"/>
              <w:jc w:val="center"/>
              <w:rPr>
                <w:rFonts w:hAnsi="宋体"/>
                <w:szCs w:val="24"/>
              </w:rPr>
            </w:pPr>
            <w:r>
              <w:rPr>
                <w:rFonts w:hint="eastAsia" w:hAnsi="宋体"/>
                <w:szCs w:val="24"/>
              </w:rPr>
              <w:t>详见第六章投标文件格式“投标授权书”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8" w:type="pct"/>
            <w:vAlign w:val="center"/>
          </w:tcPr>
          <w:p>
            <w:pPr>
              <w:adjustRightInd w:val="0"/>
              <w:snapToGrid w:val="0"/>
              <w:spacing w:line="360" w:lineRule="auto"/>
              <w:ind w:right="-10" w:rightChars="0"/>
              <w:jc w:val="center"/>
              <w:rPr>
                <w:rFonts w:hint="eastAsia" w:ascii="宋体" w:hAnsi="宋体" w:eastAsia="宋体" w:cs="Times New Roman"/>
                <w:sz w:val="24"/>
                <w:szCs w:val="24"/>
                <w:lang w:val="en-US" w:eastAsia="zh-CN" w:bidi="ar-SA"/>
              </w:rPr>
            </w:pPr>
            <w:r>
              <w:rPr>
                <w:rFonts w:hint="eastAsia" w:hAnsi="宋体"/>
                <w:szCs w:val="24"/>
                <w:lang w:val="en-US" w:eastAsia="zh-CN"/>
              </w:rPr>
              <w:t>4</w:t>
            </w:r>
          </w:p>
        </w:tc>
        <w:tc>
          <w:tcPr>
            <w:tcW w:w="1384" w:type="pct"/>
            <w:vAlign w:val="center"/>
          </w:tcPr>
          <w:p>
            <w:pPr>
              <w:spacing w:after="50" w:line="360" w:lineRule="auto"/>
              <w:ind w:right="-10"/>
              <w:jc w:val="center"/>
              <w:rPr>
                <w:rFonts w:hAnsi="宋体"/>
                <w:szCs w:val="24"/>
              </w:rPr>
            </w:pPr>
            <w:r>
              <w:rPr>
                <w:rFonts w:hint="eastAsia" w:hAnsi="宋体"/>
                <w:szCs w:val="24"/>
              </w:rPr>
              <w:t>投标人信用承诺</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360" w:lineRule="auto"/>
              <w:ind w:right="-10"/>
              <w:jc w:val="center"/>
              <w:rPr>
                <w:rFonts w:hAnsi="宋体"/>
                <w:szCs w:val="24"/>
              </w:rPr>
            </w:pPr>
          </w:p>
        </w:tc>
        <w:tc>
          <w:tcPr>
            <w:tcW w:w="1502" w:type="pct"/>
            <w:vAlign w:val="center"/>
          </w:tcPr>
          <w:p>
            <w:pPr>
              <w:adjustRightInd w:val="0"/>
              <w:snapToGrid w:val="0"/>
              <w:spacing w:line="360" w:lineRule="auto"/>
              <w:ind w:right="-10"/>
              <w:jc w:val="center"/>
              <w:rPr>
                <w:rFonts w:hAnsi="宋体"/>
                <w:szCs w:val="24"/>
              </w:rPr>
            </w:pPr>
            <w:r>
              <w:rPr>
                <w:rFonts w:hint="eastAsia" w:hAnsi="宋体"/>
                <w:szCs w:val="24"/>
              </w:rPr>
              <w:t>详见第六章投标文件格式</w:t>
            </w:r>
            <w:r>
              <w:rPr>
                <w:rFonts w:hint="eastAsia" w:hAnsi="宋体"/>
              </w:rPr>
              <w:t>“</w:t>
            </w:r>
            <w:r>
              <w:rPr>
                <w:rFonts w:hint="eastAsia" w:hAnsi="宋体"/>
                <w:szCs w:val="24"/>
              </w:rPr>
              <w:t>投标人信用承诺</w:t>
            </w:r>
            <w:r>
              <w:rPr>
                <w:rFonts w:hint="eastAsia" w:hAnsi="宋体"/>
              </w:rPr>
              <w:t>”</w:t>
            </w:r>
            <w:r>
              <w:rPr>
                <w:rFonts w:hint="eastAsia" w:hAnsi="宋体"/>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8" w:type="pct"/>
            <w:vAlign w:val="center"/>
          </w:tcPr>
          <w:p>
            <w:pPr>
              <w:adjustRightInd w:val="0"/>
              <w:snapToGrid w:val="0"/>
              <w:spacing w:line="360" w:lineRule="auto"/>
              <w:ind w:right="-10" w:rightChars="0"/>
              <w:jc w:val="center"/>
              <w:rPr>
                <w:rFonts w:hint="eastAsia" w:ascii="宋体" w:hAnsi="宋体" w:eastAsia="宋体" w:cs="Times New Roman"/>
                <w:sz w:val="24"/>
                <w:szCs w:val="24"/>
                <w:lang w:val="en-US" w:eastAsia="zh-CN" w:bidi="ar-SA"/>
              </w:rPr>
            </w:pPr>
            <w:r>
              <w:rPr>
                <w:rFonts w:hint="eastAsia" w:hAnsi="宋体"/>
                <w:szCs w:val="24"/>
                <w:lang w:val="en-US" w:eastAsia="zh-CN"/>
              </w:rPr>
              <w:t>5</w:t>
            </w:r>
          </w:p>
        </w:tc>
        <w:tc>
          <w:tcPr>
            <w:tcW w:w="1384" w:type="pct"/>
            <w:vAlign w:val="center"/>
          </w:tcPr>
          <w:p>
            <w:pPr>
              <w:spacing w:after="50" w:line="360" w:lineRule="auto"/>
              <w:ind w:right="-10"/>
              <w:jc w:val="center"/>
              <w:rPr>
                <w:rFonts w:hAnsi="宋体"/>
                <w:szCs w:val="24"/>
              </w:rPr>
            </w:pPr>
            <w:r>
              <w:rPr>
                <w:rFonts w:hint="eastAsia" w:hAnsi="宋体"/>
                <w:szCs w:val="24"/>
              </w:rPr>
              <w:t>开标一览表</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502" w:type="pct"/>
            <w:vAlign w:val="center"/>
          </w:tcPr>
          <w:p>
            <w:pPr>
              <w:adjustRightInd w:val="0"/>
              <w:snapToGrid w:val="0"/>
              <w:spacing w:line="420" w:lineRule="exact"/>
              <w:ind w:right="-11"/>
              <w:jc w:val="center"/>
              <w:rPr>
                <w:rFonts w:hAnsi="宋体"/>
                <w:szCs w:val="24"/>
              </w:rPr>
            </w:pPr>
            <w:r>
              <w:rPr>
                <w:rFonts w:hint="eastAsia" w:hAnsi="宋体"/>
                <w:szCs w:val="24"/>
              </w:rPr>
              <w:t>第六章投标文件格式一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8" w:type="pct"/>
            <w:vAlign w:val="center"/>
          </w:tcPr>
          <w:p>
            <w:pPr>
              <w:adjustRightInd w:val="0"/>
              <w:snapToGrid w:val="0"/>
              <w:spacing w:line="360" w:lineRule="auto"/>
              <w:ind w:right="-10" w:rightChars="0"/>
              <w:jc w:val="center"/>
              <w:rPr>
                <w:rFonts w:hint="eastAsia" w:ascii="宋体" w:hAnsi="宋体" w:eastAsia="宋体" w:cs="Times New Roman"/>
                <w:sz w:val="24"/>
                <w:szCs w:val="24"/>
                <w:lang w:val="en-US" w:eastAsia="zh-CN" w:bidi="ar-SA"/>
              </w:rPr>
            </w:pPr>
            <w:r>
              <w:rPr>
                <w:rFonts w:hint="eastAsia" w:hAnsi="宋体"/>
                <w:szCs w:val="24"/>
                <w:lang w:val="en-US" w:eastAsia="zh-CN"/>
              </w:rPr>
              <w:t>6</w:t>
            </w:r>
          </w:p>
        </w:tc>
        <w:tc>
          <w:tcPr>
            <w:tcW w:w="1384" w:type="pct"/>
            <w:vAlign w:val="center"/>
          </w:tcPr>
          <w:p>
            <w:pPr>
              <w:spacing w:after="50" w:line="360" w:lineRule="auto"/>
              <w:ind w:right="-10"/>
              <w:jc w:val="center"/>
              <w:rPr>
                <w:rFonts w:hAnsi="宋体"/>
                <w:szCs w:val="24"/>
              </w:rPr>
            </w:pPr>
            <w:r>
              <w:rPr>
                <w:rFonts w:hint="eastAsia" w:hAnsi="宋体"/>
                <w:szCs w:val="24"/>
              </w:rPr>
              <w:t>投标报价</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502" w:type="pct"/>
            <w:vAlign w:val="center"/>
          </w:tcPr>
          <w:p>
            <w:pPr>
              <w:adjustRightInd w:val="0"/>
              <w:snapToGrid w:val="0"/>
              <w:spacing w:line="420" w:lineRule="exact"/>
              <w:ind w:right="-11"/>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8" w:type="pct"/>
            <w:vAlign w:val="center"/>
          </w:tcPr>
          <w:p>
            <w:pPr>
              <w:adjustRightInd w:val="0"/>
              <w:snapToGrid w:val="0"/>
              <w:spacing w:line="360" w:lineRule="auto"/>
              <w:ind w:right="-10" w:rightChars="0"/>
              <w:jc w:val="center"/>
              <w:rPr>
                <w:rFonts w:hint="eastAsia" w:ascii="宋体" w:hAnsi="宋体" w:eastAsia="宋体" w:cs="Times New Roman"/>
                <w:sz w:val="24"/>
                <w:szCs w:val="24"/>
                <w:lang w:val="en-US" w:eastAsia="zh-CN" w:bidi="ar-SA"/>
              </w:rPr>
            </w:pPr>
            <w:r>
              <w:rPr>
                <w:rFonts w:hint="eastAsia" w:hAnsi="宋体"/>
                <w:szCs w:val="24"/>
                <w:lang w:val="en-US" w:eastAsia="zh-CN"/>
              </w:rPr>
              <w:t>7</w:t>
            </w:r>
          </w:p>
        </w:tc>
        <w:tc>
          <w:tcPr>
            <w:tcW w:w="1384" w:type="pct"/>
            <w:vAlign w:val="center"/>
          </w:tcPr>
          <w:p>
            <w:pPr>
              <w:spacing w:line="420" w:lineRule="exact"/>
              <w:ind w:right="-11"/>
              <w:jc w:val="center"/>
              <w:rPr>
                <w:rFonts w:hAnsi="宋体"/>
                <w:kern w:val="2"/>
                <w:szCs w:val="24"/>
              </w:rPr>
            </w:pPr>
            <w:r>
              <w:rPr>
                <w:rFonts w:hint="eastAsia" w:hAnsi="宋体"/>
                <w:szCs w:val="24"/>
              </w:rPr>
              <w:t>标书响应情况</w:t>
            </w:r>
          </w:p>
        </w:tc>
        <w:tc>
          <w:tcPr>
            <w:tcW w:w="1251" w:type="pct"/>
            <w:vAlign w:val="center"/>
          </w:tcPr>
          <w:p>
            <w:pPr>
              <w:spacing w:line="420" w:lineRule="exact"/>
              <w:ind w:right="-11"/>
              <w:jc w:val="center"/>
              <w:rPr>
                <w:rFonts w:hAnsi="宋体"/>
                <w:kern w:val="2"/>
                <w:szCs w:val="24"/>
              </w:rPr>
            </w:pPr>
            <w:r>
              <w:rPr>
                <w:rFonts w:hint="eastAsia" w:hAnsi="宋体"/>
                <w:szCs w:val="24"/>
              </w:rPr>
              <w:t>质量响应、工期响应</w:t>
            </w:r>
          </w:p>
        </w:tc>
        <w:tc>
          <w:tcPr>
            <w:tcW w:w="443" w:type="pct"/>
            <w:vAlign w:val="center"/>
          </w:tcPr>
          <w:p>
            <w:pPr>
              <w:adjustRightInd w:val="0"/>
              <w:snapToGrid w:val="0"/>
              <w:spacing w:line="420" w:lineRule="exact"/>
              <w:ind w:right="-11"/>
              <w:jc w:val="center"/>
              <w:rPr>
                <w:rFonts w:hAnsi="宋体"/>
                <w:kern w:val="2"/>
                <w:szCs w:val="24"/>
              </w:rPr>
            </w:pPr>
          </w:p>
        </w:tc>
        <w:tc>
          <w:tcPr>
            <w:tcW w:w="1502" w:type="pct"/>
            <w:vAlign w:val="center"/>
          </w:tcPr>
          <w:p>
            <w:pPr>
              <w:adjustRightInd w:val="0"/>
              <w:snapToGrid w:val="0"/>
              <w:spacing w:line="360" w:lineRule="auto"/>
              <w:ind w:right="-10"/>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8" w:type="pct"/>
            <w:vAlign w:val="center"/>
          </w:tcPr>
          <w:p>
            <w:pPr>
              <w:adjustRightInd w:val="0"/>
              <w:snapToGrid w:val="0"/>
              <w:spacing w:line="360" w:lineRule="auto"/>
              <w:ind w:right="-10" w:rightChars="0"/>
              <w:jc w:val="center"/>
              <w:rPr>
                <w:rFonts w:hint="default" w:hAnsi="宋体" w:eastAsia="宋体"/>
                <w:szCs w:val="24"/>
                <w:lang w:val="en-US" w:eastAsia="zh-CN"/>
              </w:rPr>
            </w:pPr>
            <w:r>
              <w:rPr>
                <w:rFonts w:hint="eastAsia" w:hAnsi="宋体"/>
                <w:szCs w:val="24"/>
                <w:lang w:val="en-US" w:eastAsia="zh-CN"/>
              </w:rPr>
              <w:t>8</w:t>
            </w:r>
          </w:p>
        </w:tc>
        <w:tc>
          <w:tcPr>
            <w:tcW w:w="1384" w:type="pct"/>
            <w:vAlign w:val="center"/>
          </w:tcPr>
          <w:p>
            <w:pPr>
              <w:spacing w:line="420" w:lineRule="exact"/>
              <w:ind w:right="-11"/>
              <w:jc w:val="center"/>
              <w:rPr>
                <w:rFonts w:hAnsi="宋体"/>
                <w:kern w:val="2"/>
                <w:szCs w:val="24"/>
              </w:rPr>
            </w:pPr>
            <w:r>
              <w:rPr>
                <w:rFonts w:hint="eastAsia" w:hAnsi="宋体"/>
                <w:szCs w:val="24"/>
              </w:rPr>
              <w:t>标书规范性</w:t>
            </w:r>
          </w:p>
        </w:tc>
        <w:tc>
          <w:tcPr>
            <w:tcW w:w="1251" w:type="pct"/>
            <w:vAlign w:val="center"/>
          </w:tcPr>
          <w:p>
            <w:pPr>
              <w:pStyle w:val="34"/>
              <w:pBdr>
                <w:bottom w:val="none" w:color="auto" w:sz="0" w:space="0"/>
              </w:pBdr>
              <w:tabs>
                <w:tab w:val="clear" w:pos="4153"/>
                <w:tab w:val="clear" w:pos="8306"/>
              </w:tabs>
              <w:adjustRightInd/>
              <w:spacing w:line="420" w:lineRule="exact"/>
              <w:ind w:right="-11"/>
              <w:textAlignment w:val="auto"/>
              <w:rPr>
                <w:rFonts w:hAnsi="宋体"/>
                <w:kern w:val="2"/>
                <w:szCs w:val="24"/>
              </w:rPr>
            </w:pPr>
            <w:r>
              <w:rPr>
                <w:rFonts w:hint="eastAsia" w:hAnsi="宋体"/>
                <w:szCs w:val="24"/>
              </w:rPr>
              <w:t>无严重的编排混乱、内容不全或字迹模糊辨认不清、前后矛盾情况，对评标无实质性影响的</w:t>
            </w:r>
          </w:p>
        </w:tc>
        <w:tc>
          <w:tcPr>
            <w:tcW w:w="443" w:type="pct"/>
            <w:vAlign w:val="center"/>
          </w:tcPr>
          <w:p>
            <w:pPr>
              <w:adjustRightInd w:val="0"/>
              <w:snapToGrid w:val="0"/>
              <w:spacing w:line="420" w:lineRule="exact"/>
              <w:ind w:right="-11"/>
              <w:jc w:val="center"/>
              <w:rPr>
                <w:rFonts w:hAnsi="宋体"/>
                <w:kern w:val="2"/>
                <w:szCs w:val="24"/>
              </w:rPr>
            </w:pPr>
          </w:p>
        </w:tc>
        <w:tc>
          <w:tcPr>
            <w:tcW w:w="1502" w:type="pct"/>
            <w:vAlign w:val="center"/>
          </w:tcPr>
          <w:p>
            <w:pPr>
              <w:adjustRightInd w:val="0"/>
              <w:snapToGrid w:val="0"/>
              <w:spacing w:line="420" w:lineRule="exact"/>
              <w:ind w:right="-11"/>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8" w:type="pct"/>
            <w:vAlign w:val="center"/>
          </w:tcPr>
          <w:p>
            <w:pPr>
              <w:adjustRightInd w:val="0"/>
              <w:snapToGrid w:val="0"/>
              <w:spacing w:line="360" w:lineRule="auto"/>
              <w:ind w:right="-10" w:rightChars="0"/>
              <w:jc w:val="center"/>
              <w:rPr>
                <w:rFonts w:hint="default" w:hAnsi="宋体" w:eastAsia="宋体"/>
                <w:szCs w:val="24"/>
                <w:lang w:val="en-US" w:eastAsia="zh-CN"/>
              </w:rPr>
            </w:pPr>
            <w:r>
              <w:rPr>
                <w:rFonts w:hint="eastAsia" w:hAnsi="宋体"/>
                <w:szCs w:val="24"/>
                <w:lang w:val="en-US" w:eastAsia="zh-CN"/>
              </w:rPr>
              <w:t>9</w:t>
            </w:r>
          </w:p>
        </w:tc>
        <w:tc>
          <w:tcPr>
            <w:tcW w:w="1384" w:type="pct"/>
            <w:vAlign w:val="center"/>
          </w:tcPr>
          <w:p>
            <w:pPr>
              <w:spacing w:line="420" w:lineRule="exact"/>
              <w:ind w:right="-11"/>
              <w:jc w:val="center"/>
              <w:rPr>
                <w:rFonts w:hAnsi="宋体"/>
                <w:kern w:val="2"/>
                <w:szCs w:val="24"/>
              </w:rPr>
            </w:pPr>
            <w:r>
              <w:rPr>
                <w:rFonts w:hint="eastAsia" w:hAnsi="宋体"/>
                <w:szCs w:val="24"/>
              </w:rPr>
              <w:t>其他要求</w:t>
            </w:r>
          </w:p>
        </w:tc>
        <w:tc>
          <w:tcPr>
            <w:tcW w:w="1251" w:type="pct"/>
            <w:vAlign w:val="center"/>
          </w:tcPr>
          <w:p>
            <w:pPr>
              <w:spacing w:line="420" w:lineRule="exact"/>
              <w:ind w:right="-11"/>
              <w:jc w:val="center"/>
              <w:rPr>
                <w:rFonts w:hAnsi="宋体"/>
                <w:kern w:val="2"/>
                <w:szCs w:val="24"/>
              </w:rPr>
            </w:pPr>
            <w:r>
              <w:rPr>
                <w:rFonts w:hint="eastAsia" w:hAnsi="宋体"/>
                <w:szCs w:val="24"/>
              </w:rPr>
              <w:t>上述指标中未列出，但国家相关法律法规或磋商文件有明确规定的</w:t>
            </w:r>
          </w:p>
        </w:tc>
        <w:tc>
          <w:tcPr>
            <w:tcW w:w="443" w:type="pct"/>
            <w:vAlign w:val="center"/>
          </w:tcPr>
          <w:p>
            <w:pPr>
              <w:adjustRightInd w:val="0"/>
              <w:snapToGrid w:val="0"/>
              <w:spacing w:line="420" w:lineRule="exact"/>
              <w:ind w:right="-11"/>
              <w:jc w:val="center"/>
              <w:rPr>
                <w:rFonts w:hAnsi="宋体"/>
                <w:kern w:val="2"/>
                <w:szCs w:val="24"/>
              </w:rPr>
            </w:pPr>
          </w:p>
        </w:tc>
        <w:tc>
          <w:tcPr>
            <w:tcW w:w="1502" w:type="pct"/>
            <w:vAlign w:val="center"/>
          </w:tcPr>
          <w:p>
            <w:pPr>
              <w:adjustRightInd w:val="0"/>
              <w:snapToGrid w:val="0"/>
              <w:spacing w:line="420" w:lineRule="exact"/>
              <w:ind w:right="-11"/>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5"/>
            <w:vAlign w:val="center"/>
          </w:tcPr>
          <w:p>
            <w:pPr>
              <w:adjustRightInd w:val="0"/>
              <w:snapToGrid w:val="0"/>
              <w:spacing w:line="360" w:lineRule="auto"/>
              <w:ind w:right="-10"/>
              <w:rPr>
                <w:rFonts w:hAnsi="宋体"/>
                <w:szCs w:val="24"/>
              </w:rPr>
            </w:pPr>
            <w:r>
              <w:rPr>
                <w:rFonts w:hint="eastAsia" w:hAnsi="宋体"/>
              </w:rPr>
              <w:t>初审指标通过标准：投标人必须通过初审表中的全部评审指标。</w:t>
            </w:r>
          </w:p>
        </w:tc>
      </w:tr>
    </w:tbl>
    <w:p>
      <w:pPr>
        <w:adjustRightInd w:val="0"/>
        <w:snapToGrid w:val="0"/>
        <w:spacing w:before="240" w:beforeLines="100" w:line="360" w:lineRule="auto"/>
        <w:ind w:right="-11" w:firstLine="420" w:firstLineChars="175"/>
        <w:rPr>
          <w:rFonts w:hAnsi="宋体"/>
          <w:bCs/>
        </w:rPr>
      </w:pPr>
      <w:r>
        <w:rPr>
          <w:rFonts w:hint="eastAsia" w:hAnsi="宋体"/>
          <w:bCs/>
        </w:rPr>
        <w:t>2.2 综合评分</w:t>
      </w:r>
    </w:p>
    <w:p>
      <w:pPr>
        <w:adjustRightInd w:val="0"/>
        <w:snapToGrid w:val="0"/>
        <w:spacing w:line="360" w:lineRule="auto"/>
        <w:ind w:right="-10" w:firstLine="420" w:firstLineChars="175"/>
        <w:rPr>
          <w:rFonts w:hAnsi="宋体"/>
        </w:rPr>
      </w:pPr>
      <w:r>
        <w:rPr>
          <w:rFonts w:hint="eastAsia" w:hAnsi="宋体"/>
        </w:rPr>
        <w:t>2.2.1本项目综合评分满分为100 分，其中：技术资信分值占总分值的权重</w:t>
      </w:r>
    </w:p>
    <w:p>
      <w:pPr>
        <w:adjustRightInd w:val="0"/>
        <w:snapToGrid w:val="0"/>
        <w:spacing w:line="360" w:lineRule="auto"/>
        <w:ind w:right="-10" w:firstLine="420" w:firstLineChars="175"/>
        <w:rPr>
          <w:rFonts w:hAnsi="宋体"/>
        </w:rPr>
      </w:pPr>
      <w:r>
        <w:rPr>
          <w:rFonts w:hint="eastAsia" w:hAnsi="宋体"/>
        </w:rPr>
        <w:t>为</w:t>
      </w:r>
      <w:r>
        <w:rPr>
          <w:rFonts w:hint="eastAsia" w:hAnsi="宋体"/>
          <w:u w:val="single"/>
        </w:rPr>
        <w:t xml:space="preserve"> </w:t>
      </w:r>
      <w:r>
        <w:rPr>
          <w:rFonts w:hint="eastAsia" w:hAnsi="宋体"/>
          <w:u w:val="single"/>
          <w:lang w:val="en-US" w:eastAsia="zh-CN"/>
        </w:rPr>
        <w:t>70</w:t>
      </w:r>
      <w:r>
        <w:rPr>
          <w:rFonts w:hint="eastAsia" w:hAnsi="宋体"/>
          <w:u w:val="single"/>
        </w:rPr>
        <w:t xml:space="preserve"> %</w:t>
      </w:r>
      <w:r>
        <w:rPr>
          <w:rFonts w:hint="eastAsia" w:hAnsi="宋体"/>
        </w:rPr>
        <w:t>，价格分值占总分值的权重为</w:t>
      </w:r>
      <w:r>
        <w:rPr>
          <w:rFonts w:hint="eastAsia" w:hAnsi="宋体"/>
          <w:u w:val="single"/>
        </w:rPr>
        <w:t xml:space="preserve">  </w:t>
      </w:r>
      <w:r>
        <w:rPr>
          <w:rFonts w:hint="eastAsia" w:hAnsi="宋体"/>
          <w:u w:val="single"/>
          <w:lang w:val="en-US" w:eastAsia="zh-CN"/>
        </w:rPr>
        <w:t>30</w:t>
      </w:r>
      <w:r>
        <w:rPr>
          <w:rFonts w:hint="eastAsia" w:hAnsi="宋体"/>
          <w:u w:val="single"/>
        </w:rPr>
        <w:t xml:space="preserve">  %</w:t>
      </w:r>
      <w:r>
        <w:rPr>
          <w:rFonts w:hint="eastAsia" w:hAnsi="宋体"/>
        </w:rPr>
        <w:t>。</w:t>
      </w:r>
    </w:p>
    <w:p>
      <w:pPr>
        <w:adjustRightInd w:val="0"/>
        <w:snapToGrid w:val="0"/>
        <w:spacing w:line="360" w:lineRule="auto"/>
        <w:ind w:right="-10" w:firstLine="420" w:firstLineChars="175"/>
        <w:rPr>
          <w:rFonts w:hAnsi="宋体"/>
        </w:rPr>
      </w:pPr>
      <w:r>
        <w:rPr>
          <w:rFonts w:hint="eastAsia" w:hAnsi="宋体"/>
        </w:rPr>
        <w:t>2.2.2 磋商小组按照下表对通过初审的所有投标人的响应文件进行综合评分，具体评分细则如下：</w:t>
      </w:r>
    </w:p>
    <w:p>
      <w:pPr>
        <w:adjustRightInd w:val="0"/>
        <w:snapToGrid w:val="0"/>
        <w:spacing w:line="360" w:lineRule="auto"/>
        <w:ind w:right="-10" w:firstLine="420" w:firstLineChars="175"/>
        <w:rPr>
          <w:rFonts w:hAnsi="宋体"/>
        </w:rPr>
      </w:pPr>
      <w:r>
        <w:rPr>
          <w:rFonts w:hint="eastAsia" w:hAnsi="宋体"/>
        </w:rPr>
        <w:t>2.2.2.1技术资信分</w:t>
      </w:r>
      <w:bookmarkStart w:id="92" w:name="_GoBack"/>
      <w:bookmarkEnd w:id="92"/>
    </w:p>
    <w:tbl>
      <w:tblPr>
        <w:tblStyle w:val="21"/>
        <w:tblpPr w:leftFromText="180" w:rightFromText="180" w:vertAnchor="text" w:horzAnchor="page" w:tblpX="1779" w:tblpY="43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298"/>
        <w:gridCol w:w="1017"/>
        <w:gridCol w:w="5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4"/>
          </w:tcPr>
          <w:p>
            <w:pPr>
              <w:snapToGrid w:val="0"/>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66" w:type="pct"/>
            <w:vMerge w:val="restart"/>
            <w:vAlign w:val="center"/>
          </w:tcPr>
          <w:p>
            <w:pPr>
              <w:snapToGrid w:val="0"/>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类别</w:t>
            </w:r>
          </w:p>
        </w:tc>
        <w:tc>
          <w:tcPr>
            <w:tcW w:w="1327" w:type="pct"/>
            <w:gridSpan w:val="2"/>
            <w:vAlign w:val="center"/>
          </w:tcPr>
          <w:p>
            <w:pPr>
              <w:snapToGrid w:val="0"/>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评审分项</w:t>
            </w:r>
          </w:p>
        </w:tc>
        <w:tc>
          <w:tcPr>
            <w:tcW w:w="3205" w:type="pct"/>
            <w:vMerge w:val="restart"/>
            <w:vAlign w:val="center"/>
          </w:tcPr>
          <w:p>
            <w:pPr>
              <w:snapToGrid w:val="0"/>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66" w:type="pct"/>
            <w:vMerge w:val="continue"/>
          </w:tcPr>
          <w:p>
            <w:pPr>
              <w:snapToGrid w:val="0"/>
              <w:spacing w:line="400" w:lineRule="exact"/>
              <w:rPr>
                <w:rFonts w:hint="eastAsia" w:ascii="宋体" w:hAnsi="宋体" w:eastAsia="宋体" w:cs="宋体"/>
                <w:sz w:val="24"/>
                <w:szCs w:val="24"/>
              </w:rPr>
            </w:pPr>
          </w:p>
        </w:tc>
        <w:tc>
          <w:tcPr>
            <w:tcW w:w="744" w:type="pct"/>
            <w:vAlign w:val="center"/>
          </w:tcPr>
          <w:p>
            <w:pPr>
              <w:widowControl/>
              <w:jc w:val="center"/>
              <w:rPr>
                <w:rFonts w:hint="eastAsia" w:ascii="宋体" w:hAnsi="宋体" w:eastAsia="宋体" w:cs="宋体"/>
                <w:b/>
                <w:sz w:val="24"/>
                <w:szCs w:val="24"/>
              </w:rPr>
            </w:pPr>
            <w:r>
              <w:rPr>
                <w:rFonts w:hint="eastAsia" w:ascii="宋体" w:hAnsi="宋体" w:eastAsia="宋体" w:cs="宋体"/>
                <w:b/>
                <w:sz w:val="24"/>
                <w:szCs w:val="24"/>
              </w:rPr>
              <w:t>内容</w:t>
            </w:r>
          </w:p>
        </w:tc>
        <w:tc>
          <w:tcPr>
            <w:tcW w:w="583" w:type="pct"/>
            <w:vAlign w:val="center"/>
          </w:tcPr>
          <w:p>
            <w:pPr>
              <w:widowControl/>
              <w:jc w:val="center"/>
              <w:rPr>
                <w:rFonts w:hint="eastAsia" w:ascii="宋体" w:hAnsi="宋体" w:eastAsia="宋体" w:cs="宋体"/>
                <w:b/>
                <w:sz w:val="24"/>
                <w:szCs w:val="24"/>
              </w:rPr>
            </w:pPr>
            <w:r>
              <w:rPr>
                <w:rFonts w:hint="eastAsia" w:ascii="宋体" w:hAnsi="宋体" w:eastAsia="宋体" w:cs="宋体"/>
                <w:b/>
                <w:sz w:val="24"/>
                <w:szCs w:val="24"/>
              </w:rPr>
              <w:t>分值</w:t>
            </w:r>
          </w:p>
        </w:tc>
        <w:tc>
          <w:tcPr>
            <w:tcW w:w="3205" w:type="pct"/>
            <w:vMerge w:val="continue"/>
          </w:tcPr>
          <w:p>
            <w:pPr>
              <w:snapToGrid w:val="0"/>
              <w:spacing w:line="400" w:lineRule="exact"/>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466" w:type="pct"/>
            <w:vMerge w:val="restart"/>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商务部分（4</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744" w:type="pct"/>
            <w:vAlign w:val="center"/>
          </w:tcPr>
          <w:p>
            <w:pPr>
              <w:widowControl/>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投标人综合实力</w:t>
            </w:r>
          </w:p>
        </w:tc>
        <w:tc>
          <w:tcPr>
            <w:tcW w:w="583" w:type="pct"/>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分</w:t>
            </w:r>
          </w:p>
        </w:tc>
        <w:tc>
          <w:tcPr>
            <w:tcW w:w="3205" w:type="pct"/>
            <w:vAlign w:val="center"/>
          </w:tcPr>
          <w:p>
            <w:pPr>
              <w:widowControl/>
              <w:jc w:val="left"/>
              <w:rPr>
                <w:rFonts w:hint="eastAsia" w:ascii="宋体" w:hAnsi="宋体" w:eastAsia="宋体" w:cs="宋体"/>
                <w:sz w:val="24"/>
                <w:szCs w:val="24"/>
                <w:lang w:eastAsia="zh-CN"/>
              </w:rPr>
            </w:pPr>
            <w:r>
              <w:rPr>
                <w:rFonts w:hint="eastAsia" w:ascii="宋体" w:hAnsi="宋体" w:eastAsia="宋体" w:cs="宋体"/>
                <w:sz w:val="24"/>
                <w:szCs w:val="24"/>
              </w:rPr>
              <w:t>（1）投标人具有</w:t>
            </w:r>
            <w:r>
              <w:rPr>
                <w:rFonts w:hint="eastAsia" w:ascii="宋体" w:hAnsi="宋体" w:eastAsia="宋体" w:cs="宋体"/>
                <w:sz w:val="24"/>
                <w:szCs w:val="24"/>
                <w:lang w:val="en-US" w:eastAsia="zh-CN"/>
              </w:rPr>
              <w:t>国家级高新技术企业</w:t>
            </w:r>
            <w:r>
              <w:rPr>
                <w:rFonts w:hint="eastAsia" w:ascii="宋体" w:hAnsi="宋体" w:eastAsia="宋体" w:cs="宋体"/>
                <w:sz w:val="24"/>
                <w:szCs w:val="24"/>
              </w:rPr>
              <w:t>认证证书</w:t>
            </w:r>
            <w:r>
              <w:rPr>
                <w:rFonts w:hint="eastAsia" w:ascii="宋体" w:hAnsi="宋体" w:cs="宋体"/>
                <w:sz w:val="24"/>
                <w:szCs w:val="24"/>
                <w:lang w:eastAsia="zh-CN"/>
              </w:rPr>
              <w:t>，</w:t>
            </w:r>
            <w:r>
              <w:rPr>
                <w:rFonts w:hint="eastAsia" w:ascii="宋体" w:hAnsi="宋体" w:eastAsia="宋体" w:cs="宋体"/>
                <w:sz w:val="24"/>
                <w:szCs w:val="24"/>
              </w:rPr>
              <w:t>得</w:t>
            </w:r>
            <w:r>
              <w:rPr>
                <w:rFonts w:hint="eastAsia" w:ascii="宋体" w:hAnsi="宋体" w:eastAsia="宋体" w:cs="宋体"/>
                <w:sz w:val="24"/>
                <w:szCs w:val="24"/>
                <w:lang w:val="en-US" w:eastAsia="zh-CN"/>
              </w:rPr>
              <w:t>8</w:t>
            </w:r>
            <w:r>
              <w:rPr>
                <w:rFonts w:hint="eastAsia" w:ascii="宋体" w:hAnsi="宋体" w:eastAsia="宋体" w:cs="宋体"/>
                <w:sz w:val="24"/>
                <w:szCs w:val="24"/>
              </w:rPr>
              <w:t>分</w:t>
            </w:r>
            <w:r>
              <w:rPr>
                <w:rFonts w:hint="eastAsia" w:ascii="宋体" w:hAnsi="宋体" w:cs="宋体"/>
                <w:sz w:val="24"/>
                <w:szCs w:val="24"/>
                <w:lang w:eastAsia="zh-CN"/>
              </w:rPr>
              <w:t>；</w:t>
            </w:r>
          </w:p>
          <w:p>
            <w:pPr>
              <w:widowControl/>
              <w:jc w:val="left"/>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cs="宋体"/>
                <w:sz w:val="24"/>
                <w:szCs w:val="24"/>
                <w:lang w:val="en-US" w:eastAsia="zh-CN"/>
              </w:rPr>
              <w:t>投标人</w:t>
            </w:r>
            <w:r>
              <w:rPr>
                <w:rFonts w:hint="eastAsia" w:ascii="宋体" w:hAnsi="宋体" w:eastAsia="宋体" w:cs="宋体"/>
                <w:sz w:val="24"/>
                <w:szCs w:val="24"/>
                <w:lang w:val="en-US" w:eastAsia="zh-CN"/>
              </w:rPr>
              <w:t>具有与农业高校或科研院所关于水稻种植</w:t>
            </w:r>
            <w:r>
              <w:rPr>
                <w:rFonts w:hint="eastAsia" w:ascii="宋体" w:hAnsi="宋体" w:cs="宋体"/>
                <w:sz w:val="24"/>
                <w:szCs w:val="24"/>
                <w:lang w:val="en-US" w:eastAsia="zh-CN"/>
              </w:rPr>
              <w:t>相关</w:t>
            </w:r>
            <w:r>
              <w:rPr>
                <w:rFonts w:hint="eastAsia" w:ascii="宋体" w:hAnsi="宋体" w:eastAsia="宋体" w:cs="宋体"/>
                <w:sz w:val="24"/>
                <w:szCs w:val="24"/>
                <w:lang w:val="en-US" w:eastAsia="zh-CN"/>
              </w:rPr>
              <w:t>合作协议</w:t>
            </w:r>
            <w:r>
              <w:rPr>
                <w:rFonts w:hint="eastAsia" w:ascii="宋体" w:hAnsi="宋体" w:cs="宋体"/>
                <w:sz w:val="24"/>
                <w:szCs w:val="24"/>
                <w:lang w:eastAsia="zh-CN"/>
              </w:rPr>
              <w:t>，</w:t>
            </w:r>
            <w:r>
              <w:rPr>
                <w:rFonts w:hint="eastAsia" w:ascii="宋体" w:hAnsi="宋体" w:eastAsia="宋体" w:cs="宋体"/>
                <w:sz w:val="24"/>
                <w:szCs w:val="24"/>
              </w:rPr>
              <w:t>得</w:t>
            </w:r>
            <w:r>
              <w:rPr>
                <w:rFonts w:hint="eastAsia" w:ascii="宋体" w:hAnsi="宋体" w:cs="宋体"/>
                <w:sz w:val="24"/>
                <w:szCs w:val="24"/>
                <w:lang w:val="en-US" w:eastAsia="zh-CN"/>
              </w:rPr>
              <w:t>8</w:t>
            </w:r>
            <w:r>
              <w:rPr>
                <w:rFonts w:hint="eastAsia" w:ascii="宋体" w:hAnsi="宋体" w:eastAsia="宋体" w:cs="宋体"/>
                <w:sz w:val="24"/>
                <w:szCs w:val="24"/>
              </w:rPr>
              <w:t>分</w:t>
            </w:r>
            <w:r>
              <w:rPr>
                <w:rFonts w:hint="eastAsia" w:ascii="宋体" w:hAnsi="宋体" w:cs="宋体"/>
                <w:sz w:val="24"/>
                <w:szCs w:val="24"/>
                <w:lang w:eastAsia="zh-CN"/>
              </w:rPr>
              <w:t>；</w:t>
            </w:r>
          </w:p>
          <w:p>
            <w:pPr>
              <w:widowControl/>
              <w:jc w:val="left"/>
              <w:rPr>
                <w:rFonts w:hint="eastAsia" w:ascii="宋体" w:hAnsi="宋体" w:eastAsia="宋体" w:cs="宋体"/>
                <w:b/>
                <w:bCs/>
                <w:sz w:val="24"/>
                <w:szCs w:val="24"/>
              </w:rPr>
            </w:pPr>
            <w:r>
              <w:rPr>
                <w:rFonts w:hint="eastAsia" w:ascii="宋体" w:hAnsi="宋体" w:eastAsia="宋体" w:cs="宋体"/>
                <w:b/>
                <w:bCs/>
                <w:sz w:val="24"/>
                <w:szCs w:val="24"/>
              </w:rPr>
              <w:t>备注：</w:t>
            </w:r>
          </w:p>
          <w:p>
            <w:pPr>
              <w:widowControl/>
              <w:jc w:val="left"/>
              <w:rPr>
                <w:rFonts w:hint="eastAsia" w:ascii="宋体" w:hAnsi="宋体" w:eastAsia="宋体" w:cs="宋体"/>
                <w:b/>
                <w:bCs/>
                <w:sz w:val="24"/>
                <w:szCs w:val="24"/>
              </w:rPr>
            </w:pPr>
            <w:r>
              <w:rPr>
                <w:rFonts w:hint="eastAsia" w:ascii="宋体" w:hAnsi="宋体" w:eastAsia="宋体" w:cs="宋体"/>
                <w:b/>
                <w:bCs/>
                <w:sz w:val="24"/>
                <w:szCs w:val="24"/>
              </w:rPr>
              <w:t>1.同类证书不重复得分。</w:t>
            </w:r>
          </w:p>
          <w:p>
            <w:pPr>
              <w:widowControl/>
              <w:jc w:val="left"/>
              <w:rPr>
                <w:rFonts w:hint="eastAsia" w:ascii="宋体" w:hAnsi="宋体" w:eastAsia="宋体" w:cs="宋体"/>
                <w:b/>
                <w:sz w:val="24"/>
                <w:szCs w:val="24"/>
              </w:rPr>
            </w:pPr>
            <w:r>
              <w:rPr>
                <w:rFonts w:hint="eastAsia" w:ascii="宋体" w:hAnsi="宋体" w:eastAsia="宋体" w:cs="宋体"/>
                <w:b/>
                <w:bCs/>
                <w:sz w:val="24"/>
                <w:szCs w:val="24"/>
              </w:rPr>
              <w:t>2.投标文件中提供证书扫描件或影印件。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trPr>
        <w:tc>
          <w:tcPr>
            <w:tcW w:w="466" w:type="pct"/>
            <w:vMerge w:val="continue"/>
          </w:tcPr>
          <w:p>
            <w:pPr>
              <w:snapToGrid w:val="0"/>
              <w:rPr>
                <w:rFonts w:hint="eastAsia" w:ascii="宋体" w:hAnsi="宋体" w:eastAsia="宋体" w:cs="宋体"/>
                <w:sz w:val="24"/>
                <w:szCs w:val="24"/>
              </w:rPr>
            </w:pPr>
          </w:p>
        </w:tc>
        <w:tc>
          <w:tcPr>
            <w:tcW w:w="744"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人员配备</w:t>
            </w:r>
          </w:p>
        </w:tc>
        <w:tc>
          <w:tcPr>
            <w:tcW w:w="583" w:type="pct"/>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分</w:t>
            </w:r>
          </w:p>
        </w:tc>
        <w:tc>
          <w:tcPr>
            <w:tcW w:w="3205" w:type="pct"/>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1.项目负责人具有</w:t>
            </w:r>
            <w:r>
              <w:rPr>
                <w:rFonts w:hint="eastAsia" w:ascii="宋体" w:hAnsi="宋体" w:eastAsia="宋体" w:cs="宋体"/>
                <w:sz w:val="24"/>
                <w:szCs w:val="24"/>
                <w:lang w:val="en-US" w:eastAsia="zh-CN"/>
              </w:rPr>
              <w:t>高</w:t>
            </w:r>
            <w:r>
              <w:rPr>
                <w:rFonts w:hint="eastAsia" w:ascii="宋体" w:hAnsi="宋体" w:eastAsia="宋体" w:cs="宋体"/>
                <w:sz w:val="24"/>
                <w:szCs w:val="24"/>
              </w:rPr>
              <w:t>级</w:t>
            </w:r>
            <w:r>
              <w:rPr>
                <w:rFonts w:hint="eastAsia" w:ascii="宋体" w:hAnsi="宋体" w:eastAsia="宋体" w:cs="宋体"/>
                <w:sz w:val="24"/>
                <w:szCs w:val="24"/>
                <w:lang w:val="en-US" w:eastAsia="zh-CN"/>
              </w:rPr>
              <w:t>农艺师职称</w:t>
            </w:r>
            <w:r>
              <w:rPr>
                <w:rFonts w:hint="eastAsia" w:ascii="宋体" w:hAnsi="宋体" w:eastAsia="宋体" w:cs="宋体"/>
                <w:sz w:val="24"/>
                <w:szCs w:val="24"/>
              </w:rPr>
              <w:t>得</w:t>
            </w:r>
            <w:r>
              <w:rPr>
                <w:rFonts w:hint="eastAsia" w:ascii="宋体" w:hAnsi="宋体" w:eastAsia="宋体" w:cs="宋体"/>
                <w:sz w:val="24"/>
                <w:szCs w:val="24"/>
                <w:lang w:val="en-US" w:eastAsia="zh-CN"/>
              </w:rPr>
              <w:t>5</w:t>
            </w:r>
            <w:r>
              <w:rPr>
                <w:rFonts w:hint="eastAsia" w:ascii="宋体" w:hAnsi="宋体" w:eastAsia="宋体" w:cs="宋体"/>
                <w:sz w:val="24"/>
                <w:szCs w:val="24"/>
              </w:rPr>
              <w:t>分；其他情况不得分。</w:t>
            </w:r>
          </w:p>
          <w:p>
            <w:pPr>
              <w:widowControl/>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项目水稻</w:t>
            </w:r>
            <w:r>
              <w:rPr>
                <w:rFonts w:hint="eastAsia" w:ascii="宋体" w:hAnsi="宋体" w:eastAsia="宋体" w:cs="宋体"/>
                <w:sz w:val="24"/>
                <w:szCs w:val="24"/>
              </w:rPr>
              <w:t>技术</w:t>
            </w:r>
            <w:r>
              <w:rPr>
                <w:rFonts w:hint="eastAsia" w:ascii="宋体" w:hAnsi="宋体" w:eastAsia="宋体" w:cs="宋体"/>
                <w:sz w:val="24"/>
                <w:szCs w:val="24"/>
                <w:lang w:val="en-US" w:eastAsia="zh-CN"/>
              </w:rPr>
              <w:t>管理</w:t>
            </w:r>
            <w:r>
              <w:rPr>
                <w:rFonts w:hint="eastAsia" w:ascii="宋体" w:hAnsi="宋体" w:eastAsia="宋体" w:cs="宋体"/>
                <w:sz w:val="24"/>
                <w:szCs w:val="24"/>
              </w:rPr>
              <w:t>人</w:t>
            </w:r>
            <w:r>
              <w:rPr>
                <w:rFonts w:hint="eastAsia" w:ascii="宋体" w:hAnsi="宋体" w:eastAsia="宋体" w:cs="宋体"/>
                <w:sz w:val="24"/>
                <w:szCs w:val="24"/>
                <w:lang w:val="en-US" w:eastAsia="zh-CN"/>
              </w:rPr>
              <w:t>员</w:t>
            </w:r>
            <w:r>
              <w:rPr>
                <w:rFonts w:hint="eastAsia" w:ascii="宋体" w:hAnsi="宋体" w:eastAsia="宋体" w:cs="宋体"/>
                <w:sz w:val="24"/>
                <w:szCs w:val="24"/>
              </w:rPr>
              <w:t>具有</w:t>
            </w:r>
            <w:r>
              <w:rPr>
                <w:rFonts w:hint="eastAsia" w:ascii="宋体" w:hAnsi="宋体" w:cs="宋体"/>
                <w:sz w:val="24"/>
                <w:szCs w:val="24"/>
                <w:lang w:val="en-US" w:eastAsia="zh-CN"/>
              </w:rPr>
              <w:t>农业相关</w:t>
            </w:r>
            <w:r>
              <w:rPr>
                <w:rFonts w:hint="eastAsia" w:ascii="宋体" w:hAnsi="宋体" w:eastAsia="宋体" w:cs="宋体"/>
                <w:sz w:val="24"/>
                <w:szCs w:val="24"/>
              </w:rPr>
              <w:t>中级及以上</w:t>
            </w:r>
            <w:r>
              <w:rPr>
                <w:rFonts w:hint="eastAsia" w:ascii="宋体" w:hAnsi="宋体" w:eastAsia="宋体" w:cs="宋体"/>
                <w:sz w:val="24"/>
                <w:szCs w:val="24"/>
                <w:lang w:val="en-US" w:eastAsia="zh-CN"/>
              </w:rPr>
              <w:t>职称</w:t>
            </w:r>
            <w:r>
              <w:rPr>
                <w:rFonts w:hint="eastAsia" w:ascii="宋体" w:hAnsi="宋体" w:cs="宋体"/>
                <w:sz w:val="24"/>
                <w:szCs w:val="24"/>
                <w:lang w:val="en-US" w:eastAsia="zh-CN"/>
              </w:rPr>
              <w:t>，每有一个证书得5分，总分10</w:t>
            </w:r>
            <w:r>
              <w:rPr>
                <w:rFonts w:hint="eastAsia" w:ascii="宋体" w:hAnsi="宋体" w:eastAsia="宋体" w:cs="宋体"/>
                <w:sz w:val="24"/>
                <w:szCs w:val="24"/>
              </w:rPr>
              <w:t>分；其他情况不得分。</w:t>
            </w:r>
          </w:p>
          <w:p>
            <w:pPr>
              <w:widowControl/>
              <w:jc w:val="left"/>
              <w:rPr>
                <w:rFonts w:hint="eastAsia" w:ascii="宋体" w:hAnsi="宋体" w:eastAsia="宋体" w:cs="宋体"/>
                <w:b/>
                <w:bCs/>
                <w:sz w:val="24"/>
                <w:szCs w:val="24"/>
              </w:rPr>
            </w:pPr>
            <w:r>
              <w:rPr>
                <w:rFonts w:hint="eastAsia" w:ascii="宋体" w:hAnsi="宋体" w:eastAsia="宋体" w:cs="宋体"/>
                <w:b/>
                <w:bCs/>
                <w:sz w:val="24"/>
                <w:szCs w:val="24"/>
              </w:rPr>
              <w:t>备注：</w:t>
            </w:r>
          </w:p>
          <w:p>
            <w:pPr>
              <w:widowControl/>
              <w:numPr>
                <w:ilvl w:val="0"/>
                <w:numId w:val="0"/>
              </w:numPr>
              <w:jc w:val="left"/>
              <w:rPr>
                <w:rFonts w:hint="eastAsia" w:ascii="宋体" w:hAnsi="宋体" w:eastAsia="宋体" w:cs="宋体"/>
                <w:b/>
                <w:bCs/>
                <w:sz w:val="24"/>
                <w:szCs w:val="24"/>
                <w:lang w:eastAsia="zh-CN"/>
              </w:rPr>
            </w:pPr>
            <w:r>
              <w:rPr>
                <w:rFonts w:hint="eastAsia" w:ascii="宋体" w:hAnsi="宋体" w:eastAsia="宋体" w:cs="宋体"/>
                <w:b/>
                <w:bCs/>
                <w:kern w:val="2"/>
                <w:sz w:val="24"/>
                <w:szCs w:val="24"/>
                <w:lang w:val="en-US" w:eastAsia="zh-CN" w:bidi="ar-SA"/>
              </w:rPr>
              <w:t>1.</w:t>
            </w:r>
            <w:r>
              <w:rPr>
                <w:rFonts w:hint="eastAsia" w:ascii="宋体" w:hAnsi="宋体" w:eastAsia="宋体" w:cs="宋体"/>
                <w:b/>
                <w:bCs/>
                <w:sz w:val="24"/>
                <w:szCs w:val="24"/>
                <w:lang w:val="en-US" w:eastAsia="zh-CN"/>
              </w:rPr>
              <w:t>以上需提供专业人员的资格证书</w:t>
            </w:r>
            <w:r>
              <w:rPr>
                <w:rFonts w:hint="eastAsia" w:ascii="宋体" w:hAnsi="宋体" w:eastAsia="宋体" w:cs="宋体"/>
                <w:b/>
                <w:bCs/>
                <w:sz w:val="24"/>
                <w:szCs w:val="24"/>
              </w:rPr>
              <w:t>文件复印件，否则该项不得分</w:t>
            </w:r>
            <w:r>
              <w:rPr>
                <w:rFonts w:hint="eastAsia" w:ascii="宋体" w:hAnsi="宋体" w:eastAsia="宋体" w:cs="宋体"/>
                <w:b/>
                <w:bCs/>
                <w:sz w:val="24"/>
                <w:szCs w:val="24"/>
                <w:lang w:eastAsia="zh-CN"/>
              </w:rPr>
              <w:t>；</w:t>
            </w:r>
          </w:p>
          <w:p>
            <w:pPr>
              <w:pStyle w:val="10"/>
              <w:rPr>
                <w:rFonts w:hint="eastAsia" w:ascii="宋体" w:hAnsi="宋体" w:eastAsia="宋体" w:cs="宋体"/>
                <w:sz w:val="24"/>
                <w:szCs w:val="24"/>
                <w:lang w:val="en-US" w:eastAsia="zh-CN"/>
              </w:rPr>
            </w:pPr>
            <w:r>
              <w:rPr>
                <w:rFonts w:hint="eastAsia" w:ascii="宋体" w:hAnsi="宋体" w:eastAsia="宋体" w:cs="宋体"/>
                <w:b/>
                <w:bCs/>
                <w:kern w:val="2"/>
                <w:sz w:val="24"/>
                <w:szCs w:val="24"/>
                <w:lang w:val="en-US" w:eastAsia="zh-CN" w:bidi="ar-SA"/>
              </w:rPr>
              <w:t>2.</w:t>
            </w:r>
            <w:r>
              <w:rPr>
                <w:rFonts w:hint="eastAsia" w:ascii="宋体" w:hAnsi="宋体" w:eastAsia="宋体" w:cs="宋体"/>
                <w:b/>
                <w:bCs/>
                <w:sz w:val="24"/>
                <w:szCs w:val="24"/>
                <w:lang w:val="en-US" w:eastAsia="zh-CN"/>
              </w:rPr>
              <w:t>项目负责人需提供</w:t>
            </w:r>
            <w:r>
              <w:rPr>
                <w:rFonts w:hint="eastAsia" w:ascii="宋体" w:hAnsi="宋体" w:cs="宋体"/>
                <w:b/>
                <w:bCs/>
                <w:sz w:val="24"/>
                <w:szCs w:val="24"/>
                <w:lang w:val="en-US" w:eastAsia="zh-CN"/>
              </w:rPr>
              <w:t>近三个月任意一个月</w:t>
            </w:r>
            <w:r>
              <w:rPr>
                <w:rFonts w:hint="eastAsia" w:ascii="宋体" w:hAnsi="宋体" w:eastAsia="宋体" w:cs="宋体"/>
                <w:b/>
                <w:bCs/>
                <w:sz w:val="24"/>
                <w:szCs w:val="24"/>
                <w:lang w:val="en-US" w:eastAsia="zh-CN"/>
              </w:rPr>
              <w:t>社保证明相关材料</w:t>
            </w:r>
            <w:r>
              <w:rPr>
                <w:rFonts w:hint="eastAsia" w:ascii="宋体" w:hAnsi="宋体" w:eastAsia="宋体" w:cs="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6" w:type="pct"/>
            <w:vMerge w:val="continue"/>
          </w:tcPr>
          <w:p>
            <w:pPr>
              <w:snapToGrid w:val="0"/>
              <w:rPr>
                <w:rFonts w:hint="eastAsia" w:ascii="宋体" w:hAnsi="宋体" w:eastAsia="宋体" w:cs="宋体"/>
                <w:sz w:val="24"/>
                <w:szCs w:val="24"/>
                <w:lang w:val="en-US"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p>
        </w:tc>
        <w:tc>
          <w:tcPr>
            <w:tcW w:w="744"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机械配备</w:t>
            </w:r>
          </w:p>
        </w:tc>
        <w:tc>
          <w:tcPr>
            <w:tcW w:w="583" w:type="pct"/>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分</w:t>
            </w:r>
          </w:p>
        </w:tc>
        <w:tc>
          <w:tcPr>
            <w:tcW w:w="3205" w:type="pct"/>
            <w:vAlign w:val="center"/>
          </w:tcPr>
          <w:p>
            <w:pPr>
              <w:widowControl/>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标投供应商为本项目配备以下</w:t>
            </w:r>
            <w:r>
              <w:rPr>
                <w:rFonts w:hint="eastAsia" w:ascii="宋体" w:hAnsi="宋体" w:eastAsia="宋体" w:cs="宋体"/>
                <w:b w:val="0"/>
                <w:bCs w:val="0"/>
                <w:color w:val="auto"/>
                <w:sz w:val="24"/>
                <w:szCs w:val="24"/>
                <w:lang w:val="en-US" w:eastAsia="zh-CN"/>
              </w:rPr>
              <w:t>农业机械</w:t>
            </w:r>
            <w:r>
              <w:rPr>
                <w:rFonts w:hint="eastAsia" w:ascii="宋体" w:hAnsi="宋体" w:eastAsia="宋体" w:cs="宋体"/>
                <w:b w:val="0"/>
                <w:bCs w:val="0"/>
                <w:color w:val="auto"/>
                <w:sz w:val="24"/>
                <w:szCs w:val="24"/>
              </w:rPr>
              <w:t>设备</w:t>
            </w:r>
            <w:r>
              <w:rPr>
                <w:rFonts w:hint="eastAsia" w:ascii="宋体" w:hAnsi="宋体" w:eastAsia="宋体" w:cs="宋体"/>
                <w:b w:val="0"/>
                <w:bCs w:val="0"/>
                <w:color w:val="auto"/>
                <w:sz w:val="24"/>
                <w:szCs w:val="24"/>
                <w:lang w:eastAsia="zh-CN"/>
              </w:rPr>
              <w:t>：</w:t>
            </w:r>
          </w:p>
          <w:p>
            <w:pPr>
              <w:widowControl/>
              <w:numPr>
                <w:ilvl w:val="0"/>
                <w:numId w:val="0"/>
              </w:num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kern w:val="2"/>
                <w:sz w:val="24"/>
                <w:szCs w:val="24"/>
                <w:lang w:val="en-US" w:eastAsia="zh-CN" w:bidi="ar-SA"/>
              </w:rPr>
              <w:t>1.</w:t>
            </w:r>
            <w:r>
              <w:rPr>
                <w:rFonts w:hint="eastAsia" w:ascii="宋体" w:hAnsi="宋体" w:eastAsia="宋体" w:cs="宋体"/>
                <w:b w:val="0"/>
                <w:bCs w:val="0"/>
                <w:color w:val="auto"/>
                <w:sz w:val="24"/>
                <w:szCs w:val="24"/>
                <w:lang w:val="en-US" w:eastAsia="zh-CN"/>
              </w:rPr>
              <w:t>旋耕机械、收割机设备，</w:t>
            </w:r>
            <w:r>
              <w:rPr>
                <w:rFonts w:hint="eastAsia" w:ascii="宋体" w:hAnsi="宋体" w:eastAsia="宋体" w:cs="宋体"/>
                <w:b w:val="0"/>
                <w:bCs w:val="0"/>
                <w:sz w:val="24"/>
                <w:szCs w:val="24"/>
              </w:rPr>
              <w:t>得</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分</w:t>
            </w:r>
            <w:r>
              <w:rPr>
                <w:rFonts w:hint="eastAsia" w:ascii="宋体" w:hAnsi="宋体" w:eastAsia="宋体" w:cs="宋体"/>
                <w:b w:val="0"/>
                <w:bCs w:val="0"/>
                <w:sz w:val="24"/>
                <w:szCs w:val="24"/>
                <w:lang w:eastAsia="zh-CN"/>
              </w:rPr>
              <w:t>；</w:t>
            </w:r>
          </w:p>
          <w:p>
            <w:pPr>
              <w:pStyle w:val="1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kern w:val="2"/>
                <w:sz w:val="24"/>
                <w:szCs w:val="24"/>
                <w:lang w:val="en-US" w:eastAsia="zh-CN" w:bidi="ar-SA"/>
              </w:rPr>
              <w:t>2.</w:t>
            </w:r>
            <w:r>
              <w:rPr>
                <w:rFonts w:hint="eastAsia" w:ascii="宋体" w:hAnsi="宋体" w:eastAsia="宋体" w:cs="宋体"/>
                <w:sz w:val="24"/>
                <w:szCs w:val="24"/>
                <w:lang w:val="en-US" w:eastAsia="zh-CN"/>
              </w:rPr>
              <w:t>滴灌系统</w:t>
            </w:r>
            <w:r>
              <w:rPr>
                <w:rFonts w:hint="eastAsia" w:ascii="宋体" w:hAnsi="宋体" w:eastAsia="宋体" w:cs="宋体"/>
                <w:b w:val="0"/>
                <w:bCs w:val="0"/>
                <w:color w:val="auto"/>
                <w:sz w:val="24"/>
                <w:szCs w:val="24"/>
                <w:lang w:val="en-US" w:eastAsia="zh-CN"/>
              </w:rPr>
              <w:t>设备，</w:t>
            </w:r>
            <w:r>
              <w:rPr>
                <w:rFonts w:hint="eastAsia" w:ascii="宋体" w:hAnsi="宋体" w:eastAsia="宋体" w:cs="宋体"/>
                <w:b w:val="0"/>
                <w:bCs w:val="0"/>
                <w:sz w:val="24"/>
                <w:szCs w:val="24"/>
              </w:rPr>
              <w:t>得</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分</w:t>
            </w:r>
            <w:r>
              <w:rPr>
                <w:rFonts w:hint="eastAsia" w:ascii="宋体" w:hAnsi="宋体" w:eastAsia="宋体" w:cs="宋体"/>
                <w:b w:val="0"/>
                <w:bCs w:val="0"/>
                <w:sz w:val="24"/>
                <w:szCs w:val="24"/>
                <w:lang w:eastAsia="zh-CN"/>
              </w:rPr>
              <w:t>；</w:t>
            </w:r>
          </w:p>
          <w:p>
            <w:pPr>
              <w:widowControl/>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.为本项目配备</w:t>
            </w:r>
            <w:r>
              <w:rPr>
                <w:rFonts w:hint="eastAsia" w:ascii="宋体" w:hAnsi="宋体" w:eastAsia="宋体" w:cs="宋体"/>
                <w:b w:val="0"/>
                <w:bCs w:val="0"/>
                <w:color w:val="auto"/>
                <w:sz w:val="24"/>
                <w:szCs w:val="24"/>
                <w:lang w:val="en-US" w:eastAsia="zh-CN"/>
              </w:rPr>
              <w:t>农业植保无人</w:t>
            </w:r>
            <w:r>
              <w:rPr>
                <w:rFonts w:hint="eastAsia" w:ascii="宋体" w:hAnsi="宋体" w:eastAsia="宋体" w:cs="宋体"/>
                <w:b w:val="0"/>
                <w:bCs w:val="0"/>
                <w:color w:val="auto"/>
                <w:sz w:val="24"/>
                <w:szCs w:val="24"/>
              </w:rPr>
              <w:t>机、</w:t>
            </w:r>
            <w:r>
              <w:rPr>
                <w:rFonts w:hint="eastAsia" w:ascii="宋体" w:hAnsi="宋体" w:eastAsia="宋体" w:cs="宋体"/>
                <w:b w:val="0"/>
                <w:bCs w:val="0"/>
                <w:color w:val="auto"/>
                <w:sz w:val="24"/>
                <w:szCs w:val="24"/>
                <w:lang w:val="en-US" w:eastAsia="zh-CN"/>
              </w:rPr>
              <w:t>割草</w:t>
            </w:r>
            <w:r>
              <w:rPr>
                <w:rFonts w:hint="eastAsia" w:ascii="宋体" w:hAnsi="宋体" w:eastAsia="宋体" w:cs="宋体"/>
                <w:b w:val="0"/>
                <w:bCs w:val="0"/>
                <w:color w:val="auto"/>
                <w:sz w:val="24"/>
                <w:szCs w:val="24"/>
              </w:rPr>
              <w:t>机</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得</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分。</w:t>
            </w:r>
          </w:p>
          <w:p>
            <w:pPr>
              <w:widowControl/>
              <w:jc w:val="left"/>
              <w:rPr>
                <w:rFonts w:hint="eastAsia" w:ascii="宋体" w:hAnsi="宋体" w:eastAsia="宋体" w:cs="宋体"/>
                <w:b/>
                <w:bCs/>
                <w:sz w:val="24"/>
                <w:szCs w:val="24"/>
              </w:rPr>
            </w:pPr>
            <w:r>
              <w:rPr>
                <w:rFonts w:hint="eastAsia" w:ascii="宋体" w:hAnsi="宋体" w:eastAsia="宋体" w:cs="宋体"/>
                <w:b/>
                <w:bCs/>
                <w:sz w:val="24"/>
                <w:szCs w:val="24"/>
              </w:rPr>
              <w:t>备注：</w:t>
            </w:r>
          </w:p>
          <w:p>
            <w:pPr>
              <w:widowControl/>
              <w:jc w:val="left"/>
              <w:rPr>
                <w:rFonts w:hint="eastAsia" w:ascii="宋体" w:hAnsi="宋体" w:eastAsia="宋体" w:cs="宋体"/>
                <w:b/>
                <w:bCs/>
                <w:sz w:val="24"/>
                <w:szCs w:val="24"/>
                <w:lang w:eastAsia="zh-CN"/>
              </w:rPr>
            </w:pPr>
            <w:r>
              <w:rPr>
                <w:rFonts w:hint="eastAsia" w:ascii="宋体" w:hAnsi="宋体" w:eastAsia="宋体" w:cs="宋体"/>
                <w:b/>
                <w:bCs/>
                <w:sz w:val="24"/>
                <w:szCs w:val="24"/>
              </w:rPr>
              <w:t>（1）以上设备为投标人自有设备，须提供购置发票证明</w:t>
            </w:r>
            <w:r>
              <w:rPr>
                <w:rFonts w:hint="eastAsia" w:ascii="宋体" w:hAnsi="宋体" w:eastAsia="宋体" w:cs="宋体"/>
                <w:b/>
                <w:bCs/>
                <w:sz w:val="24"/>
                <w:szCs w:val="24"/>
                <w:lang w:val="en-US" w:eastAsia="zh-CN"/>
              </w:rPr>
              <w:t>或转账</w:t>
            </w:r>
            <w:r>
              <w:rPr>
                <w:rFonts w:hint="eastAsia" w:ascii="宋体" w:hAnsi="宋体" w:eastAsia="宋体" w:cs="宋体"/>
                <w:b/>
                <w:bCs/>
                <w:sz w:val="24"/>
                <w:szCs w:val="24"/>
              </w:rPr>
              <w:t>材料扫描件</w:t>
            </w:r>
            <w:r>
              <w:rPr>
                <w:rFonts w:hint="eastAsia" w:ascii="宋体" w:hAnsi="宋体" w:eastAsia="宋体" w:cs="宋体"/>
                <w:b/>
                <w:bCs/>
                <w:sz w:val="24"/>
                <w:szCs w:val="24"/>
                <w:lang w:eastAsia="zh-CN"/>
              </w:rPr>
              <w:t>。</w:t>
            </w:r>
          </w:p>
          <w:p>
            <w:pPr>
              <w:widowControl/>
              <w:jc w:val="left"/>
              <w:rPr>
                <w:rFonts w:hint="eastAsia" w:ascii="宋体" w:hAnsi="宋体" w:eastAsia="宋体" w:cs="宋体"/>
                <w:b w:val="0"/>
                <w:bCs w:val="0"/>
                <w:sz w:val="24"/>
                <w:szCs w:val="24"/>
              </w:rPr>
            </w:pPr>
            <w:r>
              <w:rPr>
                <w:rFonts w:hint="eastAsia" w:ascii="宋体" w:hAnsi="宋体" w:eastAsia="宋体" w:cs="宋体"/>
                <w:b/>
                <w:bCs/>
                <w:sz w:val="24"/>
                <w:szCs w:val="24"/>
              </w:rPr>
              <w:t>（2）未提供相关设备购置发票或采购合同或提供</w:t>
            </w:r>
            <w:r>
              <w:rPr>
                <w:rFonts w:hint="eastAsia" w:ascii="宋体" w:hAnsi="宋体" w:eastAsia="宋体" w:cs="宋体"/>
                <w:b/>
                <w:bCs/>
                <w:sz w:val="24"/>
                <w:szCs w:val="24"/>
                <w:lang w:val="en-US" w:eastAsia="zh-CN"/>
              </w:rPr>
              <w:t>对公转账</w:t>
            </w:r>
            <w:r>
              <w:rPr>
                <w:rFonts w:hint="eastAsia" w:ascii="宋体" w:hAnsi="宋体" w:eastAsia="宋体" w:cs="宋体"/>
                <w:b/>
                <w:bCs/>
                <w:sz w:val="24"/>
                <w:szCs w:val="24"/>
              </w:rPr>
              <w:t>的证明材料</w:t>
            </w:r>
            <w:r>
              <w:rPr>
                <w:rFonts w:hint="eastAsia" w:ascii="宋体" w:hAnsi="宋体" w:eastAsia="宋体" w:cs="宋体"/>
                <w:b/>
                <w:bCs/>
                <w:sz w:val="24"/>
                <w:szCs w:val="24"/>
                <w:lang w:val="en-US" w:eastAsia="zh-CN"/>
              </w:rPr>
              <w:t>将</w:t>
            </w:r>
            <w:r>
              <w:rPr>
                <w:rFonts w:hint="eastAsia" w:ascii="宋体" w:hAnsi="宋体" w:eastAsia="宋体" w:cs="宋体"/>
                <w:b/>
                <w:bCs/>
                <w:sz w:val="24"/>
                <w:szCs w:val="24"/>
              </w:rPr>
              <w:t>不能反映该设备所有权为投标人的不得分。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466" w:type="pct"/>
            <w:vMerge w:val="restart"/>
            <w:vAlign w:val="center"/>
          </w:tcPr>
          <w:p>
            <w:pPr>
              <w:widowControl/>
              <w:jc w:val="left"/>
              <w:rPr>
                <w:rFonts w:hint="eastAsia" w:ascii="宋体" w:hAnsi="宋体" w:eastAsia="宋体" w:cs="宋体"/>
                <w:sz w:val="24"/>
                <w:szCs w:val="24"/>
              </w:rPr>
            </w:pPr>
          </w:p>
          <w:p>
            <w:pPr>
              <w:widowControl/>
              <w:jc w:val="left"/>
              <w:rPr>
                <w:rFonts w:hint="eastAsia" w:ascii="宋体" w:hAnsi="宋体" w:eastAsia="宋体" w:cs="宋体"/>
                <w:sz w:val="24"/>
                <w:szCs w:val="24"/>
              </w:rPr>
            </w:pPr>
            <w:r>
              <w:rPr>
                <w:rFonts w:hint="eastAsia" w:ascii="宋体" w:hAnsi="宋体" w:eastAsia="宋体" w:cs="宋体"/>
                <w:sz w:val="24"/>
                <w:szCs w:val="24"/>
              </w:rPr>
              <w:t>技术部分（</w:t>
            </w:r>
            <w:r>
              <w:rPr>
                <w:rFonts w:hint="eastAsia" w:ascii="宋体" w:hAnsi="宋体" w:eastAsia="宋体" w:cs="宋体"/>
                <w:sz w:val="24"/>
                <w:szCs w:val="24"/>
                <w:lang w:val="en-US" w:eastAsia="zh-CN"/>
              </w:rPr>
              <w:t>24</w:t>
            </w:r>
            <w:r>
              <w:rPr>
                <w:rFonts w:hint="eastAsia" w:ascii="宋体" w:hAnsi="宋体" w:eastAsia="宋体" w:cs="宋体"/>
                <w:sz w:val="24"/>
                <w:szCs w:val="24"/>
              </w:rPr>
              <w:t>分）</w:t>
            </w:r>
          </w:p>
          <w:p>
            <w:pPr>
              <w:widowControl/>
              <w:jc w:val="left"/>
              <w:rPr>
                <w:rFonts w:hint="eastAsia" w:ascii="宋体" w:hAnsi="宋体" w:eastAsia="宋体" w:cs="宋体"/>
                <w:sz w:val="24"/>
                <w:szCs w:val="24"/>
              </w:rPr>
            </w:pPr>
          </w:p>
        </w:tc>
        <w:tc>
          <w:tcPr>
            <w:tcW w:w="744" w:type="pct"/>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项目实施方案</w:t>
            </w:r>
          </w:p>
        </w:tc>
        <w:tc>
          <w:tcPr>
            <w:tcW w:w="583" w:type="pct"/>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3205" w:type="pct"/>
            <w:vAlign w:val="center"/>
          </w:tcPr>
          <w:p>
            <w:pPr>
              <w:pStyle w:val="38"/>
              <w:spacing w:before="38"/>
              <w:ind w:right="209"/>
              <w:rPr>
                <w:rFonts w:hint="eastAsia" w:ascii="宋体" w:hAnsi="宋体" w:eastAsia="宋体" w:cs="宋体"/>
                <w:b w:val="0"/>
                <w:bCs w:val="0"/>
                <w:sz w:val="24"/>
                <w:szCs w:val="24"/>
                <w:lang w:val="zh-CN"/>
              </w:rPr>
            </w:pPr>
            <w:r>
              <w:rPr>
                <w:rFonts w:hint="eastAsia" w:ascii="宋体" w:hAnsi="宋体" w:eastAsia="宋体" w:cs="宋体"/>
                <w:b w:val="0"/>
                <w:bCs w:val="0"/>
                <w:spacing w:val="-1"/>
                <w:sz w:val="24"/>
                <w:szCs w:val="24"/>
              </w:rPr>
              <w:t>熟悉项目现场情况、熟悉项目重难点，对项目理解准确</w:t>
            </w:r>
            <w:r>
              <w:rPr>
                <w:rFonts w:hint="eastAsia" w:ascii="宋体" w:hAnsi="宋体" w:eastAsia="宋体" w:cs="宋体"/>
                <w:b w:val="0"/>
                <w:bCs w:val="0"/>
                <w:spacing w:val="-1"/>
                <w:sz w:val="24"/>
                <w:szCs w:val="24"/>
                <w:lang w:eastAsia="zh-CN"/>
              </w:rPr>
              <w:t>，</w:t>
            </w:r>
            <w:r>
              <w:rPr>
                <w:rFonts w:hint="eastAsia" w:ascii="宋体" w:hAnsi="宋体" w:eastAsia="宋体" w:cs="宋体"/>
                <w:b w:val="0"/>
                <w:bCs w:val="0"/>
                <w:spacing w:val="-2"/>
                <w:sz w:val="24"/>
                <w:szCs w:val="24"/>
                <w:lang w:val="en-US" w:eastAsia="zh-CN"/>
              </w:rPr>
              <w:t>含实施具体方案</w:t>
            </w:r>
            <w:r>
              <w:rPr>
                <w:rFonts w:hint="eastAsia" w:ascii="宋体" w:hAnsi="宋体" w:eastAsia="宋体" w:cs="宋体"/>
                <w:b w:val="0"/>
                <w:bCs w:val="0"/>
                <w:spacing w:val="-2"/>
                <w:sz w:val="24"/>
                <w:szCs w:val="24"/>
              </w:rPr>
              <w:t>，</w:t>
            </w:r>
            <w:r>
              <w:rPr>
                <w:rFonts w:hint="eastAsia" w:ascii="宋体" w:hAnsi="宋体" w:eastAsia="宋体" w:cs="宋体"/>
                <w:b w:val="0"/>
                <w:bCs w:val="0"/>
                <w:spacing w:val="-2"/>
                <w:sz w:val="24"/>
                <w:szCs w:val="24"/>
                <w:lang w:val="en-US" w:eastAsia="zh-CN"/>
              </w:rPr>
              <w:t>效果图设计图</w:t>
            </w:r>
            <w:r>
              <w:rPr>
                <w:rFonts w:hint="eastAsia" w:ascii="宋体" w:hAnsi="宋体" w:eastAsia="宋体" w:cs="宋体"/>
                <w:b w:val="0"/>
                <w:bCs w:val="0"/>
                <w:spacing w:val="-15"/>
                <w:sz w:val="24"/>
                <w:szCs w:val="24"/>
                <w:lang w:eastAsia="zh-CN"/>
              </w:rPr>
              <w:t>。</w:t>
            </w:r>
          </w:p>
          <w:p>
            <w:pPr>
              <w:widowControl/>
              <w:jc w:val="left"/>
              <w:rPr>
                <w:rFonts w:hint="eastAsia" w:ascii="宋体" w:hAnsi="宋体" w:eastAsia="宋体" w:cs="宋体"/>
                <w:b/>
                <w:bCs/>
                <w:sz w:val="24"/>
                <w:szCs w:val="24"/>
              </w:rPr>
            </w:pPr>
            <w:r>
              <w:rPr>
                <w:rFonts w:hint="eastAsia" w:ascii="宋体" w:hAnsi="宋体" w:eastAsia="宋体" w:cs="宋体"/>
                <w:b/>
                <w:bCs/>
                <w:sz w:val="24"/>
                <w:szCs w:val="24"/>
              </w:rPr>
              <w:t>备注：</w:t>
            </w:r>
          </w:p>
          <w:p>
            <w:pPr>
              <w:pStyle w:val="38"/>
              <w:spacing w:before="26"/>
              <w:ind w:right="104"/>
              <w:rPr>
                <w:rFonts w:hint="eastAsia" w:ascii="宋体" w:hAnsi="宋体" w:eastAsia="宋体" w:cs="宋体"/>
                <w:b/>
                <w:bCs/>
                <w:sz w:val="24"/>
                <w:szCs w:val="24"/>
              </w:rPr>
            </w:pPr>
            <w:r>
              <w:rPr>
                <w:rFonts w:hint="eastAsia" w:ascii="宋体" w:hAnsi="宋体" w:eastAsia="宋体" w:cs="宋体"/>
                <w:b/>
                <w:bCs/>
                <w:spacing w:val="-2"/>
                <w:sz w:val="24"/>
                <w:szCs w:val="24"/>
              </w:rPr>
              <w:t>（1）对项目理解深刻，重难点突出</w:t>
            </w:r>
            <w:r>
              <w:rPr>
                <w:rFonts w:hint="eastAsia" w:ascii="宋体" w:hAnsi="宋体" w:eastAsia="宋体" w:cs="宋体"/>
                <w:b/>
                <w:bCs/>
                <w:spacing w:val="-15"/>
                <w:sz w:val="24"/>
                <w:szCs w:val="24"/>
              </w:rPr>
              <w:t>的，</w:t>
            </w:r>
            <w:r>
              <w:rPr>
                <w:rFonts w:hint="eastAsia" w:ascii="宋体" w:hAnsi="宋体" w:eastAsia="宋体" w:cs="宋体"/>
                <w:b/>
                <w:bCs/>
                <w:color w:val="000000"/>
                <w:kern w:val="0"/>
                <w:sz w:val="24"/>
                <w:szCs w:val="24"/>
              </w:rPr>
              <w:t>得</w:t>
            </w:r>
            <w:r>
              <w:rPr>
                <w:rFonts w:hint="eastAsia" w:ascii="宋体" w:hAnsi="宋体" w:eastAsia="宋体" w:cs="宋体"/>
                <w:b/>
                <w:bCs/>
                <w:color w:val="000000"/>
                <w:kern w:val="0"/>
                <w:sz w:val="24"/>
                <w:szCs w:val="24"/>
                <w:lang w:val="en-US" w:eastAsia="zh-CN"/>
              </w:rPr>
              <w:t>9</w:t>
            </w:r>
            <w:r>
              <w:rPr>
                <w:rFonts w:hint="eastAsia" w:ascii="宋体" w:hAnsi="宋体" w:eastAsia="宋体" w:cs="宋体"/>
                <w:b/>
                <w:bCs/>
                <w:color w:val="000000"/>
                <w:kern w:val="0"/>
                <w:sz w:val="24"/>
                <w:szCs w:val="24"/>
              </w:rPr>
              <w:t>＜F≤</w:t>
            </w:r>
            <w:r>
              <w:rPr>
                <w:rFonts w:hint="eastAsia" w:ascii="宋体" w:hAnsi="宋体" w:eastAsia="宋体" w:cs="宋体"/>
                <w:b/>
                <w:bCs/>
                <w:color w:val="000000"/>
                <w:kern w:val="0"/>
                <w:sz w:val="24"/>
                <w:szCs w:val="24"/>
                <w:lang w:val="en-US" w:eastAsia="zh-CN"/>
              </w:rPr>
              <w:t>12</w:t>
            </w:r>
            <w:r>
              <w:rPr>
                <w:rFonts w:hint="eastAsia" w:ascii="宋体" w:hAnsi="宋体" w:eastAsia="宋体" w:cs="宋体"/>
                <w:b/>
                <w:bCs/>
                <w:color w:val="000000"/>
                <w:kern w:val="0"/>
                <w:sz w:val="24"/>
                <w:szCs w:val="24"/>
              </w:rPr>
              <w:t>分</w:t>
            </w:r>
            <w:r>
              <w:rPr>
                <w:rFonts w:hint="eastAsia" w:ascii="宋体" w:hAnsi="宋体" w:eastAsia="宋体" w:cs="宋体"/>
                <w:b/>
                <w:bCs/>
                <w:spacing w:val="-3"/>
                <w:sz w:val="24"/>
                <w:szCs w:val="24"/>
              </w:rPr>
              <w:t>；</w:t>
            </w:r>
          </w:p>
          <w:p>
            <w:pPr>
              <w:pStyle w:val="38"/>
              <w:spacing w:before="26"/>
              <w:ind w:right="104"/>
              <w:rPr>
                <w:rFonts w:hint="eastAsia" w:ascii="宋体" w:hAnsi="宋体" w:eastAsia="宋体" w:cs="宋体"/>
                <w:b/>
                <w:bCs/>
                <w:sz w:val="24"/>
                <w:szCs w:val="24"/>
              </w:rPr>
            </w:pPr>
            <w:r>
              <w:rPr>
                <w:rFonts w:hint="eastAsia" w:ascii="宋体" w:hAnsi="宋体" w:eastAsia="宋体" w:cs="宋体"/>
                <w:b/>
                <w:bCs/>
                <w:spacing w:val="-2"/>
                <w:sz w:val="24"/>
                <w:szCs w:val="24"/>
              </w:rPr>
              <w:t>（2）对项目理解较深，重难点较突</w:t>
            </w:r>
            <w:r>
              <w:rPr>
                <w:rFonts w:hint="eastAsia" w:ascii="宋体" w:hAnsi="宋体" w:eastAsia="宋体" w:cs="宋体"/>
                <w:b/>
                <w:bCs/>
                <w:spacing w:val="-9"/>
                <w:sz w:val="24"/>
                <w:szCs w:val="24"/>
              </w:rPr>
              <w:t>出的，得</w:t>
            </w:r>
            <w:r>
              <w:rPr>
                <w:rFonts w:hint="eastAsia" w:ascii="宋体" w:hAnsi="宋体" w:eastAsia="宋体" w:cs="宋体"/>
                <w:b/>
                <w:bCs/>
                <w:color w:val="000000"/>
                <w:kern w:val="0"/>
                <w:sz w:val="24"/>
                <w:szCs w:val="24"/>
                <w:lang w:val="en-US" w:eastAsia="zh-CN"/>
              </w:rPr>
              <w:t>6</w:t>
            </w:r>
            <w:r>
              <w:rPr>
                <w:rFonts w:hint="eastAsia" w:ascii="宋体" w:hAnsi="宋体" w:eastAsia="宋体" w:cs="宋体"/>
                <w:b/>
                <w:bCs/>
                <w:color w:val="000000"/>
                <w:kern w:val="0"/>
                <w:sz w:val="24"/>
                <w:szCs w:val="24"/>
              </w:rPr>
              <w:t>＜F≤</w:t>
            </w:r>
            <w:r>
              <w:rPr>
                <w:rFonts w:hint="eastAsia" w:ascii="宋体" w:hAnsi="宋体" w:eastAsia="宋体" w:cs="宋体"/>
                <w:b/>
                <w:bCs/>
                <w:color w:val="000000"/>
                <w:kern w:val="0"/>
                <w:sz w:val="24"/>
                <w:szCs w:val="24"/>
                <w:lang w:val="en-US" w:eastAsia="zh-CN"/>
              </w:rPr>
              <w:t>9</w:t>
            </w:r>
            <w:r>
              <w:rPr>
                <w:rFonts w:hint="eastAsia" w:ascii="宋体" w:hAnsi="宋体" w:eastAsia="宋体" w:cs="宋体"/>
                <w:b/>
                <w:bCs/>
                <w:spacing w:val="-3"/>
                <w:sz w:val="24"/>
                <w:szCs w:val="24"/>
              </w:rPr>
              <w:t>分</w:t>
            </w:r>
            <w:r>
              <w:rPr>
                <w:rFonts w:hint="eastAsia" w:ascii="宋体" w:hAnsi="宋体" w:eastAsia="宋体" w:cs="宋体"/>
                <w:b/>
                <w:bCs/>
                <w:spacing w:val="-9"/>
                <w:sz w:val="24"/>
                <w:szCs w:val="24"/>
              </w:rPr>
              <w:t>；</w:t>
            </w:r>
          </w:p>
          <w:p>
            <w:pPr>
              <w:pStyle w:val="38"/>
              <w:spacing w:before="26"/>
              <w:ind w:right="104"/>
              <w:rPr>
                <w:rFonts w:hint="eastAsia" w:ascii="宋体" w:hAnsi="宋体" w:eastAsia="宋体" w:cs="宋体"/>
                <w:b/>
                <w:bCs/>
                <w:spacing w:val="-8"/>
                <w:sz w:val="24"/>
                <w:szCs w:val="24"/>
              </w:rPr>
            </w:pPr>
            <w:r>
              <w:rPr>
                <w:rFonts w:hint="eastAsia" w:ascii="宋体" w:hAnsi="宋体" w:eastAsia="宋体" w:cs="宋体"/>
                <w:b/>
                <w:bCs/>
                <w:spacing w:val="-2"/>
                <w:sz w:val="24"/>
                <w:szCs w:val="24"/>
              </w:rPr>
              <w:t>（3）对项目理解一般，有重难点分析内</w:t>
            </w:r>
            <w:r>
              <w:rPr>
                <w:rFonts w:hint="eastAsia" w:ascii="宋体" w:hAnsi="宋体" w:eastAsia="宋体" w:cs="宋体"/>
                <w:b/>
                <w:bCs/>
                <w:spacing w:val="-8"/>
                <w:sz w:val="24"/>
                <w:szCs w:val="24"/>
              </w:rPr>
              <w:t>容的，得</w:t>
            </w:r>
            <w:r>
              <w:rPr>
                <w:rFonts w:hint="eastAsia" w:ascii="宋体" w:hAnsi="宋体" w:eastAsia="宋体" w:cs="宋体"/>
                <w:b/>
                <w:bCs/>
                <w:color w:val="000000"/>
                <w:kern w:val="0"/>
                <w:sz w:val="24"/>
                <w:szCs w:val="24"/>
              </w:rPr>
              <w:t>0＜F≤</w:t>
            </w:r>
            <w:r>
              <w:rPr>
                <w:rFonts w:hint="eastAsia" w:ascii="宋体" w:hAnsi="宋体" w:eastAsia="宋体" w:cs="宋体"/>
                <w:b/>
                <w:bCs/>
                <w:color w:val="000000"/>
                <w:kern w:val="0"/>
                <w:sz w:val="24"/>
                <w:szCs w:val="24"/>
                <w:lang w:val="en-US" w:eastAsia="zh-CN"/>
              </w:rPr>
              <w:t>6</w:t>
            </w:r>
            <w:r>
              <w:rPr>
                <w:rFonts w:hint="eastAsia" w:ascii="宋体" w:hAnsi="宋体" w:eastAsia="宋体" w:cs="宋体"/>
                <w:b/>
                <w:bCs/>
                <w:spacing w:val="-8"/>
                <w:sz w:val="24"/>
                <w:szCs w:val="24"/>
              </w:rPr>
              <w:t>分；</w:t>
            </w:r>
          </w:p>
          <w:p>
            <w:pPr>
              <w:pStyle w:val="38"/>
              <w:spacing w:before="26"/>
              <w:ind w:right="104"/>
              <w:rPr>
                <w:rFonts w:hint="eastAsia" w:ascii="宋体" w:hAnsi="宋体" w:eastAsia="宋体" w:cs="宋体"/>
                <w:b w:val="0"/>
                <w:bCs w:val="0"/>
                <w:sz w:val="24"/>
                <w:szCs w:val="24"/>
                <w:lang w:val="zh-CN"/>
              </w:rPr>
            </w:pPr>
            <w:r>
              <w:rPr>
                <w:rFonts w:hint="eastAsia" w:ascii="宋体" w:hAnsi="宋体" w:eastAsia="宋体" w:cs="宋体"/>
                <w:b/>
                <w:bCs/>
                <w:spacing w:val="-2"/>
                <w:sz w:val="24"/>
                <w:szCs w:val="24"/>
              </w:rPr>
              <w:t>（4）较差或未提供不得分。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6" w:type="pct"/>
            <w:vMerge w:val="continue"/>
          </w:tcPr>
          <w:p>
            <w:pPr>
              <w:widowControl/>
              <w:jc w:val="left"/>
              <w:rPr>
                <w:rFonts w:hint="eastAsia" w:ascii="宋体" w:hAnsi="宋体" w:eastAsia="宋体" w:cs="宋体"/>
                <w:sz w:val="24"/>
                <w:szCs w:val="24"/>
              </w:rPr>
            </w:pPr>
          </w:p>
        </w:tc>
        <w:tc>
          <w:tcPr>
            <w:tcW w:w="744" w:type="pct"/>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实施养护方案</w:t>
            </w:r>
          </w:p>
        </w:tc>
        <w:tc>
          <w:tcPr>
            <w:tcW w:w="583" w:type="pct"/>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分</w:t>
            </w:r>
          </w:p>
        </w:tc>
        <w:tc>
          <w:tcPr>
            <w:tcW w:w="3205" w:type="pct"/>
            <w:vAlign w:val="center"/>
          </w:tcPr>
          <w:p>
            <w:pPr>
              <w:pStyle w:val="38"/>
              <w:spacing w:before="27"/>
              <w:ind w:right="104"/>
              <w:rPr>
                <w:rFonts w:hint="eastAsia" w:ascii="宋体" w:hAnsi="宋体" w:eastAsia="宋体" w:cs="宋体"/>
                <w:spacing w:val="-4"/>
                <w:sz w:val="24"/>
                <w:szCs w:val="24"/>
                <w:lang w:eastAsia="zh-CN"/>
              </w:rPr>
            </w:pPr>
            <w:r>
              <w:rPr>
                <w:rFonts w:hint="eastAsia" w:ascii="宋体" w:hAnsi="宋体" w:eastAsia="宋体" w:cs="宋体"/>
                <w:color w:val="000000"/>
                <w:kern w:val="0"/>
                <w:sz w:val="24"/>
                <w:szCs w:val="24"/>
                <w:lang w:bidi="ar"/>
              </w:rPr>
              <w:t>针对本项目提供的</w:t>
            </w:r>
            <w:r>
              <w:rPr>
                <w:rFonts w:hint="eastAsia" w:ascii="宋体" w:hAnsi="宋体" w:eastAsia="宋体" w:cs="宋体"/>
                <w:color w:val="000000"/>
                <w:kern w:val="0"/>
                <w:sz w:val="24"/>
                <w:szCs w:val="24"/>
                <w:lang w:val="en-US" w:eastAsia="zh-CN" w:bidi="ar"/>
              </w:rPr>
              <w:t>水稻生长</w:t>
            </w:r>
            <w:r>
              <w:rPr>
                <w:rFonts w:hint="eastAsia" w:ascii="宋体" w:hAnsi="宋体" w:eastAsia="宋体" w:cs="宋体"/>
                <w:color w:val="000000"/>
                <w:kern w:val="0"/>
                <w:sz w:val="24"/>
                <w:szCs w:val="24"/>
                <w:lang w:bidi="ar"/>
              </w:rPr>
              <w:t>管理方案，人员网格化管理定岗定责方案</w:t>
            </w:r>
            <w:r>
              <w:rPr>
                <w:rFonts w:hint="eastAsia" w:ascii="宋体" w:hAnsi="宋体" w:eastAsia="宋体" w:cs="宋体"/>
                <w:color w:val="000000"/>
                <w:kern w:val="0"/>
                <w:sz w:val="24"/>
                <w:szCs w:val="24"/>
                <w:lang w:eastAsia="zh-CN" w:bidi="ar"/>
              </w:rPr>
              <w:t>。</w:t>
            </w:r>
          </w:p>
          <w:p>
            <w:pPr>
              <w:widowControl/>
              <w:jc w:val="left"/>
              <w:rPr>
                <w:rFonts w:hint="eastAsia" w:ascii="宋体" w:hAnsi="宋体" w:cs="宋体"/>
                <w:b/>
                <w:bCs/>
                <w:sz w:val="24"/>
                <w:szCs w:val="24"/>
              </w:rPr>
            </w:pPr>
            <w:r>
              <w:rPr>
                <w:rFonts w:hint="eastAsia" w:ascii="宋体" w:hAnsi="宋体" w:cs="宋体"/>
                <w:b/>
                <w:bCs/>
                <w:sz w:val="24"/>
                <w:szCs w:val="24"/>
              </w:rPr>
              <w:t>备注：</w:t>
            </w:r>
          </w:p>
          <w:p>
            <w:pPr>
              <w:pStyle w:val="38"/>
              <w:spacing w:before="26"/>
              <w:ind w:right="42"/>
              <w:rPr>
                <w:rFonts w:hint="eastAsia" w:ascii="宋体" w:hAnsi="宋体" w:eastAsia="宋体" w:cs="宋体"/>
                <w:b/>
                <w:bCs/>
                <w:sz w:val="24"/>
                <w:szCs w:val="24"/>
              </w:rPr>
            </w:pPr>
            <w:r>
              <w:rPr>
                <w:rFonts w:hint="eastAsia" w:ascii="宋体" w:hAnsi="宋体" w:eastAsia="宋体" w:cs="宋体"/>
                <w:b/>
                <w:bCs/>
                <w:spacing w:val="-6"/>
                <w:sz w:val="24"/>
                <w:szCs w:val="24"/>
              </w:rPr>
              <w:t>（1）</w:t>
            </w:r>
            <w:r>
              <w:rPr>
                <w:rFonts w:hint="eastAsia" w:ascii="宋体" w:hAnsi="宋体" w:eastAsia="宋体" w:cs="宋体"/>
                <w:b/>
                <w:bCs/>
                <w:color w:val="000000"/>
                <w:kern w:val="0"/>
                <w:sz w:val="24"/>
                <w:szCs w:val="24"/>
                <w:lang w:bidi="ar"/>
              </w:rPr>
              <w:t>方案内容详细完整，科学合理性、可行性、可操作性强</w:t>
            </w:r>
            <w:r>
              <w:rPr>
                <w:rFonts w:hint="eastAsia" w:ascii="宋体" w:hAnsi="宋体" w:eastAsia="宋体" w:cs="宋体"/>
                <w:b/>
                <w:bCs/>
                <w:spacing w:val="-4"/>
                <w:sz w:val="24"/>
                <w:szCs w:val="24"/>
              </w:rPr>
              <w:t>，</w:t>
            </w:r>
            <w:r>
              <w:rPr>
                <w:rFonts w:hint="eastAsia" w:ascii="宋体" w:hAnsi="宋体" w:eastAsia="宋体" w:cs="宋体"/>
                <w:b/>
                <w:bCs/>
                <w:color w:val="000000"/>
                <w:kern w:val="0"/>
                <w:sz w:val="24"/>
                <w:szCs w:val="24"/>
              </w:rPr>
              <w:t>得</w:t>
            </w:r>
            <w:r>
              <w:rPr>
                <w:rFonts w:hint="eastAsia" w:ascii="宋体" w:hAnsi="宋体" w:eastAsia="宋体" w:cs="宋体"/>
                <w:b/>
                <w:bCs/>
                <w:color w:val="000000"/>
                <w:kern w:val="0"/>
                <w:sz w:val="24"/>
                <w:szCs w:val="24"/>
                <w:lang w:val="en-US" w:eastAsia="zh-CN"/>
              </w:rPr>
              <w:t>9</w:t>
            </w:r>
            <w:r>
              <w:rPr>
                <w:rFonts w:hint="eastAsia" w:ascii="宋体" w:hAnsi="宋体" w:eastAsia="宋体" w:cs="宋体"/>
                <w:b/>
                <w:bCs/>
                <w:color w:val="000000"/>
                <w:kern w:val="0"/>
                <w:sz w:val="24"/>
                <w:szCs w:val="24"/>
              </w:rPr>
              <w:t>＜F≤</w:t>
            </w:r>
            <w:r>
              <w:rPr>
                <w:rFonts w:hint="eastAsia" w:ascii="宋体" w:hAnsi="宋体" w:eastAsia="宋体" w:cs="宋体"/>
                <w:b/>
                <w:bCs/>
                <w:color w:val="000000"/>
                <w:kern w:val="0"/>
                <w:sz w:val="24"/>
                <w:szCs w:val="24"/>
                <w:lang w:val="en-US" w:eastAsia="zh-CN"/>
              </w:rPr>
              <w:t>12</w:t>
            </w:r>
            <w:r>
              <w:rPr>
                <w:rFonts w:hint="eastAsia" w:ascii="宋体" w:hAnsi="宋体" w:eastAsia="宋体" w:cs="宋体"/>
                <w:b/>
                <w:bCs/>
                <w:color w:val="000000"/>
                <w:kern w:val="0"/>
                <w:sz w:val="24"/>
                <w:szCs w:val="24"/>
              </w:rPr>
              <w:t>分</w:t>
            </w:r>
            <w:r>
              <w:rPr>
                <w:rFonts w:hint="eastAsia" w:ascii="宋体" w:hAnsi="宋体" w:eastAsia="宋体" w:cs="宋体"/>
                <w:b/>
                <w:bCs/>
                <w:spacing w:val="-4"/>
                <w:sz w:val="24"/>
                <w:szCs w:val="24"/>
              </w:rPr>
              <w:t>；</w:t>
            </w:r>
          </w:p>
          <w:p>
            <w:pPr>
              <w:pStyle w:val="38"/>
              <w:spacing w:before="26"/>
              <w:ind w:right="209"/>
              <w:rPr>
                <w:rFonts w:hint="eastAsia" w:ascii="宋体" w:hAnsi="宋体" w:eastAsia="宋体" w:cs="宋体"/>
                <w:b/>
                <w:bCs/>
                <w:sz w:val="24"/>
                <w:szCs w:val="24"/>
              </w:rPr>
            </w:pPr>
            <w:r>
              <w:rPr>
                <w:rFonts w:hint="eastAsia" w:ascii="宋体" w:hAnsi="宋体" w:eastAsia="宋体" w:cs="宋体"/>
                <w:b/>
                <w:bCs/>
                <w:spacing w:val="-1"/>
                <w:sz w:val="24"/>
                <w:szCs w:val="24"/>
              </w:rPr>
              <w:t>（2）</w:t>
            </w:r>
            <w:r>
              <w:rPr>
                <w:rFonts w:hint="eastAsia" w:ascii="宋体" w:hAnsi="宋体" w:eastAsia="宋体" w:cs="宋体"/>
                <w:b/>
                <w:bCs/>
                <w:color w:val="000000"/>
                <w:kern w:val="0"/>
                <w:sz w:val="24"/>
                <w:szCs w:val="24"/>
                <w:lang w:bidi="ar"/>
              </w:rPr>
              <w:t>方案内容部分响应，有细节需要完善，科学合理性、可行性、可操作性一般，</w:t>
            </w:r>
            <w:r>
              <w:rPr>
                <w:rFonts w:hint="eastAsia" w:ascii="宋体" w:hAnsi="宋体" w:eastAsia="宋体" w:cs="宋体"/>
                <w:b/>
                <w:bCs/>
                <w:color w:val="000000"/>
                <w:kern w:val="0"/>
                <w:sz w:val="24"/>
                <w:szCs w:val="24"/>
              </w:rPr>
              <w:t>得</w:t>
            </w:r>
            <w:r>
              <w:rPr>
                <w:rFonts w:hint="eastAsia" w:ascii="宋体" w:hAnsi="宋体" w:eastAsia="宋体" w:cs="宋体"/>
                <w:b/>
                <w:bCs/>
                <w:color w:val="000000"/>
                <w:kern w:val="0"/>
                <w:sz w:val="24"/>
                <w:szCs w:val="24"/>
                <w:lang w:val="en-US" w:eastAsia="zh-CN"/>
              </w:rPr>
              <w:t>6</w:t>
            </w:r>
            <w:r>
              <w:rPr>
                <w:rFonts w:hint="eastAsia" w:ascii="宋体" w:hAnsi="宋体" w:eastAsia="宋体" w:cs="宋体"/>
                <w:b/>
                <w:bCs/>
                <w:color w:val="000000"/>
                <w:kern w:val="0"/>
                <w:sz w:val="24"/>
                <w:szCs w:val="24"/>
              </w:rPr>
              <w:t>＜F≤</w:t>
            </w:r>
            <w:r>
              <w:rPr>
                <w:rFonts w:hint="eastAsia" w:ascii="宋体" w:hAnsi="宋体" w:eastAsia="宋体" w:cs="宋体"/>
                <w:b/>
                <w:bCs/>
                <w:color w:val="000000"/>
                <w:kern w:val="0"/>
                <w:sz w:val="24"/>
                <w:szCs w:val="24"/>
                <w:lang w:val="en-US" w:eastAsia="zh-CN"/>
              </w:rPr>
              <w:t>9</w:t>
            </w:r>
            <w:r>
              <w:rPr>
                <w:rFonts w:hint="eastAsia" w:ascii="宋体" w:hAnsi="宋体" w:eastAsia="宋体" w:cs="宋体"/>
                <w:b/>
                <w:bCs/>
                <w:spacing w:val="-3"/>
                <w:sz w:val="24"/>
                <w:szCs w:val="24"/>
              </w:rPr>
              <w:t>分；</w:t>
            </w:r>
          </w:p>
          <w:p>
            <w:pPr>
              <w:pStyle w:val="38"/>
              <w:spacing w:before="41"/>
              <w:rPr>
                <w:rFonts w:hint="eastAsia" w:ascii="宋体" w:hAnsi="宋体" w:eastAsia="宋体" w:cs="宋体"/>
                <w:b/>
                <w:bCs/>
                <w:sz w:val="24"/>
                <w:szCs w:val="24"/>
              </w:rPr>
            </w:pPr>
            <w:r>
              <w:rPr>
                <w:rFonts w:hint="eastAsia" w:ascii="宋体" w:hAnsi="宋体" w:eastAsia="宋体" w:cs="宋体"/>
                <w:b/>
                <w:bCs/>
                <w:spacing w:val="-1"/>
                <w:sz w:val="24"/>
                <w:szCs w:val="24"/>
              </w:rPr>
              <w:t>（3）</w:t>
            </w:r>
            <w:r>
              <w:rPr>
                <w:rFonts w:hint="eastAsia" w:ascii="宋体" w:hAnsi="宋体" w:eastAsia="宋体" w:cs="宋体"/>
                <w:b/>
                <w:bCs/>
                <w:color w:val="000000"/>
                <w:kern w:val="0"/>
                <w:sz w:val="24"/>
                <w:szCs w:val="24"/>
                <w:lang w:bidi="ar"/>
              </w:rPr>
              <w:t>方案内容有缺失，科学合理性、可行性、可操作性较为一般，</w:t>
            </w:r>
            <w:r>
              <w:rPr>
                <w:rFonts w:hint="eastAsia" w:ascii="宋体" w:hAnsi="宋体" w:eastAsia="宋体" w:cs="宋体"/>
                <w:b/>
                <w:bCs/>
                <w:color w:val="000000"/>
                <w:kern w:val="0"/>
                <w:sz w:val="24"/>
                <w:szCs w:val="24"/>
              </w:rPr>
              <w:t>得0＜F≤</w:t>
            </w:r>
            <w:r>
              <w:rPr>
                <w:rFonts w:hint="eastAsia" w:ascii="宋体" w:hAnsi="宋体" w:eastAsia="宋体" w:cs="宋体"/>
                <w:b/>
                <w:bCs/>
                <w:color w:val="000000"/>
                <w:kern w:val="0"/>
                <w:sz w:val="24"/>
                <w:szCs w:val="24"/>
                <w:lang w:val="en-US" w:eastAsia="zh-CN"/>
              </w:rPr>
              <w:t>6</w:t>
            </w:r>
            <w:r>
              <w:rPr>
                <w:rFonts w:hint="eastAsia" w:ascii="宋体" w:hAnsi="宋体" w:eastAsia="宋体" w:cs="宋体"/>
                <w:b/>
                <w:bCs/>
                <w:spacing w:val="-5"/>
                <w:sz w:val="24"/>
                <w:szCs w:val="24"/>
              </w:rPr>
              <w:t>分；</w:t>
            </w:r>
          </w:p>
          <w:p>
            <w:pPr>
              <w:widowControl/>
              <w:jc w:val="left"/>
              <w:rPr>
                <w:rFonts w:hint="eastAsia" w:ascii="宋体" w:hAnsi="宋体" w:eastAsia="宋体" w:cs="宋体"/>
                <w:sz w:val="24"/>
                <w:szCs w:val="24"/>
                <w:lang w:val="zh-CN"/>
              </w:rPr>
            </w:pPr>
            <w:r>
              <w:rPr>
                <w:rFonts w:hint="eastAsia" w:ascii="宋体" w:hAnsi="宋体" w:eastAsia="宋体" w:cs="宋体"/>
                <w:b/>
                <w:bCs/>
                <w:spacing w:val="-1"/>
                <w:sz w:val="24"/>
                <w:szCs w:val="24"/>
              </w:rPr>
              <w:t>（4）未提供不得分。</w:t>
            </w:r>
          </w:p>
        </w:tc>
      </w:tr>
    </w:tbl>
    <w:p>
      <w:pPr>
        <w:pStyle w:val="11"/>
      </w:pPr>
    </w:p>
    <w:p>
      <w:pPr>
        <w:spacing w:before="240" w:beforeLines="100" w:line="360" w:lineRule="auto"/>
        <w:ind w:firstLine="480" w:firstLineChars="200"/>
        <w:rPr>
          <w:rFonts w:hAnsi="宋体"/>
          <w:bCs/>
        </w:rPr>
      </w:pPr>
      <w:r>
        <w:rPr>
          <w:rFonts w:hint="eastAsia" w:hAnsi="宋体"/>
          <w:bCs/>
        </w:rPr>
        <w:t>2.2.2.2磋商报价</w:t>
      </w:r>
    </w:p>
    <w:p>
      <w:pPr>
        <w:adjustRightInd w:val="0"/>
        <w:snapToGrid w:val="0"/>
        <w:spacing w:line="360" w:lineRule="auto"/>
        <w:ind w:right="-10" w:firstLine="420" w:firstLineChars="175"/>
        <w:rPr>
          <w:rFonts w:hAnsi="宋体"/>
        </w:rPr>
      </w:pPr>
      <w:r>
        <w:rPr>
          <w:rFonts w:hint="eastAsia"/>
        </w:rPr>
        <w:t>因开标硬件设施限制，本次磋商，投标人只需一次报价（以开标一览表中报价为准），无需进行二轮及多轮报价，</w:t>
      </w:r>
      <w:r>
        <w:rPr>
          <w:rFonts w:hint="eastAsia" w:hAnsi="宋体"/>
          <w:bCs/>
        </w:rPr>
        <w:t>投标人最终评审报价是签订合同的依据。</w:t>
      </w:r>
    </w:p>
    <w:p>
      <w:pPr>
        <w:adjustRightInd w:val="0"/>
        <w:snapToGrid w:val="0"/>
        <w:spacing w:line="360" w:lineRule="auto"/>
        <w:ind w:right="-10" w:firstLine="420" w:firstLineChars="175"/>
        <w:rPr>
          <w:rFonts w:hAnsi="宋体"/>
        </w:rPr>
      </w:pPr>
      <w:r>
        <w:rPr>
          <w:rFonts w:hint="eastAsia" w:hAnsi="宋体"/>
        </w:rPr>
        <w:t>2.2.2.3价格分值计算：</w:t>
      </w:r>
    </w:p>
    <w:p>
      <w:pPr>
        <w:adjustRightInd w:val="0"/>
        <w:snapToGrid w:val="0"/>
        <w:spacing w:line="360" w:lineRule="auto"/>
        <w:ind w:right="-10" w:firstLine="420" w:firstLineChars="175"/>
        <w:rPr>
          <w:rFonts w:hAnsi="宋体"/>
          <w:bCs/>
        </w:rPr>
      </w:pPr>
      <w:r>
        <w:rPr>
          <w:rFonts w:hint="eastAsia" w:hAnsi="宋体"/>
          <w:bCs/>
        </w:rPr>
        <w:t>依据通过初审的有效投标人名单，其投标人的价格分值得分按照以下方式计算：</w:t>
      </w:r>
    </w:p>
    <w:tbl>
      <w:tblPr>
        <w:tblStyle w:val="21"/>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7157"/>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1" w:type="pct"/>
            <w:vAlign w:val="center"/>
          </w:tcPr>
          <w:p>
            <w:pPr>
              <w:spacing w:line="0" w:lineRule="atLeast"/>
              <w:rPr>
                <w:rFonts w:hAnsi="宋体"/>
                <w:b/>
                <w:sz w:val="22"/>
                <w:szCs w:val="22"/>
              </w:rPr>
            </w:pPr>
            <w:r>
              <w:rPr>
                <w:rFonts w:hint="eastAsia" w:hAnsi="宋体"/>
                <w:b/>
                <w:sz w:val="22"/>
                <w:szCs w:val="22"/>
              </w:rPr>
              <w:t>价格分</w:t>
            </w:r>
          </w:p>
        </w:tc>
        <w:tc>
          <w:tcPr>
            <w:tcW w:w="4169" w:type="pct"/>
            <w:vAlign w:val="center"/>
          </w:tcPr>
          <w:p>
            <w:pPr>
              <w:spacing w:line="460" w:lineRule="exact"/>
              <w:jc w:val="left"/>
              <w:rPr>
                <w:rFonts w:hAnsi="宋体" w:cs="宋体"/>
              </w:rPr>
            </w:pPr>
            <w:r>
              <w:rPr>
                <w:rFonts w:hint="eastAsia" w:hAnsi="宋体" w:cs="宋体"/>
              </w:rPr>
              <w:t>价格分统一采用低价优先法，即满足招标文件要求且投标价格最低的投标报价为评标基准价，其价格分为满分</w:t>
            </w:r>
            <w:r>
              <w:rPr>
                <w:rFonts w:hint="eastAsia" w:hAnsi="宋体" w:cs="宋体"/>
                <w:u w:val="single"/>
              </w:rPr>
              <w:t xml:space="preserve"> </w:t>
            </w:r>
            <w:r>
              <w:rPr>
                <w:rFonts w:hint="eastAsia" w:hAnsi="宋体" w:cs="宋体"/>
                <w:u w:val="single"/>
                <w:lang w:val="en-US" w:eastAsia="zh-CN"/>
              </w:rPr>
              <w:t>3</w:t>
            </w:r>
            <w:r>
              <w:rPr>
                <w:rFonts w:hint="eastAsia" w:hAnsi="宋体" w:cs="宋体"/>
                <w:u w:val="single"/>
              </w:rPr>
              <w:t xml:space="preserve">0 </w:t>
            </w:r>
            <w:r>
              <w:rPr>
                <w:rFonts w:hint="eastAsia" w:hAnsi="宋体" w:cs="宋体"/>
              </w:rPr>
              <w:t>分。其他投标人的价格分统一按照下列公式计算：</w:t>
            </w:r>
          </w:p>
          <w:p>
            <w:pPr>
              <w:spacing w:line="360" w:lineRule="auto"/>
              <w:rPr>
                <w:rFonts w:hAnsi="宋体"/>
                <w:sz w:val="22"/>
                <w:szCs w:val="22"/>
              </w:rPr>
            </w:pPr>
            <w:r>
              <w:rPr>
                <w:rFonts w:hint="eastAsia" w:hAnsi="宋体" w:cs="宋体"/>
              </w:rPr>
              <w:t>投标报价得分＝（评标基准价/投标报价）×</w:t>
            </w:r>
            <w:r>
              <w:rPr>
                <w:rFonts w:hint="eastAsia" w:hAnsi="宋体" w:cs="宋体"/>
                <w:u w:val="single"/>
              </w:rPr>
              <w:t xml:space="preserve"> </w:t>
            </w:r>
            <w:r>
              <w:rPr>
                <w:rFonts w:hint="eastAsia" w:hAnsi="宋体" w:cs="宋体"/>
                <w:u w:val="single"/>
                <w:lang w:val="en-US" w:eastAsia="zh-CN"/>
              </w:rPr>
              <w:t>3</w:t>
            </w:r>
            <w:r>
              <w:rPr>
                <w:rFonts w:hint="eastAsia" w:hAnsi="宋体" w:cs="宋体"/>
                <w:u w:val="single"/>
              </w:rPr>
              <w:t xml:space="preserve">0 </w:t>
            </w:r>
            <w:r>
              <w:rPr>
                <w:rFonts w:hint="eastAsia" w:hAnsi="宋体" w:cs="宋体"/>
              </w:rPr>
              <w:t>％×100</w:t>
            </w:r>
          </w:p>
        </w:tc>
        <w:tc>
          <w:tcPr>
            <w:tcW w:w="488" w:type="pct"/>
            <w:vAlign w:val="center"/>
          </w:tcPr>
          <w:p>
            <w:pPr>
              <w:widowControl/>
              <w:spacing w:line="0" w:lineRule="atLeast"/>
              <w:jc w:val="center"/>
              <w:rPr>
                <w:rFonts w:hAnsi="宋体" w:cs="宋体"/>
                <w:b/>
                <w:sz w:val="22"/>
                <w:szCs w:val="22"/>
              </w:rPr>
            </w:pPr>
            <w:r>
              <w:rPr>
                <w:rFonts w:hint="eastAsia" w:hAnsi="宋体" w:cs="宋体"/>
                <w:szCs w:val="24"/>
              </w:rPr>
              <w:t>0-</w:t>
            </w:r>
            <w:r>
              <w:rPr>
                <w:rFonts w:hint="eastAsia" w:hAnsi="宋体" w:cs="宋体"/>
                <w:szCs w:val="24"/>
                <w:lang w:val="en-US" w:eastAsia="zh-CN"/>
              </w:rPr>
              <w:t>3</w:t>
            </w:r>
            <w:r>
              <w:rPr>
                <w:rFonts w:hint="eastAsia" w:hAnsi="宋体" w:cs="宋体"/>
                <w:szCs w:val="24"/>
              </w:rPr>
              <w:t>0分</w:t>
            </w:r>
          </w:p>
        </w:tc>
      </w:tr>
    </w:tbl>
    <w:p>
      <w:pPr>
        <w:spacing w:before="240" w:beforeLines="100" w:line="360" w:lineRule="auto"/>
        <w:ind w:firstLine="480" w:firstLineChars="200"/>
        <w:rPr>
          <w:rFonts w:hAnsi="宋体"/>
          <w:bCs/>
        </w:rPr>
      </w:pPr>
      <w:r>
        <w:rPr>
          <w:rFonts w:hint="eastAsia" w:hAnsi="宋体"/>
          <w:bCs/>
        </w:rPr>
        <w:t>2.2.3分值汇总</w:t>
      </w:r>
    </w:p>
    <w:p>
      <w:pPr>
        <w:numPr>
          <w:ilvl w:val="0"/>
          <w:numId w:val="5"/>
        </w:numPr>
        <w:adjustRightInd w:val="0"/>
        <w:snapToGrid w:val="0"/>
        <w:spacing w:line="360" w:lineRule="auto"/>
        <w:ind w:right="-10" w:firstLine="420" w:firstLineChars="175"/>
        <w:rPr>
          <w:rFonts w:hAnsi="宋体"/>
          <w:bCs/>
        </w:rPr>
      </w:pPr>
      <w:r>
        <w:rPr>
          <w:rFonts w:hint="eastAsia" w:hAnsi="宋体"/>
          <w:bCs/>
        </w:rPr>
        <w:t>磋商小组各成员按照本章2.2.2.1评分标准独立对通过初审的响应文件进行技术资信分评价、打分。</w:t>
      </w:r>
      <w:r>
        <w:rPr>
          <w:rFonts w:hint="eastAsia" w:hAnsi="宋体"/>
        </w:rPr>
        <w:t>磋商小组</w:t>
      </w:r>
      <w:r>
        <w:rPr>
          <w:rFonts w:hint="eastAsia" w:hAnsi="宋体"/>
          <w:bCs/>
        </w:rPr>
        <w:t>各成员每一项的打分取平均值，得到该投标人该分值项的得分。将投标人每个分值项得分进行汇总，得到该投标人的技术部分得分（四舍五入保留至小数点后两位数）。</w:t>
      </w:r>
    </w:p>
    <w:p>
      <w:pPr>
        <w:numPr>
          <w:ilvl w:val="0"/>
          <w:numId w:val="5"/>
        </w:numPr>
        <w:adjustRightInd w:val="0"/>
        <w:snapToGrid w:val="0"/>
        <w:spacing w:line="360" w:lineRule="auto"/>
        <w:ind w:right="-10" w:firstLine="420" w:firstLineChars="175"/>
        <w:rPr>
          <w:rFonts w:hAnsi="宋体"/>
          <w:bCs/>
        </w:rPr>
      </w:pPr>
      <w:r>
        <w:rPr>
          <w:rFonts w:hint="eastAsia" w:hAnsi="宋体"/>
          <w:bCs/>
        </w:rPr>
        <w:t>将每个投标人的技术资信分加上根据上述标准计算出的价格分，即为该投标人的综合总得分。</w:t>
      </w:r>
    </w:p>
    <w:p>
      <w:pPr>
        <w:adjustRightInd w:val="0"/>
        <w:snapToGrid w:val="0"/>
        <w:spacing w:line="360" w:lineRule="auto"/>
        <w:ind w:right="-10" w:firstLine="482" w:firstLineChars="200"/>
        <w:rPr>
          <w:rFonts w:hAnsi="宋体"/>
        </w:rPr>
      </w:pPr>
      <w:r>
        <w:rPr>
          <w:rFonts w:hint="eastAsia" w:hAnsi="宋体"/>
          <w:b/>
          <w:szCs w:val="24"/>
        </w:rPr>
        <w:t>2.3确定中标候选人</w:t>
      </w:r>
    </w:p>
    <w:bookmarkEnd w:id="44"/>
    <w:p>
      <w:pPr>
        <w:adjustRightInd w:val="0"/>
        <w:snapToGrid w:val="0"/>
        <w:spacing w:line="360" w:lineRule="auto"/>
        <w:ind w:right="-10" w:firstLine="420" w:firstLineChars="175"/>
        <w:rPr>
          <w:rFonts w:hAnsi="宋体"/>
          <w:bCs/>
        </w:rPr>
      </w:pPr>
      <w:bookmarkStart w:id="45" w:name="_Toc28799375"/>
      <w:r>
        <w:rPr>
          <w:rFonts w:hint="eastAsia" w:hAnsi="宋体"/>
          <w:bCs/>
        </w:rPr>
        <w:t>2.3.1按照有效投标人综合总得分由高到低排出中标候选人。</w:t>
      </w:r>
    </w:p>
    <w:p>
      <w:pPr>
        <w:adjustRightInd w:val="0"/>
        <w:snapToGrid w:val="0"/>
        <w:spacing w:line="360" w:lineRule="auto"/>
        <w:ind w:right="-10" w:firstLine="420" w:firstLineChars="175"/>
        <w:rPr>
          <w:rFonts w:hAnsi="宋体"/>
          <w:bCs/>
        </w:rPr>
      </w:pPr>
      <w:r>
        <w:rPr>
          <w:rFonts w:hint="eastAsia" w:hAnsi="宋体"/>
          <w:bCs/>
        </w:rPr>
        <w:t>最终得分相同的，按技术部分得分由高到低顺序排序。技术部分得分及最终得分均相同的，</w:t>
      </w:r>
      <w:bookmarkStart w:id="46" w:name="_Hlk514735510"/>
      <w:r>
        <w:rPr>
          <w:rFonts w:hint="eastAsia" w:hAnsi="宋体"/>
          <w:bCs/>
        </w:rPr>
        <w:t>则采取磋商小组抽签方式确定其前后次序。</w:t>
      </w:r>
      <w:bookmarkEnd w:id="46"/>
    </w:p>
    <w:p>
      <w:pPr>
        <w:adjustRightInd w:val="0"/>
        <w:snapToGrid w:val="0"/>
        <w:spacing w:line="360" w:lineRule="auto"/>
        <w:ind w:right="-10" w:firstLine="482" w:firstLineChars="200"/>
        <w:rPr>
          <w:rFonts w:hAnsi="宋体"/>
        </w:rPr>
      </w:pPr>
      <w:r>
        <w:rPr>
          <w:rFonts w:hint="eastAsia" w:hAnsi="宋体"/>
          <w:b/>
        </w:rPr>
        <w:t>2.4</w:t>
      </w:r>
      <w:r>
        <w:rPr>
          <w:rFonts w:hint="eastAsia" w:hAnsi="宋体"/>
        </w:rPr>
        <w:t xml:space="preserve"> 在评审过程中，磋商小组发现投标人的报价或者某些分项报价可能低于成本或者高于磋商文件设定的最高投标限价的，磋商小组将以不利于投标人的原则推断，经磋商小组认定其报价低于成本或者高于磋商文件设定的最高投标限价的，将否决其投标。</w:t>
      </w:r>
    </w:p>
    <w:p>
      <w:pPr>
        <w:adjustRightInd w:val="0"/>
        <w:snapToGrid w:val="0"/>
        <w:spacing w:line="360" w:lineRule="auto"/>
        <w:ind w:right="-10" w:firstLine="482" w:firstLineChars="200"/>
        <w:rPr>
          <w:rFonts w:hAnsi="宋体"/>
        </w:rPr>
      </w:pPr>
      <w:r>
        <w:rPr>
          <w:rFonts w:hint="eastAsia" w:hAnsi="宋体"/>
          <w:b/>
        </w:rPr>
        <w:t>2.5</w:t>
      </w:r>
      <w:r>
        <w:rPr>
          <w:rFonts w:hint="eastAsia" w:hAnsi="宋体"/>
        </w:rPr>
        <w:t>投标人最终报价与公布的预算价（或最高投标限价（招标控制价）)相比降幅过小，或投标人最终报价明显缺乏竞争性的，磋商小组可以否决所有投标。</w:t>
      </w:r>
    </w:p>
    <w:p>
      <w:pPr>
        <w:adjustRightInd w:val="0"/>
        <w:snapToGrid w:val="0"/>
        <w:spacing w:line="360" w:lineRule="auto"/>
        <w:ind w:right="-10" w:firstLine="482" w:firstLineChars="200"/>
        <w:rPr>
          <w:rFonts w:hAnsi="宋体"/>
        </w:rPr>
      </w:pPr>
      <w:r>
        <w:rPr>
          <w:rFonts w:hint="eastAsia" w:hAnsi="宋体"/>
          <w:b/>
          <w:bCs/>
        </w:rPr>
        <w:t>2.6</w:t>
      </w:r>
      <w:r>
        <w:rPr>
          <w:rFonts w:hint="eastAsia" w:hAnsi="宋体"/>
        </w:rPr>
        <w:t>评审后，磋商小组应写出评审报告并签字。评审报告是磋商小组根据全体磋商小组成员签字的原始评审记录和评审结果编写的报告，磋商小组全体成员均须在评审报告上签字。评审报告应如实记录本次评审的主要过程，全面反映评审过程中的各种不同的意见，以及其他澄清、说明、补正事项。</w:t>
      </w:r>
    </w:p>
    <w:p>
      <w:pPr>
        <w:adjustRightInd w:val="0"/>
        <w:snapToGrid w:val="0"/>
        <w:spacing w:line="360" w:lineRule="auto"/>
        <w:ind w:right="-10"/>
        <w:rPr>
          <w:rFonts w:hAnsi="宋体"/>
        </w:rPr>
      </w:pPr>
      <w:r>
        <w:rPr>
          <w:rFonts w:hAnsi="宋体"/>
        </w:rPr>
        <w:t xml:space="preserve">    </w:t>
      </w:r>
      <w:r>
        <w:rPr>
          <w:rFonts w:hint="eastAsia" w:hAnsi="宋体"/>
          <w:b/>
        </w:rPr>
        <w:t>2.7</w:t>
      </w:r>
      <w:r>
        <w:rPr>
          <w:rFonts w:hint="eastAsia" w:hAnsi="宋体"/>
        </w:rPr>
        <w:t>磋商小组和评审工作人员应严格遵守国家的法律、法规和规章制度；严格按照本次磋商文件进行评审；公正廉洁、不徇私情，不得损害国家利益；保护招、投标人的合法权益。</w:t>
      </w:r>
    </w:p>
    <w:p>
      <w:pPr>
        <w:rPr>
          <w:rFonts w:hAnsi="宋体"/>
        </w:rPr>
      </w:pPr>
    </w:p>
    <w:p>
      <w:pPr>
        <w:pStyle w:val="2"/>
        <w:rPr>
          <w:rFonts w:hAnsi="Times New Roman" w:eastAsia="宋体"/>
          <w:bCs/>
        </w:rPr>
      </w:pPr>
      <w:bookmarkStart w:id="47" w:name="_Toc7528"/>
      <w:r>
        <w:rPr>
          <w:rFonts w:hint="eastAsia" w:hAnsi="Times New Roman" w:eastAsia="宋体"/>
          <w:bCs/>
        </w:rPr>
        <w:t>第五章 合同条款及格式</w:t>
      </w:r>
      <w:bookmarkEnd w:id="45"/>
      <w:r>
        <w:rPr>
          <w:rFonts w:hint="eastAsia" w:hAnsi="Times New Roman" w:eastAsia="宋体"/>
          <w:bCs/>
        </w:rPr>
        <w:t>（另行提供）</w:t>
      </w:r>
      <w:bookmarkEnd w:id="47"/>
    </w:p>
    <w:p>
      <w:pPr>
        <w:jc w:val="center"/>
        <w:rPr>
          <w:rFonts w:ascii="黑体" w:hAnsi="黑体" w:eastAsia="黑体"/>
          <w:bCs/>
          <w:kern w:val="44"/>
          <w:sz w:val="32"/>
          <w:szCs w:val="44"/>
        </w:rPr>
      </w:pPr>
    </w:p>
    <w:p>
      <w:pPr>
        <w:pStyle w:val="25"/>
        <w:ind w:left="240" w:firstLine="480"/>
        <w:rPr>
          <w:b/>
          <w:color w:val="000000"/>
        </w:rPr>
      </w:pPr>
    </w:p>
    <w:p>
      <w:pPr>
        <w:pStyle w:val="25"/>
        <w:ind w:left="240" w:firstLine="480"/>
        <w:rPr>
          <w:b/>
          <w:color w:val="000000"/>
        </w:rPr>
      </w:pPr>
    </w:p>
    <w:p>
      <w:pPr>
        <w:pStyle w:val="2"/>
        <w:rPr>
          <w:rFonts w:hAnsi="Times New Roman" w:eastAsia="宋体"/>
          <w:bCs/>
        </w:rPr>
      </w:pPr>
      <w:r>
        <w:rPr>
          <w:rFonts w:hint="eastAsia" w:hAnsi="Times New Roman" w:eastAsia="宋体"/>
          <w:bCs/>
        </w:rPr>
        <w:br w:type="page"/>
      </w:r>
      <w:bookmarkStart w:id="48" w:name="_Toc11159"/>
      <w:r>
        <w:rPr>
          <w:rFonts w:hint="eastAsia" w:hAnsi="Times New Roman" w:eastAsia="宋体"/>
          <w:bCs/>
        </w:rPr>
        <w:t>第六章 响应文件格式</w:t>
      </w:r>
      <w:bookmarkEnd w:id="48"/>
    </w:p>
    <w:p>
      <w:pPr>
        <w:jc w:val="center"/>
        <w:rPr>
          <w:rFonts w:ascii="黑体" w:eastAsia="黑体"/>
          <w:sz w:val="32"/>
          <w:szCs w:val="32"/>
        </w:rPr>
      </w:pPr>
    </w:p>
    <w:p>
      <w:pPr>
        <w:jc w:val="center"/>
        <w:rPr>
          <w:rFonts w:ascii="黑体"/>
          <w:sz w:val="28"/>
          <w:szCs w:val="28"/>
        </w:rPr>
      </w:pPr>
      <w:r>
        <w:rPr>
          <w:rFonts w:hint="eastAsia" w:ascii="黑体" w:eastAsia="黑体"/>
          <w:sz w:val="32"/>
          <w:szCs w:val="32"/>
          <w:u w:val="single"/>
        </w:rPr>
        <w:t xml:space="preserve">             </w:t>
      </w:r>
      <w:r>
        <w:rPr>
          <w:rFonts w:hint="eastAsia" w:hAnsi="宋体"/>
          <w:sz w:val="28"/>
          <w:szCs w:val="28"/>
        </w:rPr>
        <w:t>（招标项目名称）</w:t>
      </w:r>
      <w:r>
        <w:rPr>
          <w:rFonts w:hint="eastAsia" w:ascii="黑体" w:eastAsia="黑体"/>
          <w:sz w:val="28"/>
          <w:szCs w:val="28"/>
        </w:rPr>
        <w:t>项目</w:t>
      </w:r>
    </w:p>
    <w:p>
      <w:pPr>
        <w:jc w:val="center"/>
        <w:rPr>
          <w:rFonts w:ascii="黑体" w:eastAsia="黑体"/>
          <w:sz w:val="28"/>
          <w:szCs w:val="28"/>
        </w:rPr>
      </w:pPr>
    </w:p>
    <w:p>
      <w:pPr>
        <w:jc w:val="center"/>
        <w:rPr>
          <w:rFonts w:ascii="黑体" w:eastAsia="黑体"/>
          <w:sz w:val="28"/>
          <w:szCs w:val="28"/>
        </w:rPr>
      </w:pPr>
    </w:p>
    <w:p>
      <w:pPr>
        <w:pStyle w:val="5"/>
        <w:jc w:val="center"/>
        <w:rPr>
          <w:rFonts w:ascii="黑体" w:hAnsi="黑体" w:eastAsia="黑体"/>
          <w:b w:val="0"/>
          <w:sz w:val="44"/>
          <w:szCs w:val="44"/>
        </w:rPr>
      </w:pPr>
      <w:bookmarkStart w:id="49" w:name="_Toc29256"/>
      <w:bookmarkStart w:id="50" w:name="_Toc26391"/>
      <w:r>
        <w:rPr>
          <w:rFonts w:hint="eastAsia" w:ascii="黑体" w:hAnsi="黑体" w:eastAsia="黑体"/>
          <w:b w:val="0"/>
          <w:sz w:val="44"/>
          <w:szCs w:val="44"/>
        </w:rPr>
        <w:t>响应文件</w:t>
      </w:r>
      <w:bookmarkEnd w:id="49"/>
    </w:p>
    <w:bookmarkEnd w:id="50"/>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spacing w:line="360" w:lineRule="auto"/>
        <w:jc w:val="center"/>
        <w:rPr>
          <w:rFonts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pPr>
        <w:spacing w:line="360" w:lineRule="auto"/>
        <w:jc w:val="center"/>
        <w:rPr>
          <w:rFonts w:ascii="黑体" w:eastAsia="黑体"/>
          <w:sz w:val="28"/>
          <w:szCs w:val="28"/>
        </w:rPr>
      </w:pPr>
    </w:p>
    <w:p>
      <w:pPr>
        <w:jc w:val="center"/>
        <w:rPr>
          <w:rFonts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pStyle w:val="5"/>
        <w:spacing w:before="120" w:after="120" w:line="400" w:lineRule="exact"/>
        <w:jc w:val="center"/>
        <w:rPr>
          <w:rFonts w:ascii="黑体" w:eastAsia="黑体"/>
          <w:sz w:val="28"/>
          <w:szCs w:val="28"/>
        </w:rPr>
      </w:pPr>
      <w:r>
        <w:rPr>
          <w:rFonts w:ascii="黑体" w:eastAsia="黑体"/>
          <w:sz w:val="28"/>
          <w:szCs w:val="28"/>
        </w:rPr>
        <w:br w:type="page"/>
      </w:r>
      <w:bookmarkStart w:id="51" w:name="_Toc28394"/>
      <w:r>
        <w:rPr>
          <w:rFonts w:hint="eastAsia" w:ascii="黑体" w:eastAsia="黑体"/>
          <w:sz w:val="28"/>
          <w:szCs w:val="28"/>
        </w:rPr>
        <w:t>目  录</w:t>
      </w:r>
      <w:bookmarkEnd w:id="51"/>
    </w:p>
    <w:p/>
    <w:p/>
    <w:p>
      <w:pPr>
        <w:spacing w:line="600" w:lineRule="exact"/>
        <w:rPr>
          <w:rFonts w:hAnsi="宋体"/>
          <w:szCs w:val="21"/>
        </w:rPr>
      </w:pPr>
      <w:bookmarkStart w:id="52" w:name="_Toc19737"/>
      <w:r>
        <w:rPr>
          <w:rFonts w:hint="eastAsia" w:hAnsi="宋体"/>
          <w:szCs w:val="21"/>
        </w:rPr>
        <w:t>一、开标一览表</w:t>
      </w:r>
    </w:p>
    <w:p>
      <w:pPr>
        <w:spacing w:line="600" w:lineRule="exact"/>
        <w:rPr>
          <w:rFonts w:hAnsi="宋体"/>
          <w:szCs w:val="21"/>
        </w:rPr>
      </w:pPr>
      <w:r>
        <w:rPr>
          <w:rFonts w:hint="eastAsia" w:hAnsi="宋体"/>
          <w:szCs w:val="21"/>
        </w:rPr>
        <w:t>二、投标人基本情况表</w:t>
      </w:r>
    </w:p>
    <w:p>
      <w:pPr>
        <w:spacing w:line="600" w:lineRule="exact"/>
        <w:rPr>
          <w:rFonts w:hAnsi="宋体"/>
          <w:szCs w:val="21"/>
        </w:rPr>
      </w:pPr>
      <w:r>
        <w:rPr>
          <w:rFonts w:hint="eastAsia" w:hAnsi="宋体"/>
          <w:szCs w:val="21"/>
        </w:rPr>
        <w:t>三、投标函</w:t>
      </w:r>
    </w:p>
    <w:p>
      <w:pPr>
        <w:spacing w:line="600" w:lineRule="exact"/>
        <w:rPr>
          <w:rFonts w:hAnsi="宋体"/>
          <w:szCs w:val="21"/>
        </w:rPr>
      </w:pPr>
      <w:r>
        <w:rPr>
          <w:rFonts w:hint="eastAsia" w:hAnsi="宋体"/>
          <w:szCs w:val="21"/>
        </w:rPr>
        <w:t>四、法定代表人身份证明或授权委托书</w:t>
      </w:r>
    </w:p>
    <w:p>
      <w:pPr>
        <w:spacing w:line="600" w:lineRule="exact"/>
        <w:rPr>
          <w:rFonts w:hAnsi="宋体"/>
          <w:szCs w:val="21"/>
        </w:rPr>
      </w:pPr>
      <w:r>
        <w:rPr>
          <w:rFonts w:hint="eastAsia" w:hAnsi="宋体"/>
          <w:szCs w:val="21"/>
        </w:rPr>
        <w:t>五、投标人信用承诺</w:t>
      </w:r>
    </w:p>
    <w:p>
      <w:pPr>
        <w:spacing w:line="600" w:lineRule="exact"/>
        <w:rPr>
          <w:rFonts w:hAnsi="宋体"/>
          <w:szCs w:val="21"/>
        </w:rPr>
      </w:pPr>
      <w:r>
        <w:rPr>
          <w:rFonts w:hint="eastAsia" w:hAnsi="宋体"/>
          <w:szCs w:val="21"/>
        </w:rPr>
        <w:t>六、投标人业绩</w:t>
      </w:r>
    </w:p>
    <w:p>
      <w:pPr>
        <w:spacing w:line="600" w:lineRule="exact"/>
        <w:rPr>
          <w:rFonts w:hAnsi="宋体"/>
          <w:szCs w:val="21"/>
        </w:rPr>
      </w:pPr>
      <w:r>
        <w:rPr>
          <w:rFonts w:hint="eastAsia" w:hAnsi="宋体"/>
          <w:szCs w:val="21"/>
        </w:rPr>
        <w:t>七、奖项、荣誉（如有）</w:t>
      </w:r>
    </w:p>
    <w:p>
      <w:pPr>
        <w:spacing w:line="600" w:lineRule="exact"/>
        <w:rPr>
          <w:rFonts w:hAnsi="宋体"/>
          <w:szCs w:val="21"/>
        </w:rPr>
      </w:pPr>
      <w:r>
        <w:rPr>
          <w:rFonts w:hint="eastAsia" w:hAnsi="宋体"/>
          <w:szCs w:val="21"/>
        </w:rPr>
        <w:t>八、项目管理机构</w:t>
      </w:r>
    </w:p>
    <w:p>
      <w:pPr>
        <w:spacing w:line="600" w:lineRule="exact"/>
        <w:rPr>
          <w:rFonts w:hAnsi="宋体"/>
          <w:szCs w:val="21"/>
        </w:rPr>
      </w:pPr>
      <w:r>
        <w:rPr>
          <w:rFonts w:hint="eastAsia" w:hAnsi="宋体"/>
          <w:szCs w:val="21"/>
        </w:rPr>
        <w:t>九、后期服务方案</w:t>
      </w:r>
    </w:p>
    <w:p>
      <w:pPr>
        <w:spacing w:line="600" w:lineRule="exact"/>
        <w:rPr>
          <w:rFonts w:hAnsi="宋体"/>
          <w:szCs w:val="21"/>
        </w:rPr>
      </w:pPr>
      <w:r>
        <w:rPr>
          <w:rFonts w:hint="eastAsia" w:hAnsi="宋体"/>
          <w:szCs w:val="21"/>
        </w:rPr>
        <w:t>十、其他材料</w:t>
      </w:r>
    </w:p>
    <w:p>
      <w:pPr>
        <w:jc w:val="center"/>
        <w:rPr>
          <w:rFonts w:hAnsi="宋体"/>
          <w:sz w:val="28"/>
        </w:rPr>
      </w:pPr>
    </w:p>
    <w:p>
      <w:pPr>
        <w:rPr>
          <w:rFonts w:hAnsi="宋体"/>
          <w:sz w:val="28"/>
        </w:rPr>
      </w:pPr>
    </w:p>
    <w:p>
      <w:pPr>
        <w:rPr>
          <w:rFonts w:hAnsi="宋体"/>
          <w:sz w:val="28"/>
        </w:rPr>
      </w:pPr>
    </w:p>
    <w:p>
      <w:pPr>
        <w:rPr>
          <w:rFonts w:hAnsi="宋体"/>
          <w:sz w:val="28"/>
        </w:rPr>
      </w:pPr>
    </w:p>
    <w:p>
      <w:pPr>
        <w:rPr>
          <w:rFonts w:hAnsi="宋体"/>
          <w:sz w:val="28"/>
        </w:rPr>
      </w:pPr>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Style w:val="20"/>
        <w:ind w:firstLine="480"/>
        <w:rPr>
          <w:rFonts w:hAnsi="Times New Roman"/>
          <w:bCs w:val="0"/>
          <w:sz w:val="24"/>
        </w:rPr>
      </w:pPr>
    </w:p>
    <w:p/>
    <w:p>
      <w:pPr>
        <w:jc w:val="center"/>
        <w:outlineLvl w:val="1"/>
      </w:pPr>
      <w:bookmarkStart w:id="53" w:name="_Toc22933"/>
      <w:r>
        <w:rPr>
          <w:rFonts w:hint="eastAsia"/>
        </w:rPr>
        <w:t>一、开标一览表</w:t>
      </w:r>
      <w:bookmarkEnd w:id="53"/>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hAnsi="宋体"/>
                <w:bCs/>
              </w:rPr>
            </w:pPr>
            <w:r>
              <w:rPr>
                <w:rFonts w:hint="eastAsia" w:hAnsi="宋体"/>
                <w:bCs/>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hAnsi="宋体"/>
                <w:bCs/>
                <w:u w:val="single"/>
              </w:rPr>
            </w:pPr>
            <w:r>
              <w:rPr>
                <w:rFonts w:hint="eastAsia" w:hAnsi="宋体" w:cs="宋体"/>
                <w:bCs/>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投标人全称</w:t>
            </w:r>
          </w:p>
        </w:tc>
        <w:tc>
          <w:tcPr>
            <w:tcW w:w="6667" w:type="dxa"/>
            <w:tcBorders>
              <w:top w:val="nil"/>
            </w:tcBorders>
            <w:vAlign w:val="center"/>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投标范围</w:t>
            </w:r>
          </w:p>
        </w:tc>
        <w:tc>
          <w:tcPr>
            <w:tcW w:w="6667" w:type="dxa"/>
            <w:tcBorders>
              <w:top w:val="nil"/>
            </w:tcBorders>
            <w:vAlign w:val="center"/>
          </w:tcPr>
          <w:p>
            <w:pPr>
              <w:widowControl/>
              <w:spacing w:line="360" w:lineRule="exact"/>
            </w:pPr>
          </w:p>
          <w:p>
            <w:pPr>
              <w:widowControl/>
              <w:spacing w:line="360" w:lineRule="exact"/>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最终投标报价</w:t>
            </w:r>
          </w:p>
        </w:tc>
        <w:tc>
          <w:tcPr>
            <w:tcW w:w="6667" w:type="dxa"/>
            <w:tcBorders>
              <w:top w:val="nil"/>
            </w:tcBorders>
            <w:vAlign w:val="center"/>
          </w:tcPr>
          <w:p>
            <w:pPr>
              <w:spacing w:line="360" w:lineRule="auto"/>
              <w:ind w:right="-670"/>
            </w:pPr>
          </w:p>
          <w:p>
            <w:pPr>
              <w:pStyle w:val="20"/>
            </w:pPr>
          </w:p>
          <w:p>
            <w:pPr>
              <w:spacing w:line="360" w:lineRule="auto"/>
              <w:ind w:right="-670"/>
              <w:rPr>
                <w:rFonts w:hint="default" w:eastAsia="宋体"/>
                <w:u w:val="single"/>
                <w:lang w:val="en-US" w:eastAsia="zh-CN"/>
              </w:rPr>
            </w:pPr>
            <w:r>
              <w:rPr>
                <w:rFonts w:hint="eastAsia"/>
                <w:u w:val="none"/>
                <w:lang w:eastAsia="zh-CN"/>
              </w:rPr>
              <w:t>大写：</w:t>
            </w:r>
            <w:r>
              <w:rPr>
                <w:rFonts w:hint="eastAsia"/>
                <w:u w:val="single"/>
                <w:lang w:val="en-US" w:eastAsia="zh-CN"/>
              </w:rPr>
              <w:t xml:space="preserve">           圆</w:t>
            </w:r>
          </w:p>
          <w:p>
            <w:pPr>
              <w:spacing w:line="360" w:lineRule="auto"/>
              <w:ind w:right="-670"/>
              <w:rPr>
                <w:rFonts w:hint="eastAsia"/>
              </w:rPr>
            </w:pPr>
            <w:r>
              <w:rPr>
                <w:rFonts w:hint="eastAsia"/>
                <w:u w:val="none"/>
                <w:lang w:eastAsia="zh-CN"/>
              </w:rPr>
              <w:t>小写：</w:t>
            </w:r>
            <w:r>
              <w:rPr>
                <w:rFonts w:hint="eastAsia"/>
                <w:u w:val="single"/>
              </w:rPr>
              <w:t xml:space="preserve">        </w:t>
            </w:r>
            <w:r>
              <w:rPr>
                <w:rFonts w:hint="eastAsia"/>
                <w:u w:val="single"/>
                <w:lang w:val="en-US" w:eastAsia="zh-CN"/>
              </w:rPr>
              <w:t xml:space="preserve">   </w:t>
            </w:r>
            <w:r>
              <w:rPr>
                <w:rFonts w:hint="eastAsia"/>
                <w:lang w:eastAsia="zh-CN"/>
              </w:rPr>
              <w:t>元</w:t>
            </w:r>
            <w:r>
              <w:rPr>
                <w:rFonts w:hint="eastAsia"/>
              </w:rPr>
              <w:t xml:space="preserve"> </w:t>
            </w:r>
          </w:p>
          <w:p>
            <w:pPr>
              <w:pStyle w:val="20"/>
              <w:rPr>
                <w:rFonts w:hint="eastAsia"/>
                <w:lang w:val="en-US" w:eastAsia="zh-CN"/>
              </w:rPr>
            </w:pPr>
          </w:p>
          <w:p>
            <w:pPr>
              <w:pStyle w:val="20"/>
              <w:rPr>
                <w:rFonts w:hint="eastAsia"/>
                <w:u w:val="single"/>
                <w:lang w:val="en-US" w:eastAsia="zh-CN"/>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vAlign w:val="center"/>
          </w:tcPr>
          <w:p>
            <w:pPr>
              <w:spacing w:line="360" w:lineRule="auto"/>
              <w:jc w:val="center"/>
              <w:rPr>
                <w:rFonts w:hAnsi="宋体"/>
                <w:bCs/>
              </w:rPr>
            </w:pPr>
            <w:r>
              <w:rPr>
                <w:rFonts w:hint="eastAsia" w:hAnsi="宋体"/>
                <w:bCs/>
              </w:rPr>
              <w:t>备注</w:t>
            </w:r>
          </w:p>
        </w:tc>
        <w:tc>
          <w:tcPr>
            <w:tcW w:w="6667" w:type="dxa"/>
            <w:tcBorders>
              <w:top w:val="nil"/>
            </w:tcBorders>
            <w:vAlign w:val="center"/>
          </w:tcPr>
          <w:p>
            <w:pPr>
              <w:spacing w:line="360" w:lineRule="auto"/>
              <w:jc w:val="left"/>
              <w:rPr>
                <w:rFonts w:hAnsi="宋体"/>
                <w:bCs/>
                <w:szCs w:val="28"/>
              </w:rPr>
            </w:pPr>
          </w:p>
        </w:tc>
      </w:tr>
    </w:tbl>
    <w:p>
      <w:pPr>
        <w:spacing w:before="100" w:beforeAutospacing="1" w:after="100" w:afterAutospacing="1" w:line="360" w:lineRule="auto"/>
        <w:rPr>
          <w:rFonts w:hAnsi="宋体"/>
          <w:bCs/>
        </w:rPr>
      </w:pPr>
      <w:r>
        <w:rPr>
          <w:rFonts w:hint="eastAsia" w:hAnsi="宋体"/>
          <w:bCs/>
        </w:rPr>
        <w:t xml:space="preserve">投标人签章（盖单位公章）：          </w:t>
      </w:r>
    </w:p>
    <w:p>
      <w:pPr>
        <w:spacing w:before="100" w:beforeAutospacing="1" w:after="100" w:afterAutospacing="1" w:line="360" w:lineRule="auto"/>
        <w:rPr>
          <w:rFonts w:hint="eastAsia" w:hAnsi="宋体"/>
          <w:bCs/>
        </w:rPr>
      </w:pPr>
      <w:r>
        <w:rPr>
          <w:rFonts w:hint="eastAsia" w:hAnsi="宋体"/>
          <w:bCs/>
        </w:rPr>
        <w:t>日期：</w:t>
      </w:r>
    </w:p>
    <w:p>
      <w:pPr>
        <w:pStyle w:val="20"/>
      </w:pPr>
    </w:p>
    <w:p>
      <w:pPr>
        <w:spacing w:before="100" w:beforeAutospacing="1" w:after="100" w:afterAutospacing="1" w:line="360" w:lineRule="auto"/>
        <w:rPr>
          <w:rFonts w:hAnsi="宋体"/>
          <w:bCs/>
        </w:rPr>
      </w:pPr>
      <w:r>
        <w:rPr>
          <w:rFonts w:hint="eastAsia" w:hAnsi="宋体"/>
          <w:bCs/>
        </w:rPr>
        <w:t xml:space="preserve">                                 </w:t>
      </w:r>
    </w:p>
    <w:p>
      <w:pPr>
        <w:jc w:val="left"/>
        <w:rPr>
          <w:bCs/>
          <w:szCs w:val="21"/>
        </w:rPr>
      </w:pPr>
      <w:r>
        <w:rPr>
          <w:rFonts w:hint="eastAsia" w:hAnsi="宋体"/>
          <w:bCs/>
        </w:rPr>
        <w:t>备注：表中最终投标报价即为优惠后报价，并作为评审及定标依据。任何有选择或有条件的最终投标报价，或者对应某一报价项填写了多个报价的，均为无效报价（磋商文件另有规定的，除外）。</w:t>
      </w:r>
    </w:p>
    <w:p>
      <w:pPr>
        <w:jc w:val="center"/>
      </w:pPr>
    </w:p>
    <w:p/>
    <w:p>
      <w:pPr>
        <w:jc w:val="center"/>
      </w:pPr>
    </w:p>
    <w:p>
      <w:pPr>
        <w:jc w:val="center"/>
      </w:pPr>
    </w:p>
    <w:p>
      <w:pPr>
        <w:jc w:val="center"/>
        <w:outlineLvl w:val="1"/>
      </w:pPr>
      <w:bookmarkStart w:id="54" w:name="_Toc16336"/>
      <w:r>
        <w:rPr>
          <w:rFonts w:hint="eastAsia"/>
        </w:rPr>
        <w:t>二、投标人基本情况表</w:t>
      </w:r>
      <w:bookmarkEnd w:id="54"/>
    </w:p>
    <w:tbl>
      <w:tblPr>
        <w:tblStyle w:val="21"/>
        <w:tblW w:w="0" w:type="auto"/>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 xml:space="preserve">电 </w:t>
            </w:r>
            <w:r>
              <w:rPr>
                <w:rFonts w:hint="eastAsia" w:hAnsi="宋体"/>
                <w:spacing w:val="1"/>
                <w:szCs w:val="22"/>
              </w:rPr>
              <w:t xml:space="preserve"> </w:t>
            </w:r>
            <w:r>
              <w:rPr>
                <w:rFonts w:hint="eastAsia" w:hAnsi="宋体"/>
                <w:szCs w:val="22"/>
              </w:rPr>
              <w:t>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jc w:val="center"/>
              <w:rPr>
                <w:rFonts w:hAnsi="宋体"/>
              </w:rPr>
            </w:pPr>
            <w:r>
              <w:rPr>
                <w:rFonts w:hint="eastAsia" w:hAnsi="宋体"/>
                <w:szCs w:val="22"/>
              </w:rPr>
              <w:t>传  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电子邮件</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项目经理（或注册建造师）</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注册资本</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jc w:val="center"/>
              <w:rPr>
                <w:rFonts w:hAnsi="宋体"/>
              </w:rPr>
            </w:pPr>
            <w:r>
              <w:rPr>
                <w:rFonts w:hint="eastAsia" w:hAnsi="宋体"/>
                <w:szCs w:val="22"/>
              </w:rPr>
              <w:t>技        工</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经营范围</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szCs w:val="22"/>
              </w:rPr>
            </w:pPr>
            <w:r>
              <w:rPr>
                <w:rFonts w:hAnsi="宋体"/>
                <w:szCs w:val="22"/>
              </w:rPr>
              <w:t>投标人关联</w:t>
            </w:r>
          </w:p>
          <w:p>
            <w:pPr>
              <w:autoSpaceDE w:val="0"/>
              <w:autoSpaceDN w:val="0"/>
              <w:adjustRightInd w:val="0"/>
              <w:snapToGrid w:val="0"/>
              <w:jc w:val="center"/>
              <w:rPr>
                <w:szCs w:val="21"/>
              </w:rPr>
            </w:pPr>
            <w:r>
              <w:rPr>
                <w:rFonts w:hAnsi="宋体"/>
                <w:szCs w:val="22"/>
              </w:rPr>
              <w:t>企业情况</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topLinePunct/>
              <w:ind w:firstLine="480" w:firstLineChars="200"/>
              <w:jc w:val="left"/>
              <w:rPr>
                <w:szCs w:val="21"/>
              </w:rPr>
            </w:pPr>
            <w:r>
              <w:rPr>
                <w:rFonts w:hint="eastAsia"/>
                <w:szCs w:val="21"/>
              </w:rPr>
              <w:t>投标人应提供关联企业情况，包括：</w:t>
            </w:r>
          </w:p>
          <w:p>
            <w:pPr>
              <w:topLinePunct/>
              <w:ind w:firstLine="480" w:firstLineChars="200"/>
              <w:jc w:val="left"/>
              <w:rPr>
                <w:szCs w:val="21"/>
              </w:rPr>
            </w:pPr>
            <w:r>
              <w:rPr>
                <w:rFonts w:hint="eastAsia"/>
                <w:szCs w:val="21"/>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rPr>
            </w:pPr>
            <w:r>
              <w:rPr>
                <w:rFonts w:hint="eastAsia"/>
                <w:szCs w:val="21"/>
              </w:rPr>
              <w:t>（2）投标人投资（控股）或管理的下属企业名称、持有股权（出资额）比例；</w:t>
            </w:r>
          </w:p>
          <w:p>
            <w:pPr>
              <w:topLinePunct/>
              <w:ind w:firstLine="480" w:firstLineChars="200"/>
              <w:jc w:val="left"/>
              <w:rPr>
                <w:szCs w:val="21"/>
              </w:rPr>
            </w:pPr>
            <w:r>
              <w:rPr>
                <w:rFonts w:hint="eastAsia"/>
                <w:szCs w:val="21"/>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Ansi="宋体"/>
              </w:rPr>
            </w:pPr>
            <w:r>
              <w:rPr>
                <w:rFonts w:hint="eastAsia" w:hAnsi="宋体"/>
                <w:szCs w:val="22"/>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Ansi="宋体"/>
              </w:rPr>
            </w:pPr>
          </w:p>
        </w:tc>
      </w:tr>
    </w:tbl>
    <w:p>
      <w:pPr>
        <w:autoSpaceDE w:val="0"/>
        <w:autoSpaceDN w:val="0"/>
        <w:adjustRightInd w:val="0"/>
        <w:spacing w:line="300" w:lineRule="exact"/>
        <w:jc w:val="left"/>
        <w:rPr>
          <w:rFonts w:hAnsi="宋体"/>
          <w:szCs w:val="22"/>
        </w:rPr>
      </w:pPr>
    </w:p>
    <w:p>
      <w:pPr>
        <w:autoSpaceDE w:val="0"/>
        <w:autoSpaceDN w:val="0"/>
        <w:adjustRightInd w:val="0"/>
        <w:spacing w:line="300" w:lineRule="exact"/>
        <w:jc w:val="left"/>
        <w:rPr>
          <w:rFonts w:hAnsi="宋体"/>
          <w:b/>
          <w:bCs/>
          <w:szCs w:val="22"/>
        </w:rPr>
      </w:pPr>
      <w:r>
        <w:rPr>
          <w:rFonts w:hint="eastAsia" w:hAnsi="宋体"/>
          <w:b/>
          <w:bCs/>
          <w:szCs w:val="22"/>
        </w:rPr>
        <w:t>注：</w:t>
      </w:r>
      <w:r>
        <w:rPr>
          <w:rFonts w:hint="eastAsia" w:hAnsi="宋体" w:cs="宋体"/>
          <w:b/>
          <w:bCs/>
          <w:szCs w:val="21"/>
        </w:rPr>
        <w:t>投标人应根据磋商文件相关评审要求在本表后附营业执照或</w:t>
      </w:r>
      <w:r>
        <w:rPr>
          <w:rFonts w:hint="eastAsia" w:hAnsi="宋体"/>
          <w:b/>
          <w:bCs/>
          <w:szCs w:val="24"/>
        </w:rPr>
        <w:t>事业单位法人证书、</w:t>
      </w:r>
      <w:r>
        <w:rPr>
          <w:rFonts w:hint="eastAsia" w:hAnsi="宋体"/>
          <w:b/>
          <w:bCs/>
          <w:szCs w:val="22"/>
        </w:rPr>
        <w:t>资质证书、安全生产许可证等材料。</w:t>
      </w:r>
    </w:p>
    <w:p>
      <w:pPr>
        <w:jc w:val="center"/>
      </w:pPr>
    </w:p>
    <w:p>
      <w:pPr>
        <w:jc w:val="center"/>
      </w:pPr>
    </w:p>
    <w:bookmarkEnd w:id="52"/>
    <w:p>
      <w:pPr>
        <w:pStyle w:val="6"/>
        <w:jc w:val="center"/>
        <w:rPr>
          <w:rFonts w:ascii="宋体" w:hAnsi="Times New Roman" w:eastAsia="宋体"/>
          <w:bCs w:val="0"/>
        </w:rPr>
      </w:pPr>
      <w:bookmarkStart w:id="55" w:name="_Toc665"/>
      <w:bookmarkStart w:id="56" w:name="_Toc460227108"/>
      <w:bookmarkStart w:id="57" w:name="_Toc421917001"/>
      <w:bookmarkStart w:id="58" w:name="_Toc460660223"/>
      <w:bookmarkStart w:id="59" w:name="_Toc224103496"/>
      <w:bookmarkStart w:id="60" w:name="_Toc390411621"/>
      <w:r>
        <w:rPr>
          <w:rFonts w:hint="eastAsia" w:ascii="宋体" w:hAnsi="Times New Roman" w:eastAsia="宋体"/>
          <w:bCs w:val="0"/>
        </w:rPr>
        <w:t>三、投标函</w:t>
      </w:r>
      <w:bookmarkEnd w:id="55"/>
    </w:p>
    <w:p>
      <w:pPr>
        <w:spacing w:line="360" w:lineRule="auto"/>
        <w:ind w:firstLine="480" w:firstLineChars="200"/>
        <w:rPr>
          <w:rFonts w:hAnsi="宋体"/>
          <w:dstrike/>
        </w:rPr>
      </w:pPr>
      <w:r>
        <w:rPr>
          <w:rFonts w:hint="eastAsia" w:hAnsi="宋体"/>
        </w:rPr>
        <w:t xml:space="preserve"> 根据贵方“</w:t>
      </w:r>
      <w:r>
        <w:rPr>
          <w:rFonts w:hint="eastAsia" w:hAnsi="宋体"/>
          <w:b/>
          <w:bCs/>
          <w:u w:val="single"/>
        </w:rPr>
        <w:t>（项目名称）</w:t>
      </w:r>
      <w:r>
        <w:rPr>
          <w:rFonts w:hint="eastAsia" w:hAnsi="宋体"/>
        </w:rPr>
        <w:t>”的招标邀请书或磋商公告，我方提交规定形式的响应文件。</w:t>
      </w:r>
    </w:p>
    <w:p>
      <w:pPr>
        <w:spacing w:line="360" w:lineRule="auto"/>
        <w:ind w:firstLine="630"/>
        <w:rPr>
          <w:rFonts w:hAnsi="宋体"/>
        </w:rPr>
      </w:pPr>
      <w:r>
        <w:rPr>
          <w:rFonts w:hint="eastAsia" w:hAnsi="宋体"/>
        </w:rPr>
        <w:t>据此函，我方兹宣布同意如下：</w:t>
      </w:r>
    </w:p>
    <w:p>
      <w:pPr>
        <w:spacing w:line="360" w:lineRule="auto"/>
        <w:ind w:firstLine="628" w:firstLineChars="262"/>
        <w:rPr>
          <w:rFonts w:hAnsi="宋体"/>
        </w:rPr>
      </w:pPr>
      <w:r>
        <w:rPr>
          <w:rFonts w:hint="eastAsia" w:hAnsi="宋体"/>
        </w:rPr>
        <w:t>1.我方按磋商文件规定提供服务的最终投标报价详见最终报价表，我方完全响应磋商文件规定的服务期限及付款和结算方式。如我方中标，我方承诺愿意按磋商文件规定交纳履约保证金。</w:t>
      </w:r>
    </w:p>
    <w:p>
      <w:pPr>
        <w:spacing w:line="360" w:lineRule="auto"/>
        <w:ind w:firstLine="630"/>
        <w:rPr>
          <w:rFonts w:hAnsi="宋体"/>
        </w:rPr>
      </w:pPr>
      <w:r>
        <w:rPr>
          <w:rFonts w:hint="eastAsia" w:hAnsi="宋体"/>
        </w:rPr>
        <w:t>2.我方根据磋商文件的规定，严格履行合同的责任和义务</w:t>
      </w:r>
      <w:r>
        <w:rPr>
          <w:rFonts w:hAnsi="宋体"/>
        </w:rPr>
        <w:t>,</w:t>
      </w:r>
      <w:r>
        <w:rPr>
          <w:rFonts w:hint="eastAsia" w:hAnsi="宋体"/>
        </w:rPr>
        <w:t>并保证于买方要求的日期内完成服务，并通过买方验收。</w:t>
      </w:r>
    </w:p>
    <w:p>
      <w:pPr>
        <w:spacing w:line="360" w:lineRule="auto"/>
        <w:ind w:firstLine="630"/>
        <w:rPr>
          <w:rFonts w:hAnsi="宋体"/>
        </w:rPr>
      </w:pPr>
      <w:r>
        <w:rPr>
          <w:rFonts w:hint="eastAsia" w:hAnsi="宋体"/>
        </w:rPr>
        <w:t>3.我方承诺报价低于</w:t>
      </w:r>
      <w:r>
        <w:rPr>
          <w:rFonts w:hAnsi="宋体"/>
        </w:rPr>
        <w:t>同类服务的市场平均价格。</w:t>
      </w:r>
    </w:p>
    <w:p>
      <w:pPr>
        <w:spacing w:line="360" w:lineRule="auto"/>
        <w:ind w:firstLine="630"/>
        <w:rPr>
          <w:rFonts w:hAnsi="宋体"/>
        </w:rPr>
      </w:pPr>
      <w:r>
        <w:rPr>
          <w:rFonts w:hint="eastAsia" w:hAnsi="宋体"/>
        </w:rPr>
        <w:t>4.我方已详细审核全部磋商文件，包括磋商文件的答疑、澄清、变更或补充（如有），参考资料及有关附件，我方正式认可并遵守本次磋商文件，并对磋商文件各项条款（包括磋商时间）、规定及要求均无异议。我方知道必须放弃提出含糊不清或误解的问题的权利。</w:t>
      </w:r>
    </w:p>
    <w:p>
      <w:pPr>
        <w:spacing w:line="360" w:lineRule="auto"/>
        <w:ind w:firstLine="600" w:firstLineChars="250"/>
        <w:rPr>
          <w:rFonts w:hAnsi="宋体"/>
        </w:rPr>
      </w:pPr>
      <w:r>
        <w:rPr>
          <w:rFonts w:hint="eastAsia" w:hAnsi="宋体"/>
        </w:rPr>
        <w:t>5.我方同意从磋商文件规定的磋商日期起遵循本响应文件，并在磋商文件规定的投标有效期之前均具有约束力。</w:t>
      </w:r>
    </w:p>
    <w:p>
      <w:pPr>
        <w:spacing w:line="360" w:lineRule="auto"/>
        <w:ind w:firstLine="480" w:firstLineChars="200"/>
        <w:rPr>
          <w:rFonts w:ascii="Calibri" w:hAnsi="Calibri"/>
          <w:szCs w:val="24"/>
        </w:rPr>
      </w:pPr>
      <w:r>
        <w:rPr>
          <w:rFonts w:hint="eastAsia" w:hAnsi="宋体"/>
          <w:szCs w:val="22"/>
        </w:rPr>
        <w:t>6.</w:t>
      </w:r>
      <w:r>
        <w:rPr>
          <w:rFonts w:hint="eastAsia" w:ascii="Calibri" w:hAnsi="Calibri"/>
          <w:szCs w:val="24"/>
        </w:rPr>
        <w:t>我方承诺如</w:t>
      </w:r>
      <w:r>
        <w:rPr>
          <w:rFonts w:hint="eastAsia" w:hAnsi="宋体"/>
          <w:snapToGrid w:val="0"/>
          <w:szCs w:val="24"/>
        </w:rPr>
        <w:t>磋商</w:t>
      </w:r>
      <w:r>
        <w:rPr>
          <w:rFonts w:hint="eastAsia" w:ascii="Calibri" w:hAnsi="Calibri"/>
          <w:szCs w:val="24"/>
        </w:rPr>
        <w:t>保证金未按</w:t>
      </w:r>
      <w:r>
        <w:rPr>
          <w:rFonts w:hint="eastAsia" w:hAnsi="宋体"/>
          <w:snapToGrid w:val="0"/>
          <w:szCs w:val="24"/>
        </w:rPr>
        <w:t>磋商</w:t>
      </w:r>
      <w:r>
        <w:rPr>
          <w:rFonts w:hint="eastAsia" w:ascii="Calibri" w:hAnsi="Calibri"/>
          <w:szCs w:val="24"/>
        </w:rPr>
        <w:t>文件规定递交，我方投标无效，由此产生的一切后果由我方承担；如果在开标后规定的投标有效期内撤回投标，我方的</w:t>
      </w:r>
      <w:r>
        <w:rPr>
          <w:rFonts w:hint="eastAsia" w:hAnsi="宋体"/>
          <w:snapToGrid w:val="0"/>
          <w:szCs w:val="24"/>
        </w:rPr>
        <w:t>磋商</w:t>
      </w:r>
      <w:r>
        <w:rPr>
          <w:rFonts w:hint="eastAsia" w:ascii="Calibri" w:hAnsi="Calibri"/>
          <w:szCs w:val="24"/>
        </w:rPr>
        <w:t>保证金贵方可不予退还。</w:t>
      </w:r>
    </w:p>
    <w:p>
      <w:pPr>
        <w:spacing w:line="360" w:lineRule="auto"/>
        <w:ind w:firstLine="600" w:firstLineChars="250"/>
        <w:rPr>
          <w:rFonts w:hAnsi="宋体"/>
        </w:rPr>
      </w:pPr>
      <w:r>
        <w:rPr>
          <w:rFonts w:hint="eastAsia" w:hAnsi="宋体"/>
        </w:rPr>
        <w:t>7.我方声明响应文件所提供的一切资料均真实无误、及时、有效。企业运营正常（</w:t>
      </w:r>
      <w:r>
        <w:rPr>
          <w:rFonts w:hAnsi="宋体"/>
        </w:rPr>
        <w:t>注册登记信息、年报信息</w:t>
      </w:r>
      <w:r>
        <w:rPr>
          <w:rFonts w:hint="eastAsia" w:hAnsi="宋体"/>
        </w:rPr>
        <w:t>可查）。由于我方提供资料不实而造成的责任和后果由我方承担。我方同意按照贵方提出的要求，提供与投标有关的任何证据、数据或资料。</w:t>
      </w:r>
    </w:p>
    <w:p>
      <w:pPr>
        <w:spacing w:line="360" w:lineRule="auto"/>
        <w:ind w:firstLine="628" w:firstLineChars="262"/>
        <w:rPr>
          <w:rFonts w:hAnsi="宋体"/>
        </w:rPr>
      </w:pPr>
      <w:r>
        <w:rPr>
          <w:rFonts w:hint="eastAsia" w:hAnsi="宋体"/>
        </w:rPr>
        <w:t>8.我方完全理解贵方不一定接受最低报价的投标。</w:t>
      </w:r>
    </w:p>
    <w:p>
      <w:pPr>
        <w:spacing w:line="360" w:lineRule="auto"/>
        <w:ind w:firstLine="628" w:firstLineChars="262"/>
        <w:rPr>
          <w:rFonts w:hAnsi="宋体"/>
        </w:rPr>
      </w:pPr>
      <w:r>
        <w:rPr>
          <w:rFonts w:hint="eastAsia" w:hAnsi="宋体"/>
        </w:rPr>
        <w:t>9.我方承诺不存在第一章磋商邀请（磋商公告）“二、投标人资格”中“投标人存在以下不良信用记录情形”规定的任何一种情形。</w:t>
      </w:r>
    </w:p>
    <w:p>
      <w:pPr>
        <w:spacing w:line="360" w:lineRule="auto"/>
        <w:ind w:firstLine="628" w:firstLineChars="262"/>
        <w:rPr>
          <w:rFonts w:hAnsi="宋体"/>
        </w:rPr>
      </w:pPr>
      <w:r>
        <w:rPr>
          <w:rFonts w:hint="eastAsia" w:hAnsi="宋体"/>
        </w:rPr>
        <w:t>10.我方同意磋商文件规定的付款方式及结算方式。</w:t>
      </w:r>
    </w:p>
    <w:p>
      <w:pPr>
        <w:spacing w:line="360" w:lineRule="auto"/>
        <w:ind w:firstLine="628" w:firstLineChars="262"/>
        <w:rPr>
          <w:rFonts w:hAnsi="宋体"/>
        </w:rPr>
      </w:pPr>
      <w:r>
        <w:rPr>
          <w:rFonts w:hint="eastAsia" w:hAnsi="宋体"/>
        </w:rPr>
        <w:t>11.在你方和我方进行合同磋商之前，我方将按照响应文件中填报人员及磋商文件提出的最低要求填报派驻本标段的其他管理和技术人员及主要机械设备，经你方审批后作为派驻本标段的项目管理机构主要人员和主要设备且不进行更换。我方承诺除非磋商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Ansi="宋体"/>
          <w:u w:val="single"/>
        </w:rPr>
      </w:pPr>
      <w:r>
        <w:rPr>
          <w:rFonts w:hint="eastAsia" w:hAnsi="宋体"/>
        </w:rPr>
        <w:t>13.与本投标有关的通讯地址：</w:t>
      </w:r>
      <w:r>
        <w:rPr>
          <w:rFonts w:hint="eastAsia" w:hAnsi="宋体"/>
          <w:u w:val="single"/>
        </w:rPr>
        <w:t xml:space="preserve">                                  </w:t>
      </w:r>
    </w:p>
    <w:p>
      <w:pPr>
        <w:spacing w:line="360" w:lineRule="auto"/>
        <w:ind w:firstLine="630"/>
        <w:rPr>
          <w:rFonts w:hAnsi="宋体"/>
          <w:u w:val="single"/>
        </w:rPr>
      </w:pPr>
      <w:r>
        <w:rPr>
          <w:rFonts w:hint="eastAsia" w:hAnsi="宋体"/>
        </w:rPr>
        <w:t>电    话：</w:t>
      </w:r>
      <w:r>
        <w:rPr>
          <w:rFonts w:hint="eastAsia" w:hAnsi="宋体"/>
          <w:u w:val="single"/>
        </w:rPr>
        <w:t xml:space="preserve">                      </w:t>
      </w:r>
      <w:r>
        <w:rPr>
          <w:rFonts w:hint="eastAsia" w:hAnsi="宋体"/>
        </w:rPr>
        <w:t>传    真：</w:t>
      </w:r>
      <w:r>
        <w:rPr>
          <w:rFonts w:hint="eastAsia" w:hAnsi="宋体"/>
          <w:u w:val="single"/>
        </w:rPr>
        <w:t xml:space="preserve">                 </w:t>
      </w:r>
    </w:p>
    <w:p>
      <w:pPr>
        <w:spacing w:line="360" w:lineRule="auto"/>
        <w:ind w:firstLine="630"/>
        <w:rPr>
          <w:rFonts w:hAnsi="宋体"/>
        </w:rPr>
      </w:pPr>
      <w:r>
        <w:rPr>
          <w:rFonts w:hint="eastAsia" w:hAnsi="宋体"/>
        </w:rPr>
        <w:t>投标人基本账户开户名：</w:t>
      </w:r>
      <w:r>
        <w:rPr>
          <w:rFonts w:hint="eastAsia" w:hAnsi="宋体"/>
          <w:u w:val="single"/>
        </w:rPr>
        <w:t xml:space="preserve">           </w:t>
      </w:r>
      <w:r>
        <w:rPr>
          <w:rFonts w:hint="eastAsia" w:hAnsi="宋体"/>
        </w:rPr>
        <w:t xml:space="preserve"> 账号：</w:t>
      </w:r>
      <w:r>
        <w:rPr>
          <w:rFonts w:hint="eastAsia" w:hAnsi="宋体"/>
          <w:u w:val="single"/>
        </w:rPr>
        <w:t xml:space="preserve">            </w:t>
      </w:r>
      <w:r>
        <w:rPr>
          <w:rFonts w:hint="eastAsia" w:hAnsi="宋体"/>
        </w:rPr>
        <w:t xml:space="preserve"> </w:t>
      </w:r>
    </w:p>
    <w:p>
      <w:pPr>
        <w:spacing w:line="360" w:lineRule="auto"/>
        <w:ind w:firstLine="630"/>
        <w:rPr>
          <w:rFonts w:hAnsi="宋体"/>
          <w:u w:val="single"/>
        </w:rPr>
      </w:pPr>
      <w:r>
        <w:rPr>
          <w:rFonts w:hint="eastAsia" w:hAnsi="宋体"/>
        </w:rPr>
        <w:t>开户行：</w:t>
      </w:r>
      <w:r>
        <w:rPr>
          <w:rFonts w:hint="eastAsia" w:hAnsi="宋体"/>
          <w:u w:val="single"/>
        </w:rPr>
        <w:t xml:space="preserve">            </w:t>
      </w:r>
    </w:p>
    <w:p>
      <w:pPr>
        <w:spacing w:line="360" w:lineRule="auto"/>
        <w:ind w:firstLine="630"/>
      </w:pPr>
      <w:r>
        <w:rPr>
          <w:rFonts w:hint="eastAsia" w:hAnsi="宋体"/>
        </w:rPr>
        <w:t xml:space="preserve">投标人签章： </w:t>
      </w:r>
      <w:r>
        <w:rPr>
          <w:rFonts w:hint="eastAsia" w:hAnsi="宋体"/>
          <w:u w:val="single"/>
        </w:rPr>
        <w:t xml:space="preserve">                     </w:t>
      </w:r>
      <w:r>
        <w:rPr>
          <w:rFonts w:hint="eastAsia" w:hAnsi="宋体"/>
        </w:rPr>
        <w:t>日    期：</w:t>
      </w:r>
      <w:r>
        <w:rPr>
          <w:rFonts w:hint="eastAsia" w:hAnsi="宋体"/>
          <w:u w:val="single"/>
        </w:rPr>
        <w:t xml:space="preserve">                     </w:t>
      </w:r>
      <w:r>
        <w:rPr>
          <w:rFonts w:hint="eastAsia" w:hAnsi="宋体"/>
        </w:rPr>
        <w:t xml:space="preserve"> </w:t>
      </w:r>
      <w:r>
        <w:rPr>
          <w:rFonts w:ascii="黑体" w:hAnsi="宋体" w:eastAsia="黑体"/>
          <w:sz w:val="28"/>
          <w:szCs w:val="28"/>
        </w:rPr>
        <w:br w:type="page"/>
      </w:r>
      <w:bookmarkEnd w:id="56"/>
      <w:bookmarkEnd w:id="57"/>
      <w:bookmarkEnd w:id="58"/>
      <w:bookmarkEnd w:id="59"/>
      <w:bookmarkEnd w:id="60"/>
      <w:bookmarkStart w:id="61" w:name="_Toc460660225"/>
      <w:bookmarkStart w:id="62" w:name="_Toc460227110"/>
      <w:r>
        <w:rPr>
          <w:rFonts w:hint="eastAsia"/>
        </w:rPr>
        <w:t>四、法定代表人身份证明或授权委托书</w:t>
      </w:r>
    </w:p>
    <w:p>
      <w:pPr>
        <w:spacing w:line="360" w:lineRule="auto"/>
        <w:ind w:firstLine="1164" w:firstLineChars="414"/>
        <w:rPr>
          <w:rFonts w:hAnsi="宋体"/>
          <w:b/>
          <w:bCs/>
          <w:sz w:val="28"/>
          <w:szCs w:val="22"/>
        </w:rPr>
      </w:pPr>
    </w:p>
    <w:p>
      <w:pPr>
        <w:jc w:val="center"/>
        <w:rPr>
          <w:rFonts w:ascii="黑体" w:hAnsi="黑体" w:eastAsia="黑体"/>
          <w:bCs/>
        </w:rPr>
      </w:pPr>
      <w:r>
        <w:rPr>
          <w:rFonts w:hint="eastAsia" w:ascii="黑体" w:hAnsi="黑体" w:eastAsia="黑体"/>
          <w:bCs/>
        </w:rPr>
        <w:t>法定代表人身份证明</w:t>
      </w:r>
    </w:p>
    <w:p>
      <w:pPr>
        <w:ind w:left="765"/>
        <w:rPr>
          <w:rFonts w:hAnsi="宋体"/>
          <w:szCs w:val="22"/>
        </w:rPr>
      </w:pPr>
    </w:p>
    <w:p>
      <w:pPr>
        <w:spacing w:line="500" w:lineRule="exact"/>
        <w:rPr>
          <w:rFonts w:hAnsi="宋体"/>
          <w:szCs w:val="21"/>
        </w:rPr>
      </w:pPr>
      <w:r>
        <w:rPr>
          <w:rFonts w:hint="eastAsia" w:hAnsi="宋体"/>
          <w:szCs w:val="21"/>
        </w:rPr>
        <w:t>投 标 人：</w:t>
      </w:r>
      <w:r>
        <w:rPr>
          <w:rFonts w:hint="eastAsia" w:hAnsi="宋体"/>
          <w:szCs w:val="21"/>
          <w:u w:val="single"/>
        </w:rPr>
        <w:t xml:space="preserve">                                                        </w:t>
      </w:r>
    </w:p>
    <w:p>
      <w:pPr>
        <w:spacing w:line="500" w:lineRule="exact"/>
        <w:rPr>
          <w:rFonts w:hAnsi="宋体"/>
          <w:szCs w:val="21"/>
        </w:rPr>
      </w:pPr>
      <w:r>
        <w:rPr>
          <w:rFonts w:hint="eastAsia" w:hAnsi="宋体"/>
          <w:szCs w:val="21"/>
        </w:rPr>
        <w:t>单位性质：</w:t>
      </w:r>
      <w:r>
        <w:rPr>
          <w:rFonts w:hint="eastAsia" w:hAnsi="宋体"/>
          <w:szCs w:val="21"/>
          <w:u w:val="single"/>
        </w:rPr>
        <w:t xml:space="preserve">                                                        </w:t>
      </w:r>
    </w:p>
    <w:p>
      <w:pPr>
        <w:spacing w:line="500" w:lineRule="exact"/>
        <w:rPr>
          <w:rFonts w:hAnsi="宋体"/>
          <w:szCs w:val="21"/>
        </w:rPr>
      </w:pPr>
      <w:r>
        <w:rPr>
          <w:rFonts w:hint="eastAsia" w:hAnsi="宋体"/>
          <w:szCs w:val="21"/>
        </w:rPr>
        <w:t>地    址：</w:t>
      </w:r>
      <w:r>
        <w:rPr>
          <w:rFonts w:hint="eastAsia" w:hAnsi="宋体"/>
          <w:szCs w:val="21"/>
          <w:u w:val="single"/>
        </w:rPr>
        <w:t xml:space="preserve">                                                        </w:t>
      </w:r>
    </w:p>
    <w:p>
      <w:pPr>
        <w:spacing w:line="500" w:lineRule="exact"/>
        <w:rPr>
          <w:rFonts w:hAnsi="宋体"/>
          <w:szCs w:val="21"/>
        </w:rPr>
      </w:pPr>
      <w:r>
        <w:rPr>
          <w:rFonts w:hint="eastAsia" w:hAnsi="宋体"/>
          <w:szCs w:val="21"/>
        </w:rPr>
        <w:t>成立时间：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500" w:lineRule="exact"/>
        <w:rPr>
          <w:rFonts w:hAnsi="宋体"/>
          <w:szCs w:val="21"/>
        </w:rPr>
      </w:pPr>
      <w:r>
        <w:rPr>
          <w:rFonts w:hint="eastAsia" w:hAnsi="宋体"/>
          <w:szCs w:val="21"/>
        </w:rPr>
        <w:t>经营期限：</w:t>
      </w:r>
      <w:r>
        <w:rPr>
          <w:rFonts w:hint="eastAsia" w:hAnsi="宋体"/>
          <w:szCs w:val="21"/>
          <w:u w:val="single"/>
        </w:rPr>
        <w:t xml:space="preserve">                                                        </w:t>
      </w:r>
    </w:p>
    <w:p>
      <w:pPr>
        <w:spacing w:line="500" w:lineRule="exact"/>
        <w:rPr>
          <w:rFonts w:hAnsi="宋体"/>
          <w:szCs w:val="21"/>
        </w:rPr>
      </w:pPr>
      <w:r>
        <w:rPr>
          <w:rFonts w:hint="eastAsia" w:hAnsi="宋体"/>
          <w:szCs w:val="21"/>
        </w:rPr>
        <w:t>姓    名：</w:t>
      </w:r>
      <w:r>
        <w:rPr>
          <w:rFonts w:hint="eastAsia" w:hAnsi="宋体"/>
          <w:szCs w:val="21"/>
          <w:u w:val="single"/>
        </w:rPr>
        <w:t xml:space="preserve">                          </w:t>
      </w:r>
      <w:r>
        <w:rPr>
          <w:rFonts w:hint="eastAsia" w:hAnsi="宋体"/>
          <w:szCs w:val="21"/>
        </w:rPr>
        <w:t>性        别：</w:t>
      </w:r>
      <w:r>
        <w:rPr>
          <w:rFonts w:hint="eastAsia" w:hAnsi="宋体"/>
          <w:szCs w:val="21"/>
          <w:u w:val="single"/>
        </w:rPr>
        <w:t xml:space="preserve">                </w:t>
      </w:r>
    </w:p>
    <w:p>
      <w:pPr>
        <w:spacing w:line="500" w:lineRule="exact"/>
        <w:rPr>
          <w:rFonts w:hAnsi="宋体"/>
          <w:szCs w:val="21"/>
          <w:u w:val="single"/>
        </w:rPr>
      </w:pPr>
      <w:r>
        <w:rPr>
          <w:rFonts w:hint="eastAsia" w:hAnsi="宋体"/>
          <w:szCs w:val="21"/>
        </w:rPr>
        <w:t>年    龄：</w:t>
      </w:r>
      <w:r>
        <w:rPr>
          <w:rFonts w:hint="eastAsia" w:hAnsi="宋体"/>
          <w:szCs w:val="21"/>
          <w:u w:val="single"/>
        </w:rPr>
        <w:t xml:space="preserve">                          </w:t>
      </w:r>
      <w:r>
        <w:rPr>
          <w:rFonts w:hint="eastAsia" w:hAnsi="宋体"/>
          <w:szCs w:val="21"/>
        </w:rPr>
        <w:t>职        务：</w:t>
      </w:r>
      <w:r>
        <w:rPr>
          <w:rFonts w:hint="eastAsia" w:hAnsi="宋体"/>
          <w:szCs w:val="21"/>
          <w:u w:val="single"/>
        </w:rPr>
        <w:t xml:space="preserve">                </w:t>
      </w:r>
    </w:p>
    <w:p>
      <w:pPr>
        <w:spacing w:line="500" w:lineRule="exact"/>
        <w:rPr>
          <w:rFonts w:hAnsi="宋体"/>
          <w:szCs w:val="21"/>
          <w:u w:val="single"/>
        </w:rPr>
      </w:pPr>
      <w:r>
        <w:rPr>
          <w:rFonts w:hint="eastAsia" w:hAnsi="宋体"/>
          <w:szCs w:val="21"/>
        </w:rPr>
        <w:t>联系电话：</w:t>
      </w:r>
      <w:r>
        <w:rPr>
          <w:rFonts w:hint="eastAsia" w:hAnsi="宋体"/>
          <w:szCs w:val="21"/>
          <w:u w:val="single"/>
        </w:rPr>
        <w:t xml:space="preserve">                          </w:t>
      </w:r>
      <w:r>
        <w:rPr>
          <w:rFonts w:hint="eastAsia" w:hAnsi="宋体"/>
          <w:szCs w:val="21"/>
        </w:rPr>
        <w:t>手 机  号 码：</w:t>
      </w:r>
      <w:r>
        <w:rPr>
          <w:rFonts w:hint="eastAsia" w:hAnsi="宋体"/>
          <w:szCs w:val="21"/>
          <w:u w:val="single"/>
        </w:rPr>
        <w:t xml:space="preserve">                </w:t>
      </w:r>
    </w:p>
    <w:p>
      <w:pPr>
        <w:spacing w:line="500" w:lineRule="exact"/>
        <w:rPr>
          <w:rFonts w:hAnsi="宋体"/>
          <w:szCs w:val="21"/>
        </w:rPr>
      </w:pPr>
      <w:r>
        <w:rPr>
          <w:rFonts w:hint="eastAsia" w:hAnsi="宋体"/>
          <w:szCs w:val="21"/>
        </w:rPr>
        <w:t>系</w:t>
      </w:r>
      <w:r>
        <w:rPr>
          <w:rFonts w:hint="eastAsia" w:hAnsi="宋体"/>
          <w:szCs w:val="21"/>
          <w:u w:val="single"/>
        </w:rPr>
        <w:t xml:space="preserve">                                                 </w:t>
      </w:r>
      <w:r>
        <w:rPr>
          <w:rFonts w:hint="eastAsia" w:hAnsi="宋体"/>
          <w:szCs w:val="21"/>
        </w:rPr>
        <w:t>（投标人名称）的法定代表人。</w:t>
      </w:r>
    </w:p>
    <w:p>
      <w:pPr>
        <w:spacing w:line="500" w:lineRule="exact"/>
        <w:rPr>
          <w:rFonts w:hAnsi="宋体"/>
          <w:szCs w:val="21"/>
        </w:rPr>
      </w:pPr>
      <w:r>
        <w:rPr>
          <w:rFonts w:hint="eastAsia" w:hAnsi="宋体"/>
          <w:szCs w:val="21"/>
        </w:rPr>
        <w:t>特此证明。</w:t>
      </w:r>
    </w:p>
    <w:p>
      <w:pPr>
        <w:spacing w:line="500" w:lineRule="exact"/>
        <w:rPr>
          <w:rFonts w:hAnsi="宋体"/>
          <w:szCs w:val="21"/>
        </w:rPr>
      </w:pPr>
      <w:r>
        <w:rPr>
          <w:rFonts w:hint="eastAsia" w:hAnsi="宋体"/>
          <w:szCs w:val="21"/>
        </w:rPr>
        <w:t>附：法定代表人身份证</w:t>
      </w:r>
      <w:r>
        <w:rPr>
          <w:rFonts w:hint="eastAsia" w:hAnsi="宋体"/>
          <w:szCs w:val="21"/>
          <w:lang w:val="en-US" w:eastAsia="zh-CN"/>
        </w:rPr>
        <w:t>复印</w:t>
      </w:r>
      <w:r>
        <w:rPr>
          <w:rFonts w:hint="eastAsia" w:hAnsi="宋体"/>
          <w:szCs w:val="21"/>
        </w:rPr>
        <w:t>件</w:t>
      </w:r>
    </w:p>
    <w:p>
      <w:pPr>
        <w:spacing w:line="500" w:lineRule="exact"/>
        <w:rPr>
          <w:rFonts w:hAnsi="宋体"/>
          <w:szCs w:val="21"/>
        </w:rPr>
      </w:pPr>
      <w:r>
        <w:rPr>
          <w:rFonts w:ascii="宋体" w:hAnsi="宋体"/>
          <w:sz w:val="24"/>
          <w:szCs w:val="28"/>
          <w:highlight w:val="none"/>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217170</wp:posOffset>
                </wp:positionV>
                <wp:extent cx="2638425" cy="1749425"/>
                <wp:effectExtent l="4445" t="4445" r="5080" b="17780"/>
                <wp:wrapNone/>
                <wp:docPr id="44" name="圆角矩形 10"/>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0.05pt;margin-top:17.1pt;height:137.75pt;width:207.75pt;z-index:251659264;mso-width-relative:page;mso-height-relative:page;" fillcolor="#FFFFFF" filled="t" stroked="t" coordsize="21600,21600" arcsize="0.166666666666667" o:gfxdata="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9KcI9cAAAAKAQAADwAAAAAAAAABACAAAAAiAAAAZHJzL2Rv&#10;d25yZXYueG1sUEsBAhQAFAAAAAgAh07iQAZBVwc7AgAAigQAAA4AAAAAAAAAAQAgAAAAJgEAAGRy&#10;cy9lMm9Eb2MueG1sUEsFBgAAAAAGAAYAWQEAANM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59264" behindDoc="0" locked="0" layoutInCell="1" allowOverlap="1">
                <wp:simplePos x="0" y="0"/>
                <wp:positionH relativeFrom="column">
                  <wp:posOffset>-386715</wp:posOffset>
                </wp:positionH>
                <wp:positionV relativeFrom="paragraph">
                  <wp:posOffset>226695</wp:posOffset>
                </wp:positionV>
                <wp:extent cx="2638425" cy="1701800"/>
                <wp:effectExtent l="4445" t="4445" r="5080" b="8255"/>
                <wp:wrapNone/>
                <wp:docPr id="45" name="圆角矩形 10"/>
                <wp:cNvGraphicFramePr/>
                <a:graphic xmlns:a="http://schemas.openxmlformats.org/drawingml/2006/main">
                  <a:graphicData uri="http://schemas.microsoft.com/office/word/2010/wordprocessingShape">
                    <wps:wsp>
                      <wps:cNvSpPr>
                        <a:spLocks noRot="1"/>
                      </wps:cNvSpPr>
                      <wps:spPr>
                        <a:xfrm>
                          <a:off x="0" y="0"/>
                          <a:ext cx="2638425" cy="17018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30.45pt;margin-top:17.85pt;height:134pt;width:207.75pt;z-index:251659264;mso-width-relative:page;mso-height-relative:page;" fillcolor="#FFFFFF" filled="t" stroked="t" coordsize="21600,21600" arcsize="0.166666666666667" o:gfxdata="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YhW41wAAAAoBAAAPAAAAAAAAAAEAIAAAACIAAABkcnMvZG93&#10;bnJldi54bWxQSwECFAAUAAAACACHTuJAnEDGkToCAACKBAAADgAAAAAAAAABACAAAAAmAQAAZHJz&#10;L2Uyb0RvYy54bWxQSwUGAAAAAAYABgBZAQAA0gU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p>
    <w:p>
      <w:pPr>
        <w:wordWrap w:val="0"/>
        <w:spacing w:line="500" w:lineRule="exact"/>
        <w:jc w:val="right"/>
        <w:rPr>
          <w:rFonts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Ansi="宋体"/>
          <w:szCs w:val="21"/>
        </w:rPr>
      </w:pPr>
      <w:r>
        <w:rPr>
          <w:rFonts w:hint="eastAsia" w:hAnsi="宋体"/>
          <w:szCs w:val="21"/>
        </w:rPr>
        <w:t>投标人：</w:t>
      </w:r>
      <w:r>
        <w:rPr>
          <w:rFonts w:hint="eastAsia" w:hAnsi="宋体"/>
          <w:szCs w:val="21"/>
          <w:u w:val="single"/>
        </w:rPr>
        <w:t xml:space="preserve">                          </w:t>
      </w:r>
      <w:r>
        <w:rPr>
          <w:rFonts w:hint="eastAsia" w:hAnsi="宋体"/>
          <w:szCs w:val="21"/>
        </w:rPr>
        <w:t>（盖单位章）</w:t>
      </w:r>
    </w:p>
    <w:p>
      <w:pPr>
        <w:spacing w:before="48" w:beforeLines="20" w:after="48" w:afterLines="20" w:line="540" w:lineRule="exact"/>
        <w:ind w:firstLine="240" w:firstLineChars="100"/>
        <w:jc w:val="right"/>
        <w:rPr>
          <w:rFonts w:hAnsi="宋体"/>
          <w:szCs w:val="22"/>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before="48" w:beforeLines="20" w:after="48" w:afterLines="20" w:line="540" w:lineRule="exact"/>
        <w:rPr>
          <w:rFonts w:hAnsi="宋体"/>
          <w:b/>
          <w:bCs/>
          <w:szCs w:val="22"/>
        </w:rPr>
      </w:pPr>
    </w:p>
    <w:p>
      <w:pPr>
        <w:jc w:val="center"/>
        <w:rPr>
          <w:sz w:val="32"/>
          <w:szCs w:val="32"/>
        </w:rPr>
      </w:pPr>
      <w:bookmarkStart w:id="63" w:name="_Toc535241084"/>
      <w:bookmarkStart w:id="64" w:name="_Toc535241227"/>
      <w:bookmarkStart w:id="65" w:name="_Toc535241130"/>
      <w:bookmarkStart w:id="66" w:name="_Toc224103498"/>
      <w:bookmarkStart w:id="67" w:name="_Toc224103497"/>
      <w:r>
        <w:rPr>
          <w:sz w:val="32"/>
          <w:szCs w:val="32"/>
        </w:rPr>
        <w:br w:type="page"/>
      </w:r>
      <w:r>
        <w:rPr>
          <w:rFonts w:hint="eastAsia" w:ascii="黑体" w:hAnsi="黑体" w:eastAsia="黑体"/>
          <w:bCs/>
        </w:rPr>
        <w:t>授权委托书</w:t>
      </w:r>
      <w:bookmarkEnd w:id="63"/>
      <w:bookmarkEnd w:id="64"/>
      <w:bookmarkEnd w:id="65"/>
    </w:p>
    <w:p/>
    <w:p>
      <w:pPr>
        <w:snapToGrid w:val="0"/>
        <w:spacing w:line="360" w:lineRule="auto"/>
        <w:ind w:firstLine="480" w:firstLineChars="200"/>
        <w:jc w:val="left"/>
        <w:rPr>
          <w:rFonts w:hAnsi="宋体"/>
          <w:szCs w:val="21"/>
        </w:rPr>
      </w:pPr>
      <w:r>
        <w:rPr>
          <w:rFonts w:hint="eastAsia" w:hAnsi="宋体"/>
          <w:szCs w:val="21"/>
        </w:rPr>
        <w:t>本人</w:t>
      </w:r>
      <w:r>
        <w:rPr>
          <w:rFonts w:hint="eastAsia" w:hAnsi="宋体"/>
          <w:szCs w:val="21"/>
          <w:u w:val="single"/>
        </w:rPr>
        <w:t xml:space="preserve">         </w:t>
      </w:r>
      <w:r>
        <w:rPr>
          <w:rFonts w:hint="eastAsia" w:hAnsi="宋体"/>
          <w:szCs w:val="21"/>
        </w:rPr>
        <w:t>（姓名）系</w:t>
      </w:r>
      <w:r>
        <w:rPr>
          <w:rFonts w:hint="eastAsia" w:hAnsi="宋体"/>
          <w:szCs w:val="21"/>
          <w:u w:val="single"/>
        </w:rPr>
        <w:t xml:space="preserve">         </w:t>
      </w:r>
      <w:r>
        <w:rPr>
          <w:rFonts w:hint="eastAsia" w:hAnsi="宋体"/>
          <w:szCs w:val="21"/>
        </w:rPr>
        <w:t>（投标人名称）的法定代表人，现委托</w:t>
      </w:r>
      <w:r>
        <w:rPr>
          <w:rFonts w:hint="eastAsia" w:hAnsi="宋体"/>
          <w:szCs w:val="21"/>
          <w:u w:val="single"/>
        </w:rPr>
        <w:t xml:space="preserve">      </w:t>
      </w:r>
      <w:r>
        <w:rPr>
          <w:rFonts w:hint="eastAsia" w:hAnsi="宋体"/>
          <w:szCs w:val="21"/>
        </w:rPr>
        <w:t>（姓名）为我方代理人。代理人根据授权，以我方名义签署、澄清、说明、补正、递交、撤回、修改</w:t>
      </w:r>
      <w:r>
        <w:rPr>
          <w:rFonts w:hint="eastAsia" w:hAnsi="宋体"/>
          <w:szCs w:val="21"/>
          <w:u w:val="single"/>
        </w:rPr>
        <w:t xml:space="preserve">       </w:t>
      </w:r>
      <w:r>
        <w:rPr>
          <w:rFonts w:hint="eastAsia" w:hAnsi="宋体"/>
          <w:szCs w:val="21"/>
        </w:rPr>
        <w:t>（招标项目名称）投标文件、签订合同和处理有关事宜，其法律后果由我方承担。</w:t>
      </w:r>
    </w:p>
    <w:p>
      <w:pPr>
        <w:snapToGrid w:val="0"/>
        <w:spacing w:line="360" w:lineRule="auto"/>
        <w:ind w:firstLine="480" w:firstLineChars="200"/>
        <w:rPr>
          <w:rFonts w:hAnsi="宋体"/>
          <w:szCs w:val="21"/>
        </w:rPr>
      </w:pPr>
      <w:r>
        <w:rPr>
          <w:rFonts w:hint="eastAsia" w:hAnsi="宋体"/>
          <w:szCs w:val="21"/>
        </w:rPr>
        <w:t>委托期限：</w:t>
      </w:r>
      <w:r>
        <w:rPr>
          <w:rFonts w:hint="eastAsia" w:hAnsi="宋体"/>
          <w:szCs w:val="21"/>
          <w:u w:val="single"/>
        </w:rPr>
        <w:t xml:space="preserve">  </w:t>
      </w:r>
      <w:r>
        <w:rPr>
          <w:rFonts w:hint="eastAsia" w:hAnsi="宋体"/>
          <w:szCs w:val="21"/>
          <w:u w:val="single"/>
          <w:lang w:val="en-US" w:eastAsia="zh-CN"/>
        </w:rPr>
        <w:t>自签署之日起至投标有效期结束</w:t>
      </w:r>
      <w:r>
        <w:rPr>
          <w:rFonts w:hint="eastAsia" w:hAnsi="宋体"/>
          <w:szCs w:val="21"/>
          <w:u w:val="single"/>
        </w:rPr>
        <w:t xml:space="preserve">        </w:t>
      </w:r>
      <w:r>
        <w:rPr>
          <w:rFonts w:hint="eastAsia" w:hAnsi="宋体"/>
          <w:szCs w:val="21"/>
        </w:rPr>
        <w:t>。</w:t>
      </w:r>
    </w:p>
    <w:p>
      <w:pPr>
        <w:snapToGrid w:val="0"/>
        <w:spacing w:line="360" w:lineRule="auto"/>
        <w:ind w:firstLine="480" w:firstLineChars="200"/>
        <w:rPr>
          <w:rFonts w:hAnsi="宋体"/>
          <w:szCs w:val="21"/>
        </w:rPr>
      </w:pPr>
      <w:r>
        <w:rPr>
          <w:rFonts w:hint="eastAsia" w:hAnsi="宋体"/>
          <w:szCs w:val="21"/>
        </w:rPr>
        <w:t>代理人无转委托权。</w:t>
      </w:r>
    </w:p>
    <w:p>
      <w:pPr>
        <w:snapToGrid w:val="0"/>
        <w:spacing w:line="360" w:lineRule="auto"/>
        <w:ind w:firstLine="480" w:firstLineChars="200"/>
        <w:rPr>
          <w:rStyle w:val="35"/>
          <w:rFonts w:hint="default"/>
          <w:b/>
          <w:bCs/>
          <w:color w:val="auto"/>
        </w:rPr>
      </w:pPr>
      <w:r>
        <w:rPr>
          <w:rFonts w:ascii="宋体" w:hAnsi="宋体"/>
          <w:sz w:val="24"/>
          <w:szCs w:val="28"/>
          <w:highlight w:val="none"/>
        </w:rPr>
        <mc:AlternateContent>
          <mc:Choice Requires="wps">
            <w:drawing>
              <wp:anchor distT="0" distB="0" distL="114300" distR="114300" simplePos="0" relativeHeight="251663360" behindDoc="0" locked="0" layoutInCell="1" allowOverlap="1">
                <wp:simplePos x="0" y="0"/>
                <wp:positionH relativeFrom="column">
                  <wp:posOffset>2823210</wp:posOffset>
                </wp:positionH>
                <wp:positionV relativeFrom="paragraph">
                  <wp:posOffset>215265</wp:posOffset>
                </wp:positionV>
                <wp:extent cx="2314575" cy="795655"/>
                <wp:effectExtent l="4445" t="4445" r="5080" b="19050"/>
                <wp:wrapNone/>
                <wp:docPr id="46"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2.3pt;margin-top:16.95pt;height:62.65pt;width:182.25pt;z-index:251663360;mso-width-relative:page;mso-height-relative:page;" fillcolor="#FFFFFF" filled="t" stroked="t" coordsize="21600,21600" arcsize="0.166666666666667" o:gfxdata="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49ebXAAAACgEAAA8AAAAAAAAAAQAgAAAAIgAAAGRycy9kb3du&#10;cmV2LnhtbFBLAQIUABQAAAAIAIdO4kAU/SXkOQIAAIkEAAAOAAAAAAAAAAEAIAAAACYBAABkcnMv&#10;ZTJvRG9jLnhtbFBLBQYAAAAABgAGAFkBAADRBQ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243840</wp:posOffset>
                </wp:positionV>
                <wp:extent cx="2315210" cy="796290"/>
                <wp:effectExtent l="4445" t="5080" r="23495" b="17780"/>
                <wp:wrapNone/>
                <wp:docPr id="47" name="圆角矩形 10"/>
                <wp:cNvGraphicFramePr/>
                <a:graphic xmlns:a="http://schemas.openxmlformats.org/drawingml/2006/main">
                  <a:graphicData uri="http://schemas.microsoft.com/office/word/2010/wordprocessingShape">
                    <wps:wsp>
                      <wps:cNvSpPr>
                        <a:spLocks noRot="1"/>
                      </wps:cNvSpPr>
                      <wps:spPr>
                        <a:xfrm>
                          <a:off x="0" y="0"/>
                          <a:ext cx="2315210" cy="796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4.8pt;margin-top:19.2pt;height:62.7pt;width:182.3pt;z-index:251662336;mso-width-relative:page;mso-height-relative:page;" fillcolor="#FFFFFF" filled="t" stroked="t" coordsize="21600,21600" arcsize="0.166666666666667" o:gfxdata="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BnludUAAAAIAQAADwAAAAAAAAABACAAAAAiAAAAZHJzL2Rvd25y&#10;ZXYueG1sUEsBAhQAFAAAAAgAh07iQGcW+/I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r>
        <w:rPr>
          <w:rFonts w:hint="eastAsia" w:hAnsi="宋体"/>
          <w:szCs w:val="21"/>
        </w:rPr>
        <w:t>附：</w:t>
      </w:r>
      <w:r>
        <w:rPr>
          <w:rStyle w:val="35"/>
          <w:rFonts w:hint="default"/>
          <w:b/>
          <w:bCs/>
          <w:color w:val="auto"/>
        </w:rPr>
        <w:t>法定代表人身份证明</w:t>
      </w:r>
    </w:p>
    <w:p>
      <w:pPr>
        <w:pStyle w:val="20"/>
        <w:rPr>
          <w:rStyle w:val="35"/>
          <w:rFonts w:hint="default"/>
          <w:b/>
          <w:bCs/>
          <w:color w:val="auto"/>
        </w:rPr>
      </w:pPr>
    </w:p>
    <w:p>
      <w:pPr>
        <w:pStyle w:val="20"/>
        <w:rPr>
          <w:rStyle w:val="35"/>
          <w:rFonts w:hint="default"/>
          <w:b/>
          <w:bCs/>
          <w:color w:val="auto"/>
        </w:rPr>
      </w:pPr>
    </w:p>
    <w:p>
      <w:pPr>
        <w:pStyle w:val="20"/>
        <w:rPr>
          <w:rStyle w:val="35"/>
          <w:rFonts w:hint="default"/>
          <w:b/>
          <w:bCs/>
          <w:color w:val="auto"/>
        </w:rPr>
      </w:pPr>
    </w:p>
    <w:p>
      <w:pPr>
        <w:pStyle w:val="20"/>
        <w:rPr>
          <w:rStyle w:val="35"/>
          <w:rFonts w:hint="default"/>
          <w:b/>
          <w:bCs/>
          <w:color w:val="auto"/>
        </w:rPr>
      </w:pPr>
    </w:p>
    <w:p>
      <w:pPr>
        <w:pStyle w:val="20"/>
        <w:rPr>
          <w:rStyle w:val="35"/>
          <w:rFonts w:hint="default"/>
          <w:b/>
          <w:bCs/>
          <w:color w:val="auto"/>
        </w:rPr>
      </w:pPr>
    </w:p>
    <w:p>
      <w:pPr>
        <w:rPr>
          <w:rStyle w:val="35"/>
          <w:rFonts w:hint="default"/>
          <w:b/>
          <w:bCs/>
          <w:color w:val="auto"/>
        </w:rPr>
      </w:pPr>
    </w:p>
    <w:p>
      <w:pPr>
        <w:pStyle w:val="20"/>
        <w:rPr>
          <w:rStyle w:val="35"/>
          <w:rFonts w:hint="default"/>
          <w:b/>
          <w:bCs/>
          <w:color w:val="auto"/>
        </w:rPr>
      </w:pPr>
    </w:p>
    <w:p>
      <w:pPr>
        <w:rPr>
          <w:rFonts w:hint="default" w:eastAsia="宋体"/>
          <w:lang w:val="en-US" w:eastAsia="zh-CN"/>
        </w:rPr>
      </w:pPr>
    </w:p>
    <w:p>
      <w:pPr>
        <w:snapToGrid w:val="0"/>
        <w:spacing w:line="360" w:lineRule="auto"/>
        <w:ind w:firstLine="482" w:firstLineChars="200"/>
        <w:rPr>
          <w:rFonts w:hint="eastAsia" w:hAnsi="宋体"/>
          <w:b/>
          <w:bCs/>
          <w:szCs w:val="21"/>
        </w:rPr>
      </w:pPr>
      <w:r>
        <w:rPr>
          <w:rFonts w:hint="eastAsia" w:hAnsi="宋体"/>
          <w:b/>
          <w:bCs/>
          <w:szCs w:val="21"/>
        </w:rPr>
        <w:t xml:space="preserve">    代理人身份证扫描件</w:t>
      </w:r>
    </w:p>
    <w:p>
      <w:pPr>
        <w:pStyle w:val="20"/>
        <w:rPr>
          <w:rFonts w:hint="eastAsia" w:hAnsi="宋体"/>
          <w:b/>
          <w:bCs/>
          <w:szCs w:val="21"/>
        </w:rPr>
      </w:pPr>
      <w:r>
        <w:rPr>
          <w:rFonts w:ascii="宋体" w:hAnsi="宋体"/>
          <w:sz w:val="24"/>
          <w:szCs w:val="28"/>
          <w:highlight w:val="none"/>
        </w:rPr>
        <mc:AlternateContent>
          <mc:Choice Requires="wps">
            <w:drawing>
              <wp:anchor distT="0" distB="0" distL="114300" distR="114300" simplePos="0" relativeHeight="251661312" behindDoc="0" locked="0" layoutInCell="1" allowOverlap="1">
                <wp:simplePos x="0" y="0"/>
                <wp:positionH relativeFrom="column">
                  <wp:posOffset>2785110</wp:posOffset>
                </wp:positionH>
                <wp:positionV relativeFrom="paragraph">
                  <wp:posOffset>22225</wp:posOffset>
                </wp:positionV>
                <wp:extent cx="2314575" cy="795655"/>
                <wp:effectExtent l="4445" t="4445" r="5080" b="19050"/>
                <wp:wrapNone/>
                <wp:docPr id="48"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219.3pt;margin-top:1.75pt;height:62.65pt;width:182.25pt;z-index:251661312;mso-width-relative:page;mso-height-relative:page;" fillcolor="#FFFFFF" filled="t" stroked="t" coordsize="21600,21600" arcsize="0.166666666666667" o:gfxdata="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7KGMk1QAAAAkBAAAPAAAAAAAAAAEAIAAAACIAAABkcnMvZG93bnJl&#10;di54bWxQSwECFAAUAAAACACHTuJAW89d8TkCAACJBAAADgAAAAAAAAABACAAAAAkAQAAZHJzL2Uy&#10;b0RvYy54bWxQSwUGAAAAAAYABgBZAQAAzwU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21590</wp:posOffset>
                </wp:positionV>
                <wp:extent cx="2314575" cy="795655"/>
                <wp:effectExtent l="4445" t="4445" r="5080" b="19050"/>
                <wp:wrapNone/>
                <wp:docPr id="49"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5.55pt;margin-top:1.7pt;height:62.65pt;width:182.25pt;z-index:251660288;mso-width-relative:page;mso-height-relative:page;" fillcolor="#FFFFFF" filled="t" stroked="t" coordsize="21600,21600" arcsize="0.166666666666667" o:gfxdata="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wGfJNUAAAAIAQAADwAAAAAAAAABACAAAAAiAAAAZHJzL2Rvd25y&#10;ZXYueG1sUEsBAhQAFAAAAAgAh07iQHf/bB8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p>
    <w:p>
      <w:pPr>
        <w:rPr>
          <w:rFonts w:hint="eastAsia" w:hAnsi="宋体"/>
          <w:b/>
          <w:bCs/>
          <w:szCs w:val="21"/>
        </w:rPr>
      </w:pPr>
    </w:p>
    <w:p>
      <w:pPr>
        <w:pStyle w:val="20"/>
        <w:rPr>
          <w:rFonts w:hint="eastAsia" w:hAnsi="宋体"/>
          <w:b/>
          <w:bCs/>
          <w:szCs w:val="21"/>
        </w:rPr>
      </w:pPr>
    </w:p>
    <w:p>
      <w:pPr>
        <w:rPr>
          <w:rFonts w:hint="eastAsia" w:hAnsi="宋体"/>
          <w:b/>
          <w:bCs/>
          <w:szCs w:val="21"/>
        </w:rPr>
      </w:pPr>
    </w:p>
    <w:p>
      <w:pPr>
        <w:pStyle w:val="20"/>
        <w:rPr>
          <w:rFonts w:hint="eastAsia" w:hAnsi="宋体"/>
          <w:b/>
          <w:bCs/>
          <w:szCs w:val="21"/>
        </w:rPr>
      </w:pPr>
    </w:p>
    <w:p>
      <w:pPr>
        <w:pStyle w:val="20"/>
        <w:rPr>
          <w:rFonts w:hint="eastAsia" w:hAnsi="宋体"/>
          <w:b/>
          <w:bCs/>
          <w:szCs w:val="21"/>
        </w:rPr>
      </w:pPr>
    </w:p>
    <w:p>
      <w:pPr>
        <w:spacing w:line="500" w:lineRule="exact"/>
        <w:rPr>
          <w:rFonts w:hAnsi="宋体"/>
          <w:szCs w:val="21"/>
        </w:rPr>
      </w:pP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hAnsi="宋体"/>
          <w:szCs w:val="21"/>
        </w:rPr>
      </w:pPr>
      <w:r>
        <w:rPr>
          <w:rFonts w:hint="eastAsia" w:hAnsi="宋体"/>
          <w:szCs w:val="21"/>
        </w:rPr>
        <w:t>投  标  人：</w:t>
      </w:r>
      <w:r>
        <w:rPr>
          <w:rFonts w:hint="eastAsia" w:hAnsi="宋体"/>
          <w:szCs w:val="21"/>
          <w:u w:val="single"/>
        </w:rPr>
        <w:t xml:space="preserve">                         </w:t>
      </w:r>
      <w:r>
        <w:rPr>
          <w:rFonts w:hint="eastAsia" w:hAnsi="宋体"/>
          <w:szCs w:val="21"/>
        </w:rPr>
        <w:t>（盖单位章）</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pPr>
      <w:r>
        <w:rPr>
          <w:rFonts w:hint="eastAsia" w:hAnsi="宋体"/>
          <w:szCs w:val="21"/>
        </w:rPr>
        <w:t>法定代表人：</w:t>
      </w:r>
      <w:r>
        <w:rPr>
          <w:rFonts w:hint="eastAsia" w:hAnsi="宋体"/>
          <w:szCs w:val="21"/>
          <w:u w:val="single"/>
        </w:rPr>
        <w:t xml:space="preserve">                       </w:t>
      </w:r>
      <w:r>
        <w:rPr>
          <w:rFonts w:hint="eastAsia" w:hAnsi="宋体"/>
          <w:szCs w:val="21"/>
        </w:rPr>
        <w:t>（签字或盖章）</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hAnsi="宋体"/>
          <w:szCs w:val="21"/>
        </w:rPr>
      </w:pPr>
      <w:r>
        <w:rPr>
          <w:rFonts w:hint="eastAsia" w:hAnsi="宋体"/>
          <w:szCs w:val="21"/>
        </w:rPr>
        <w:t>代理人身份证号码：</w:t>
      </w:r>
      <w:r>
        <w:rPr>
          <w:rFonts w:hint="eastAsia"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hAnsi="宋体"/>
          <w:szCs w:val="21"/>
        </w:rPr>
      </w:pPr>
      <w:r>
        <w:rPr>
          <w:rFonts w:hint="eastAsia" w:hAnsi="宋体"/>
          <w:szCs w:val="21"/>
        </w:rPr>
        <w:t>代理人手机号码：</w:t>
      </w:r>
      <w:r>
        <w:rPr>
          <w:rFonts w:hint="eastAsia"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tabs>
          <w:tab w:val="left" w:pos="5760"/>
        </w:tabs>
        <w:autoSpaceDE w:val="0"/>
        <w:autoSpaceDN w:val="0"/>
        <w:adjustRightInd w:val="0"/>
        <w:spacing w:line="300" w:lineRule="exact"/>
        <w:ind w:right="11"/>
        <w:rPr>
          <w:rFonts w:hAnsi="宋体"/>
          <w:szCs w:val="22"/>
        </w:rPr>
      </w:pPr>
      <w:r>
        <w:rPr>
          <w:rFonts w:hint="eastAsia" w:hAnsi="宋体"/>
          <w:szCs w:val="22"/>
        </w:rPr>
        <w:t>注：</w:t>
      </w:r>
    </w:p>
    <w:p>
      <w:pPr>
        <w:tabs>
          <w:tab w:val="left" w:pos="5760"/>
        </w:tabs>
        <w:autoSpaceDE w:val="0"/>
        <w:autoSpaceDN w:val="0"/>
        <w:adjustRightInd w:val="0"/>
        <w:spacing w:line="300" w:lineRule="exact"/>
        <w:ind w:right="11"/>
        <w:rPr>
          <w:rFonts w:hAnsi="宋体"/>
          <w:szCs w:val="22"/>
        </w:rPr>
      </w:pPr>
      <w:r>
        <w:rPr>
          <w:rFonts w:hint="eastAsia" w:hAnsi="宋体"/>
          <w:szCs w:val="22"/>
        </w:rPr>
        <w:t>法定代表人参加投标活动并签署文件的不需要授权委托书，只需提供法定代表人身份证明；非法定代表人参加投标活动及签署文件的还须提供授权委托书。</w:t>
      </w:r>
      <w:bookmarkEnd w:id="66"/>
      <w:bookmarkEnd w:id="67"/>
    </w:p>
    <w:p>
      <w:pPr>
        <w:rPr>
          <w:rFonts w:eastAsia="黑体"/>
        </w:rPr>
      </w:pPr>
    </w:p>
    <w:p>
      <w:pPr>
        <w:spacing w:before="240" w:beforeLines="100" w:line="510" w:lineRule="exact"/>
        <w:jc w:val="center"/>
        <w:outlineLvl w:val="1"/>
      </w:pPr>
      <w:bookmarkStart w:id="68" w:name="_Toc24894"/>
      <w:bookmarkStart w:id="69" w:name="_Toc535241232"/>
      <w:bookmarkStart w:id="70" w:name="_Toc535241089"/>
      <w:bookmarkStart w:id="71" w:name="_Toc535241135"/>
      <w:bookmarkStart w:id="72" w:name="_Toc535241229"/>
      <w:bookmarkStart w:id="73" w:name="_Toc535241086"/>
      <w:bookmarkStart w:id="74" w:name="_Toc535241132"/>
      <w:r>
        <w:rPr>
          <w:rFonts w:hint="eastAsia"/>
        </w:rPr>
        <w:t>五、投标人信用承诺</w:t>
      </w:r>
      <w:bookmarkEnd w:id="68"/>
    </w:p>
    <w:p>
      <w:pPr>
        <w:spacing w:line="360" w:lineRule="auto"/>
        <w:ind w:firstLine="630"/>
        <w:rPr>
          <w:rFonts w:hAnsi="宋体"/>
          <w:b/>
        </w:rPr>
      </w:pPr>
      <w:r>
        <w:rPr>
          <w:rFonts w:hint="eastAsia" w:hAnsi="宋体"/>
          <w:b/>
        </w:rPr>
        <w:t>一、我公司申明：</w:t>
      </w:r>
    </w:p>
    <w:p>
      <w:pPr>
        <w:spacing w:line="360" w:lineRule="auto"/>
        <w:ind w:firstLine="630"/>
        <w:rPr>
          <w:rFonts w:hAnsi="宋体"/>
        </w:rPr>
      </w:pPr>
      <w:r>
        <w:rPr>
          <w:rFonts w:hint="eastAsia" w:hAnsi="宋体"/>
        </w:rPr>
        <w:t>1.我公司未被人民法院列入失信被执行人；</w:t>
      </w:r>
    </w:p>
    <w:p>
      <w:pPr>
        <w:spacing w:line="360" w:lineRule="auto"/>
        <w:ind w:firstLine="630"/>
        <w:rPr>
          <w:rFonts w:hAnsi="宋体"/>
        </w:rPr>
      </w:pPr>
      <w:r>
        <w:rPr>
          <w:rFonts w:hint="eastAsia" w:hAnsi="宋体"/>
        </w:rPr>
        <w:t>2.我公司和我公司法定代表人未被人民检察院列入行贿犯罪档案；</w:t>
      </w:r>
    </w:p>
    <w:p>
      <w:pPr>
        <w:spacing w:line="360" w:lineRule="auto"/>
        <w:ind w:firstLine="630"/>
        <w:rPr>
          <w:rFonts w:hAnsi="宋体"/>
        </w:rPr>
      </w:pPr>
      <w:r>
        <w:rPr>
          <w:rFonts w:hint="eastAsia" w:hAnsi="宋体"/>
        </w:rPr>
        <w:t>3.我公司未被工商行政管理部门列入企业经营异常名录；</w:t>
      </w:r>
    </w:p>
    <w:p>
      <w:pPr>
        <w:spacing w:line="360" w:lineRule="auto"/>
        <w:ind w:firstLine="630"/>
        <w:rPr>
          <w:rFonts w:hAnsi="宋体"/>
        </w:rPr>
      </w:pPr>
      <w:r>
        <w:rPr>
          <w:rFonts w:hint="eastAsia" w:hAnsi="宋体"/>
        </w:rPr>
        <w:t>4.我公司未被税务部门列入重大税收违法案件当事人名单；</w:t>
      </w:r>
    </w:p>
    <w:p>
      <w:pPr>
        <w:spacing w:line="360" w:lineRule="auto"/>
        <w:ind w:firstLine="630"/>
        <w:rPr>
          <w:rFonts w:hAnsi="宋体"/>
        </w:rPr>
      </w:pPr>
      <w:r>
        <w:rPr>
          <w:rFonts w:hint="eastAsia" w:hAnsi="宋体"/>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hAnsi="宋体"/>
          <w:b/>
        </w:rPr>
      </w:pPr>
      <w:r>
        <w:rPr>
          <w:rFonts w:hAnsi="宋体"/>
          <w:b/>
        </w:rPr>
        <w:t>我公司</w:t>
      </w:r>
      <w:r>
        <w:rPr>
          <w:rFonts w:hint="eastAsia" w:hAnsi="宋体"/>
          <w:b/>
        </w:rPr>
        <w:t>对以上承诺的真实性承担责任</w:t>
      </w:r>
      <w:r>
        <w:rPr>
          <w:rFonts w:hAnsi="宋体"/>
          <w:b/>
        </w:rPr>
        <w:t>。</w:t>
      </w:r>
    </w:p>
    <w:p>
      <w:pPr>
        <w:spacing w:line="360" w:lineRule="auto"/>
        <w:ind w:firstLine="630"/>
        <w:rPr>
          <w:rFonts w:hAnsi="宋体"/>
        </w:rPr>
      </w:pPr>
    </w:p>
    <w:p>
      <w:pPr>
        <w:spacing w:line="360" w:lineRule="auto"/>
        <w:ind w:firstLine="630"/>
        <w:rPr>
          <w:rFonts w:hAnsi="宋体"/>
          <w:b/>
        </w:rPr>
      </w:pPr>
      <w:r>
        <w:rPr>
          <w:rFonts w:hint="eastAsia" w:hAnsi="宋体"/>
          <w:b/>
        </w:rPr>
        <w:t>投标人公章：</w:t>
      </w:r>
    </w:p>
    <w:p/>
    <w:p/>
    <w:p/>
    <w:p/>
    <w:p/>
    <w:p/>
    <w:p/>
    <w:p/>
    <w:p/>
    <w:p/>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outlineLvl w:val="1"/>
      </w:pPr>
      <w:bookmarkStart w:id="75" w:name="_Toc31234"/>
      <w:r>
        <w:rPr>
          <w:rFonts w:hint="eastAsia"/>
        </w:rPr>
        <w:t>六、投标人业绩</w:t>
      </w:r>
      <w:bookmarkEnd w:id="75"/>
    </w:p>
    <w:p>
      <w:pPr>
        <w:jc w:val="center"/>
        <w:rPr>
          <w:b/>
          <w:szCs w:val="24"/>
        </w:rPr>
      </w:pPr>
      <w:r>
        <w:rPr>
          <w:rFonts w:hint="eastAsia"/>
          <w:b/>
          <w:szCs w:val="24"/>
        </w:rPr>
        <w:t>（一）业绩表</w:t>
      </w:r>
    </w:p>
    <w:p>
      <w:pPr>
        <w:jc w:val="center"/>
        <w:rPr>
          <w:szCs w:val="24"/>
        </w:rPr>
      </w:pPr>
      <w:r>
        <w:rPr>
          <w:rFonts w:hint="eastAsia"/>
          <w:szCs w:val="24"/>
        </w:rPr>
        <w:t>（格式仅供参考）</w:t>
      </w:r>
    </w:p>
    <w:tbl>
      <w:tblPr>
        <w:tblStyle w:val="21"/>
        <w:tblW w:w="55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202"/>
        <w:gridCol w:w="1228"/>
        <w:gridCol w:w="1378"/>
        <w:gridCol w:w="1311"/>
        <w:gridCol w:w="1132"/>
        <w:gridCol w:w="1992"/>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08" w:type="pct"/>
            <w:vAlign w:val="center"/>
          </w:tcPr>
          <w:p>
            <w:pPr>
              <w:spacing w:line="360" w:lineRule="auto"/>
              <w:jc w:val="center"/>
              <w:rPr>
                <w:rFonts w:hAnsi="宋体"/>
                <w:sz w:val="22"/>
                <w:szCs w:val="22"/>
              </w:rPr>
            </w:pPr>
            <w:r>
              <w:rPr>
                <w:rFonts w:hint="eastAsia" w:hAnsi="宋体"/>
                <w:sz w:val="22"/>
                <w:szCs w:val="22"/>
              </w:rPr>
              <w:t>序号</w:t>
            </w:r>
          </w:p>
        </w:tc>
        <w:tc>
          <w:tcPr>
            <w:tcW w:w="626" w:type="pct"/>
            <w:vAlign w:val="center"/>
          </w:tcPr>
          <w:p>
            <w:pPr>
              <w:spacing w:line="360" w:lineRule="auto"/>
              <w:jc w:val="center"/>
              <w:rPr>
                <w:rFonts w:hAnsi="宋体"/>
                <w:sz w:val="22"/>
                <w:szCs w:val="22"/>
              </w:rPr>
            </w:pPr>
            <w:r>
              <w:rPr>
                <w:rFonts w:hint="eastAsia" w:hAnsi="宋体"/>
                <w:sz w:val="22"/>
                <w:szCs w:val="22"/>
              </w:rPr>
              <w:t>项目名称</w:t>
            </w:r>
          </w:p>
        </w:tc>
        <w:tc>
          <w:tcPr>
            <w:tcW w:w="639" w:type="pct"/>
            <w:vAlign w:val="center"/>
          </w:tcPr>
          <w:p>
            <w:pPr>
              <w:widowControl/>
              <w:jc w:val="center"/>
              <w:rPr>
                <w:rFonts w:hAnsi="宋体"/>
                <w:sz w:val="22"/>
                <w:szCs w:val="22"/>
              </w:rPr>
            </w:pPr>
            <w:r>
              <w:rPr>
                <w:rFonts w:hint="eastAsia" w:hAnsi="宋体"/>
                <w:sz w:val="22"/>
                <w:szCs w:val="22"/>
              </w:rPr>
              <w:t>合同签订时间</w:t>
            </w:r>
          </w:p>
        </w:tc>
        <w:tc>
          <w:tcPr>
            <w:tcW w:w="717" w:type="pct"/>
            <w:vAlign w:val="center"/>
          </w:tcPr>
          <w:p>
            <w:pPr>
              <w:spacing w:line="360" w:lineRule="auto"/>
              <w:jc w:val="center"/>
              <w:rPr>
                <w:rFonts w:hAnsi="宋体"/>
                <w:sz w:val="22"/>
                <w:szCs w:val="22"/>
              </w:rPr>
            </w:pPr>
            <w:r>
              <w:rPr>
                <w:rFonts w:hint="eastAsia" w:hAnsi="宋体"/>
                <w:sz w:val="22"/>
                <w:szCs w:val="22"/>
              </w:rPr>
              <w:t>合同金额</w:t>
            </w:r>
          </w:p>
        </w:tc>
        <w:tc>
          <w:tcPr>
            <w:tcW w:w="682" w:type="pct"/>
            <w:vAlign w:val="center"/>
          </w:tcPr>
          <w:p>
            <w:pPr>
              <w:spacing w:line="360" w:lineRule="auto"/>
              <w:jc w:val="center"/>
              <w:rPr>
                <w:rFonts w:hAnsi="宋体"/>
                <w:sz w:val="22"/>
                <w:szCs w:val="22"/>
              </w:rPr>
            </w:pPr>
            <w:r>
              <w:rPr>
                <w:rFonts w:hint="eastAsia" w:hAnsi="宋体"/>
                <w:sz w:val="22"/>
                <w:szCs w:val="22"/>
              </w:rPr>
              <w:t>合同内容</w:t>
            </w:r>
          </w:p>
        </w:tc>
        <w:tc>
          <w:tcPr>
            <w:tcW w:w="589" w:type="pct"/>
            <w:vAlign w:val="center"/>
          </w:tcPr>
          <w:p>
            <w:pPr>
              <w:spacing w:line="360" w:lineRule="auto"/>
              <w:jc w:val="center"/>
              <w:rPr>
                <w:rFonts w:hAnsi="宋体"/>
                <w:sz w:val="22"/>
                <w:szCs w:val="22"/>
              </w:rPr>
            </w:pPr>
            <w:r>
              <w:rPr>
                <w:rFonts w:hint="eastAsia" w:hAnsi="宋体"/>
                <w:sz w:val="22"/>
                <w:szCs w:val="22"/>
              </w:rPr>
              <w:t>项目所在地</w:t>
            </w:r>
          </w:p>
        </w:tc>
        <w:tc>
          <w:tcPr>
            <w:tcW w:w="1037" w:type="pct"/>
            <w:vAlign w:val="center"/>
          </w:tcPr>
          <w:p>
            <w:pPr>
              <w:spacing w:line="360" w:lineRule="auto"/>
              <w:jc w:val="center"/>
              <w:rPr>
                <w:rFonts w:hAnsi="宋体"/>
                <w:sz w:val="22"/>
                <w:szCs w:val="22"/>
              </w:rPr>
            </w:pPr>
            <w:r>
              <w:rPr>
                <w:rFonts w:hint="eastAsia" w:hAnsi="宋体"/>
                <w:sz w:val="22"/>
                <w:szCs w:val="22"/>
              </w:rPr>
              <w:t>业绩合同甲方及联系电话</w:t>
            </w:r>
          </w:p>
        </w:tc>
        <w:tc>
          <w:tcPr>
            <w:tcW w:w="397" w:type="pct"/>
            <w:vAlign w:val="center"/>
          </w:tcPr>
          <w:p>
            <w:pPr>
              <w:spacing w:line="360" w:lineRule="auto"/>
              <w:jc w:val="center"/>
              <w:rPr>
                <w:rFonts w:hAnsi="宋体"/>
                <w:sz w:val="22"/>
                <w:szCs w:val="22"/>
              </w:rPr>
            </w:pPr>
            <w:r>
              <w:rPr>
                <w:rFonts w:hint="eastAsia" w:hAnsi="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308" w:type="pct"/>
            <w:vAlign w:val="center"/>
          </w:tcPr>
          <w:p>
            <w:pPr>
              <w:spacing w:line="360" w:lineRule="auto"/>
              <w:jc w:val="center"/>
              <w:rPr>
                <w:rFonts w:hAnsi="宋体"/>
                <w:sz w:val="22"/>
                <w:szCs w:val="22"/>
              </w:rPr>
            </w:pPr>
            <w:r>
              <w:rPr>
                <w:rFonts w:hint="eastAsia" w:hAnsi="宋体"/>
                <w:sz w:val="22"/>
                <w:szCs w:val="22"/>
              </w:rPr>
              <w:t>1</w:t>
            </w:r>
          </w:p>
        </w:tc>
        <w:tc>
          <w:tcPr>
            <w:tcW w:w="626" w:type="pct"/>
            <w:vAlign w:val="center"/>
          </w:tcPr>
          <w:p>
            <w:pPr>
              <w:spacing w:line="360" w:lineRule="auto"/>
              <w:rPr>
                <w:rFonts w:hAnsi="宋体"/>
                <w:sz w:val="22"/>
                <w:szCs w:val="22"/>
              </w:rPr>
            </w:pPr>
          </w:p>
        </w:tc>
        <w:tc>
          <w:tcPr>
            <w:tcW w:w="639" w:type="pct"/>
            <w:vAlign w:val="center"/>
          </w:tcPr>
          <w:p>
            <w:pPr>
              <w:spacing w:line="360" w:lineRule="auto"/>
              <w:rPr>
                <w:rFonts w:hAnsi="宋体"/>
                <w:sz w:val="22"/>
                <w:szCs w:val="22"/>
              </w:rPr>
            </w:pPr>
          </w:p>
        </w:tc>
        <w:tc>
          <w:tcPr>
            <w:tcW w:w="717" w:type="pct"/>
            <w:vAlign w:val="center"/>
          </w:tcPr>
          <w:p>
            <w:pPr>
              <w:spacing w:line="360" w:lineRule="auto"/>
              <w:rPr>
                <w:rFonts w:hAnsi="宋体"/>
                <w:sz w:val="22"/>
                <w:szCs w:val="22"/>
              </w:rPr>
            </w:pPr>
          </w:p>
        </w:tc>
        <w:tc>
          <w:tcPr>
            <w:tcW w:w="682" w:type="pct"/>
            <w:vAlign w:val="center"/>
          </w:tcPr>
          <w:p>
            <w:pPr>
              <w:spacing w:line="360" w:lineRule="auto"/>
              <w:rPr>
                <w:rFonts w:hAnsi="宋体"/>
                <w:sz w:val="22"/>
                <w:szCs w:val="22"/>
              </w:rPr>
            </w:pPr>
          </w:p>
        </w:tc>
        <w:tc>
          <w:tcPr>
            <w:tcW w:w="589" w:type="pct"/>
            <w:vAlign w:val="center"/>
          </w:tcPr>
          <w:p>
            <w:pPr>
              <w:spacing w:line="360" w:lineRule="auto"/>
              <w:rPr>
                <w:rFonts w:hAnsi="宋体"/>
                <w:sz w:val="22"/>
                <w:szCs w:val="22"/>
              </w:rPr>
            </w:pPr>
          </w:p>
        </w:tc>
        <w:tc>
          <w:tcPr>
            <w:tcW w:w="1037" w:type="pct"/>
            <w:vAlign w:val="center"/>
          </w:tcPr>
          <w:p>
            <w:pPr>
              <w:spacing w:line="360" w:lineRule="auto"/>
              <w:rPr>
                <w:rFonts w:hAnsi="宋体"/>
                <w:sz w:val="22"/>
                <w:szCs w:val="22"/>
              </w:rPr>
            </w:pPr>
          </w:p>
        </w:tc>
        <w:tc>
          <w:tcPr>
            <w:tcW w:w="397" w:type="pct"/>
            <w:vAlign w:val="center"/>
          </w:tcPr>
          <w:p>
            <w:pPr>
              <w:spacing w:line="360" w:lineRule="auto"/>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Align w:val="center"/>
          </w:tcPr>
          <w:p>
            <w:pPr>
              <w:spacing w:line="360" w:lineRule="auto"/>
              <w:jc w:val="center"/>
              <w:rPr>
                <w:rFonts w:hAnsi="宋体"/>
                <w:sz w:val="22"/>
                <w:szCs w:val="22"/>
              </w:rPr>
            </w:pPr>
            <w:r>
              <w:rPr>
                <w:rFonts w:hAnsi="宋体"/>
                <w:sz w:val="22"/>
                <w:szCs w:val="22"/>
              </w:rPr>
              <w:t>……</w:t>
            </w:r>
          </w:p>
        </w:tc>
        <w:tc>
          <w:tcPr>
            <w:tcW w:w="626" w:type="pct"/>
            <w:vAlign w:val="center"/>
          </w:tcPr>
          <w:p>
            <w:pPr>
              <w:spacing w:line="360" w:lineRule="auto"/>
              <w:rPr>
                <w:rFonts w:hAnsi="宋体"/>
                <w:sz w:val="22"/>
                <w:szCs w:val="22"/>
              </w:rPr>
            </w:pPr>
          </w:p>
        </w:tc>
        <w:tc>
          <w:tcPr>
            <w:tcW w:w="639" w:type="pct"/>
            <w:vAlign w:val="center"/>
          </w:tcPr>
          <w:p>
            <w:pPr>
              <w:spacing w:line="360" w:lineRule="auto"/>
              <w:rPr>
                <w:rFonts w:hAnsi="宋体"/>
                <w:sz w:val="22"/>
                <w:szCs w:val="22"/>
              </w:rPr>
            </w:pPr>
          </w:p>
        </w:tc>
        <w:tc>
          <w:tcPr>
            <w:tcW w:w="717" w:type="pct"/>
            <w:vAlign w:val="center"/>
          </w:tcPr>
          <w:p>
            <w:pPr>
              <w:spacing w:line="360" w:lineRule="auto"/>
              <w:rPr>
                <w:rFonts w:hAnsi="宋体"/>
                <w:sz w:val="22"/>
                <w:szCs w:val="22"/>
              </w:rPr>
            </w:pPr>
          </w:p>
        </w:tc>
        <w:tc>
          <w:tcPr>
            <w:tcW w:w="682" w:type="pct"/>
            <w:vAlign w:val="center"/>
          </w:tcPr>
          <w:p>
            <w:pPr>
              <w:spacing w:line="360" w:lineRule="auto"/>
              <w:rPr>
                <w:rFonts w:hAnsi="宋体"/>
                <w:sz w:val="22"/>
                <w:szCs w:val="22"/>
              </w:rPr>
            </w:pPr>
          </w:p>
        </w:tc>
        <w:tc>
          <w:tcPr>
            <w:tcW w:w="589" w:type="pct"/>
            <w:vAlign w:val="center"/>
          </w:tcPr>
          <w:p>
            <w:pPr>
              <w:spacing w:line="360" w:lineRule="auto"/>
              <w:rPr>
                <w:rFonts w:hAnsi="宋体"/>
                <w:sz w:val="22"/>
                <w:szCs w:val="22"/>
              </w:rPr>
            </w:pPr>
          </w:p>
        </w:tc>
        <w:tc>
          <w:tcPr>
            <w:tcW w:w="1037" w:type="pct"/>
            <w:vAlign w:val="center"/>
          </w:tcPr>
          <w:p>
            <w:pPr>
              <w:spacing w:line="360" w:lineRule="auto"/>
              <w:rPr>
                <w:rFonts w:hAnsi="宋体"/>
                <w:sz w:val="22"/>
                <w:szCs w:val="22"/>
              </w:rPr>
            </w:pPr>
          </w:p>
        </w:tc>
        <w:tc>
          <w:tcPr>
            <w:tcW w:w="397" w:type="pct"/>
            <w:vAlign w:val="center"/>
          </w:tcPr>
          <w:p>
            <w:pPr>
              <w:spacing w:line="360" w:lineRule="auto"/>
              <w:rPr>
                <w:rFonts w:hAnsi="宋体"/>
                <w:sz w:val="22"/>
                <w:szCs w:val="22"/>
              </w:rPr>
            </w:pPr>
          </w:p>
        </w:tc>
      </w:tr>
    </w:tbl>
    <w:p>
      <w:pPr>
        <w:spacing w:before="48" w:beforeLines="20" w:after="48" w:afterLines="20" w:line="360" w:lineRule="auto"/>
        <w:jc w:val="center"/>
        <w:rPr>
          <w:rFonts w:hAnsi="宋体"/>
          <w:b/>
          <w:szCs w:val="24"/>
        </w:rPr>
      </w:pPr>
      <w:r>
        <w:rPr>
          <w:rFonts w:hint="eastAsia" w:hAnsi="宋体"/>
          <w:b/>
          <w:szCs w:val="24"/>
        </w:rPr>
        <w:t>（二）业绩证明材料</w:t>
      </w:r>
    </w:p>
    <w:p>
      <w:pPr>
        <w:keepNext/>
        <w:keepLines/>
        <w:spacing w:before="120" w:after="120" w:line="360" w:lineRule="auto"/>
        <w:jc w:val="center"/>
      </w:pPr>
      <w:r>
        <w:rPr>
          <w:rFonts w:hint="eastAsia" w:hAnsi="宋体"/>
          <w:szCs w:val="24"/>
        </w:rPr>
        <w:t>（建议与上述“（一）业绩表”填写的业绩一一对应提供）</w:t>
      </w: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outlineLvl w:val="1"/>
      </w:pPr>
      <w:bookmarkStart w:id="76" w:name="_Toc21642"/>
      <w:r>
        <w:rPr>
          <w:rFonts w:hint="eastAsia"/>
        </w:rPr>
        <w:t>七、奖项、荣誉（如有）</w:t>
      </w:r>
      <w:bookmarkEnd w:id="76"/>
    </w:p>
    <w:p>
      <w:pPr>
        <w:spacing w:before="240" w:beforeLines="100" w:line="510" w:lineRule="exact"/>
        <w:jc w:val="center"/>
        <w:rPr>
          <w:rFonts w:eastAsia="黑体"/>
        </w:rPr>
      </w:pPr>
    </w:p>
    <w:p>
      <w:pPr>
        <w:spacing w:before="240" w:beforeLines="100" w:line="510" w:lineRule="exact"/>
        <w:jc w:val="cente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
      <w:pPr>
        <w:spacing w:before="240" w:beforeLines="100" w:line="510" w:lineRule="exact"/>
        <w:jc w:val="center"/>
        <w:rPr>
          <w:rFonts w:eastAsia="黑体"/>
        </w:rPr>
      </w:pPr>
    </w:p>
    <w:p>
      <w:pPr>
        <w:rPr>
          <w:rFonts w:eastAsia="黑体"/>
        </w:rPr>
      </w:pPr>
    </w:p>
    <w:p>
      <w:pPr>
        <w:rPr>
          <w:rFonts w:eastAsia="黑体"/>
        </w:rPr>
      </w:pPr>
    </w:p>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spacing w:before="240" w:beforeLines="100" w:line="510" w:lineRule="exact"/>
        <w:jc w:val="center"/>
      </w:pPr>
    </w:p>
    <w:p>
      <w:pPr>
        <w:spacing w:before="240" w:beforeLines="100" w:line="510" w:lineRule="exact"/>
        <w:jc w:val="center"/>
      </w:pPr>
    </w:p>
    <w:p>
      <w:pPr>
        <w:spacing w:before="240" w:beforeLines="100" w:line="510" w:lineRule="exact"/>
        <w:jc w:val="center"/>
      </w:pPr>
    </w:p>
    <w:p>
      <w:pPr>
        <w:spacing w:before="240" w:beforeLines="100" w:line="510" w:lineRule="exact"/>
        <w:jc w:val="center"/>
        <w:outlineLvl w:val="1"/>
      </w:pPr>
      <w:bookmarkStart w:id="77" w:name="_Toc19879"/>
      <w:r>
        <w:rPr>
          <w:rFonts w:hint="eastAsia"/>
        </w:rPr>
        <w:t>八、项目管理机构</w:t>
      </w:r>
      <w:bookmarkEnd w:id="77"/>
    </w:p>
    <w:bookmarkEnd w:id="69"/>
    <w:bookmarkEnd w:id="70"/>
    <w:bookmarkEnd w:id="71"/>
    <w:p>
      <w:pPr>
        <w:tabs>
          <w:tab w:val="left" w:pos="4620"/>
        </w:tabs>
        <w:spacing w:line="360" w:lineRule="auto"/>
        <w:ind w:firstLine="480" w:firstLineChars="200"/>
        <w:rPr>
          <w:rFonts w:hAnsi="宋体"/>
        </w:rPr>
      </w:pPr>
      <w:r>
        <w:rPr>
          <w:rFonts w:hint="eastAsia" w:hAnsi="宋体"/>
          <w:bCs/>
          <w:szCs w:val="24"/>
        </w:rPr>
        <w:t>投标人可自行制作格式</w:t>
      </w:r>
      <w:r>
        <w:rPr>
          <w:rFonts w:hint="eastAsia" w:hAnsi="宋体"/>
        </w:rPr>
        <w:t>，应能体现出所有磋商文件要求的内容，并附相关证明材料（扫描件），下列格式仅供参考。</w:t>
      </w:r>
    </w:p>
    <w:p>
      <w:pPr>
        <w:tabs>
          <w:tab w:val="left" w:pos="4620"/>
        </w:tabs>
        <w:spacing w:line="360" w:lineRule="auto"/>
        <w:ind w:firstLine="482" w:firstLineChars="200"/>
        <w:rPr>
          <w:rFonts w:hAnsi="宋体"/>
          <w:b/>
          <w:bCs/>
          <w:szCs w:val="24"/>
        </w:rPr>
      </w:pPr>
      <w:r>
        <w:rPr>
          <w:rFonts w:hint="eastAsia" w:hAnsi="宋体"/>
          <w:b/>
          <w:bCs/>
          <w:szCs w:val="24"/>
        </w:rPr>
        <w:t>（一）拟委任的主要人员汇总表</w:t>
      </w:r>
    </w:p>
    <w:tbl>
      <w:tblPr>
        <w:tblStyle w:val="21"/>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748"/>
        <w:gridCol w:w="1383"/>
        <w:gridCol w:w="969"/>
        <w:gridCol w:w="692"/>
        <w:gridCol w:w="740"/>
        <w:gridCol w:w="1107"/>
        <w:gridCol w:w="726"/>
        <w:gridCol w:w="15"/>
        <w:gridCol w:w="1119"/>
        <w:gridCol w:w="1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1" w:type="dxa"/>
            <w:gridSpan w:val="2"/>
            <w:vAlign w:val="center"/>
          </w:tcPr>
          <w:p>
            <w:pPr>
              <w:spacing w:line="440" w:lineRule="exact"/>
              <w:jc w:val="center"/>
            </w:pPr>
            <w:r>
              <w:rPr>
                <w:rFonts w:hint="eastAsia"/>
              </w:rPr>
              <w:t>序号</w:t>
            </w:r>
          </w:p>
        </w:tc>
        <w:tc>
          <w:tcPr>
            <w:tcW w:w="1384" w:type="dxa"/>
            <w:vMerge w:val="restart"/>
            <w:vAlign w:val="center"/>
          </w:tcPr>
          <w:p>
            <w:pPr>
              <w:spacing w:line="440" w:lineRule="exact"/>
              <w:jc w:val="center"/>
            </w:pPr>
            <w:r>
              <w:rPr>
                <w:rFonts w:hint="eastAsia"/>
              </w:rPr>
              <w:t>本项目任职</w:t>
            </w:r>
          </w:p>
        </w:tc>
        <w:tc>
          <w:tcPr>
            <w:tcW w:w="969" w:type="dxa"/>
            <w:vMerge w:val="restart"/>
            <w:vAlign w:val="center"/>
          </w:tcPr>
          <w:p>
            <w:pPr>
              <w:spacing w:line="440" w:lineRule="exact"/>
              <w:jc w:val="center"/>
            </w:pPr>
            <w:r>
              <w:rPr>
                <w:rFonts w:hint="eastAsia"/>
              </w:rPr>
              <w:t>姓名</w:t>
            </w:r>
          </w:p>
        </w:tc>
        <w:tc>
          <w:tcPr>
            <w:tcW w:w="692" w:type="dxa"/>
            <w:vMerge w:val="restart"/>
            <w:vAlign w:val="center"/>
          </w:tcPr>
          <w:p>
            <w:pPr>
              <w:spacing w:line="440" w:lineRule="exact"/>
              <w:jc w:val="center"/>
            </w:pPr>
            <w:r>
              <w:rPr>
                <w:rFonts w:hint="eastAsia"/>
              </w:rPr>
              <w:t>职称</w:t>
            </w:r>
          </w:p>
        </w:tc>
        <w:tc>
          <w:tcPr>
            <w:tcW w:w="740" w:type="dxa"/>
            <w:vMerge w:val="restart"/>
            <w:vAlign w:val="center"/>
          </w:tcPr>
          <w:p>
            <w:pPr>
              <w:spacing w:line="440" w:lineRule="exact"/>
              <w:jc w:val="center"/>
            </w:pPr>
            <w:r>
              <w:rPr>
                <w:rFonts w:hint="eastAsia"/>
              </w:rPr>
              <w:t>专业</w:t>
            </w:r>
          </w:p>
        </w:tc>
        <w:tc>
          <w:tcPr>
            <w:tcW w:w="2967" w:type="dxa"/>
            <w:gridSpan w:val="4"/>
            <w:vAlign w:val="center"/>
          </w:tcPr>
          <w:p>
            <w:pPr>
              <w:spacing w:line="440" w:lineRule="exact"/>
              <w:jc w:val="center"/>
            </w:pPr>
            <w:r>
              <w:rPr>
                <w:rFonts w:hint="eastAsia"/>
              </w:rPr>
              <w:t>执业或职业资格证明（如有）</w:t>
            </w:r>
          </w:p>
        </w:tc>
        <w:tc>
          <w:tcPr>
            <w:tcW w:w="790" w:type="dxa"/>
            <w:gridSpan w:val="2"/>
            <w:vAlign w:val="center"/>
          </w:tcPr>
          <w:p>
            <w:pPr>
              <w:spacing w:line="44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369" w:hRule="atLeast"/>
          <w:jc w:val="center"/>
        </w:trPr>
        <w:tc>
          <w:tcPr>
            <w:tcW w:w="749" w:type="dxa"/>
            <w:vAlign w:val="center"/>
          </w:tcPr>
          <w:p/>
        </w:tc>
        <w:tc>
          <w:tcPr>
            <w:tcW w:w="1384" w:type="dxa"/>
            <w:vMerge w:val="continue"/>
          </w:tcPr>
          <w:p/>
        </w:tc>
        <w:tc>
          <w:tcPr>
            <w:tcW w:w="969" w:type="dxa"/>
            <w:vMerge w:val="continue"/>
            <w:vAlign w:val="center"/>
          </w:tcPr>
          <w:p/>
        </w:tc>
        <w:tc>
          <w:tcPr>
            <w:tcW w:w="692" w:type="dxa"/>
            <w:vMerge w:val="continue"/>
            <w:vAlign w:val="center"/>
          </w:tcPr>
          <w:p/>
        </w:tc>
        <w:tc>
          <w:tcPr>
            <w:tcW w:w="740" w:type="dxa"/>
            <w:vMerge w:val="continue"/>
            <w:vAlign w:val="center"/>
          </w:tcPr>
          <w:p>
            <w:pPr>
              <w:spacing w:line="440" w:lineRule="exact"/>
              <w:jc w:val="center"/>
            </w:pPr>
          </w:p>
        </w:tc>
        <w:tc>
          <w:tcPr>
            <w:tcW w:w="1107" w:type="dxa"/>
            <w:vAlign w:val="center"/>
          </w:tcPr>
          <w:p>
            <w:pPr>
              <w:spacing w:before="100" w:beforeAutospacing="1" w:after="100" w:afterAutospacing="1" w:line="440" w:lineRule="exact"/>
              <w:jc w:val="center"/>
            </w:pPr>
            <w:r>
              <w:rPr>
                <w:rFonts w:hint="eastAsia"/>
              </w:rPr>
              <w:t>证书名称</w:t>
            </w:r>
          </w:p>
        </w:tc>
        <w:tc>
          <w:tcPr>
            <w:tcW w:w="726" w:type="dxa"/>
            <w:vAlign w:val="center"/>
          </w:tcPr>
          <w:p>
            <w:pPr>
              <w:spacing w:before="100" w:beforeAutospacing="1" w:after="100" w:afterAutospacing="1" w:line="440" w:lineRule="exact"/>
              <w:jc w:val="center"/>
            </w:pPr>
            <w:r>
              <w:rPr>
                <w:rFonts w:hint="eastAsia"/>
              </w:rPr>
              <w:t>级别</w:t>
            </w:r>
          </w:p>
        </w:tc>
        <w:tc>
          <w:tcPr>
            <w:tcW w:w="1134" w:type="dxa"/>
            <w:gridSpan w:val="2"/>
            <w:vAlign w:val="center"/>
          </w:tcPr>
          <w:p>
            <w:pPr>
              <w:spacing w:before="100" w:beforeAutospacing="1" w:after="100" w:afterAutospacing="1" w:line="440" w:lineRule="exact"/>
              <w:jc w:val="center"/>
            </w:pPr>
            <w:r>
              <w:rPr>
                <w:rFonts w:hint="eastAsia"/>
              </w:rPr>
              <w:t>证号</w:t>
            </w:r>
          </w:p>
        </w:tc>
        <w:tc>
          <w:tcPr>
            <w:tcW w:w="790" w:type="dxa"/>
            <w:gridSpan w:val="2"/>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vAlign w:val="center"/>
          </w:tcPr>
          <w:p>
            <w:pPr>
              <w:spacing w:line="440" w:lineRule="exact"/>
              <w:jc w:val="center"/>
            </w:pPr>
          </w:p>
        </w:tc>
        <w:tc>
          <w:tcPr>
            <w:tcW w:w="1384" w:type="dxa"/>
          </w:tcPr>
          <w:p>
            <w:pPr>
              <w:spacing w:line="440" w:lineRule="exact"/>
              <w:jc w:val="center"/>
            </w:pPr>
          </w:p>
        </w:tc>
        <w:tc>
          <w:tcPr>
            <w:tcW w:w="969" w:type="dxa"/>
            <w:vAlign w:val="center"/>
          </w:tcPr>
          <w:p>
            <w:pPr>
              <w:spacing w:line="440" w:lineRule="exact"/>
              <w:jc w:val="center"/>
            </w:pPr>
          </w:p>
        </w:tc>
        <w:tc>
          <w:tcPr>
            <w:tcW w:w="692" w:type="dxa"/>
            <w:vAlign w:val="center"/>
          </w:tcPr>
          <w:p>
            <w:pPr>
              <w:spacing w:line="440" w:lineRule="exact"/>
              <w:jc w:val="center"/>
            </w:pPr>
          </w:p>
        </w:tc>
        <w:tc>
          <w:tcPr>
            <w:tcW w:w="740" w:type="dxa"/>
            <w:vAlign w:val="center"/>
          </w:tcPr>
          <w:p>
            <w:pPr>
              <w:spacing w:line="440" w:lineRule="exact"/>
              <w:jc w:val="center"/>
            </w:pPr>
          </w:p>
        </w:tc>
        <w:tc>
          <w:tcPr>
            <w:tcW w:w="1107" w:type="dxa"/>
            <w:vAlign w:val="center"/>
          </w:tcPr>
          <w:p>
            <w:pPr>
              <w:spacing w:line="440" w:lineRule="exact"/>
              <w:jc w:val="center"/>
            </w:pPr>
          </w:p>
        </w:tc>
        <w:tc>
          <w:tcPr>
            <w:tcW w:w="741" w:type="dxa"/>
            <w:gridSpan w:val="2"/>
            <w:vAlign w:val="center"/>
          </w:tcPr>
          <w:p>
            <w:pPr>
              <w:spacing w:line="440" w:lineRule="exact"/>
              <w:jc w:val="center"/>
            </w:pPr>
          </w:p>
        </w:tc>
        <w:tc>
          <w:tcPr>
            <w:tcW w:w="1134" w:type="dxa"/>
            <w:gridSpan w:val="2"/>
            <w:vAlign w:val="center"/>
          </w:tcPr>
          <w:p>
            <w:pPr>
              <w:spacing w:line="440" w:lineRule="exact"/>
              <w:jc w:val="center"/>
            </w:pPr>
          </w:p>
        </w:tc>
        <w:tc>
          <w:tcPr>
            <w:tcW w:w="775"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02"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26"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bl>
    <w:p>
      <w:pPr>
        <w:spacing w:line="440" w:lineRule="exact"/>
        <w:rPr>
          <w:rFonts w:hAnsi="宋体"/>
          <w:b/>
          <w:bCs/>
          <w:szCs w:val="24"/>
        </w:rPr>
      </w:pPr>
      <w:bookmarkStart w:id="78" w:name="_Toc384308390"/>
      <w:bookmarkStart w:id="79" w:name="_Toc482188668"/>
      <w:bookmarkStart w:id="80" w:name="_Toc179632825"/>
      <w:bookmarkStart w:id="81" w:name="_Toc385943079"/>
      <w:bookmarkStart w:id="82" w:name="_Toc370676440"/>
      <w:bookmarkStart w:id="83" w:name="_Toc359594249"/>
      <w:bookmarkStart w:id="84" w:name="_Toc391394125"/>
      <w:bookmarkStart w:id="85" w:name="_Toc152045805"/>
      <w:bookmarkStart w:id="86" w:name="_Toc152042594"/>
      <w:bookmarkStart w:id="87" w:name="_Toc492300541"/>
      <w:bookmarkStart w:id="88" w:name="_Toc300835232"/>
      <w:bookmarkStart w:id="89" w:name="_Toc144974873"/>
      <w:r>
        <w:rPr>
          <w:rFonts w:hint="eastAsia" w:hAnsi="宋体"/>
          <w:b/>
          <w:bCs/>
          <w:szCs w:val="24"/>
        </w:rPr>
        <w:t>（二）主要人员简历表</w:t>
      </w:r>
      <w:bookmarkEnd w:id="78"/>
      <w:bookmarkEnd w:id="79"/>
      <w:bookmarkEnd w:id="80"/>
      <w:bookmarkEnd w:id="81"/>
      <w:bookmarkEnd w:id="82"/>
      <w:bookmarkEnd w:id="83"/>
      <w:bookmarkEnd w:id="84"/>
      <w:bookmarkEnd w:id="85"/>
      <w:bookmarkEnd w:id="86"/>
      <w:bookmarkEnd w:id="87"/>
      <w:bookmarkEnd w:id="88"/>
      <w:bookmarkEnd w:id="89"/>
    </w:p>
    <w:p>
      <w:pPr>
        <w:topLinePunct/>
        <w:spacing w:line="440" w:lineRule="exact"/>
        <w:jc w:val="center"/>
        <w:rPr>
          <w:sz w:val="23"/>
        </w:rPr>
      </w:pPr>
      <w:r>
        <w:rPr>
          <w:rFonts w:hint="eastAsia"/>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vAlign w:val="center"/>
          </w:tcPr>
          <w:p>
            <w:pPr>
              <w:spacing w:line="440" w:lineRule="exact"/>
              <w:jc w:val="center"/>
            </w:pPr>
            <w:r>
              <w:rPr>
                <w:rFonts w:hint="eastAsia"/>
              </w:rPr>
              <w:t>姓</w:t>
            </w:r>
            <w:r>
              <w:t xml:space="preserve">  </w:t>
            </w:r>
            <w:r>
              <w:rPr>
                <w:rFonts w:hint="eastAsia"/>
              </w:rPr>
              <w:t>名</w:t>
            </w:r>
          </w:p>
        </w:tc>
        <w:tc>
          <w:tcPr>
            <w:tcW w:w="1047" w:type="dxa"/>
            <w:gridSpan w:val="2"/>
            <w:vAlign w:val="center"/>
          </w:tcPr>
          <w:p>
            <w:pPr>
              <w:spacing w:line="440" w:lineRule="exact"/>
              <w:jc w:val="center"/>
            </w:pPr>
          </w:p>
        </w:tc>
        <w:tc>
          <w:tcPr>
            <w:tcW w:w="956" w:type="dxa"/>
            <w:vAlign w:val="center"/>
          </w:tcPr>
          <w:p>
            <w:pPr>
              <w:spacing w:line="440" w:lineRule="exact"/>
              <w:jc w:val="center"/>
            </w:pPr>
            <w:r>
              <w:rPr>
                <w:rFonts w:hint="eastAsia"/>
              </w:rPr>
              <w:t>年龄</w:t>
            </w:r>
          </w:p>
        </w:tc>
        <w:tc>
          <w:tcPr>
            <w:tcW w:w="1064" w:type="dxa"/>
            <w:vAlign w:val="center"/>
          </w:tcPr>
          <w:p>
            <w:pPr>
              <w:spacing w:line="440" w:lineRule="exact"/>
              <w:jc w:val="center"/>
            </w:pPr>
          </w:p>
        </w:tc>
        <w:tc>
          <w:tcPr>
            <w:tcW w:w="2364" w:type="dxa"/>
            <w:gridSpan w:val="3"/>
            <w:vAlign w:val="center"/>
          </w:tcPr>
          <w:p>
            <w:pPr>
              <w:spacing w:line="440" w:lineRule="exact"/>
              <w:jc w:val="center"/>
            </w:pPr>
            <w:r>
              <w:rPr>
                <w:rFonts w:hint="eastAsia"/>
              </w:rPr>
              <w:t>执业资格证书（或上岗证书）名称（如有要求）</w:t>
            </w:r>
          </w:p>
        </w:tc>
        <w:tc>
          <w:tcPr>
            <w:tcW w:w="189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vAlign w:val="center"/>
          </w:tcPr>
          <w:p>
            <w:pPr>
              <w:spacing w:line="440" w:lineRule="exact"/>
              <w:jc w:val="center"/>
            </w:pPr>
            <w:r>
              <w:rPr>
                <w:rFonts w:hint="eastAsia"/>
              </w:rPr>
              <w:t>职</w:t>
            </w:r>
            <w:r>
              <w:t xml:space="preserve">  </w:t>
            </w:r>
            <w:r>
              <w:rPr>
                <w:rFonts w:hint="eastAsia"/>
              </w:rPr>
              <w:t>称</w:t>
            </w:r>
          </w:p>
        </w:tc>
        <w:tc>
          <w:tcPr>
            <w:tcW w:w="1047" w:type="dxa"/>
            <w:gridSpan w:val="2"/>
            <w:vAlign w:val="center"/>
          </w:tcPr>
          <w:p>
            <w:pPr>
              <w:spacing w:line="440" w:lineRule="exact"/>
              <w:jc w:val="center"/>
            </w:pPr>
          </w:p>
        </w:tc>
        <w:tc>
          <w:tcPr>
            <w:tcW w:w="956" w:type="dxa"/>
            <w:vAlign w:val="center"/>
          </w:tcPr>
          <w:p>
            <w:pPr>
              <w:spacing w:before="100" w:beforeAutospacing="1" w:after="100" w:afterAutospacing="1" w:line="440" w:lineRule="exact"/>
              <w:jc w:val="center"/>
            </w:pPr>
            <w:r>
              <w:rPr>
                <w:rFonts w:hint="eastAsia"/>
              </w:rPr>
              <w:t>学历</w:t>
            </w:r>
          </w:p>
        </w:tc>
        <w:tc>
          <w:tcPr>
            <w:tcW w:w="1064" w:type="dxa"/>
            <w:vAlign w:val="center"/>
          </w:tcPr>
          <w:p>
            <w:pPr>
              <w:spacing w:line="440" w:lineRule="exact"/>
              <w:jc w:val="center"/>
            </w:pPr>
          </w:p>
        </w:tc>
        <w:tc>
          <w:tcPr>
            <w:tcW w:w="2364" w:type="dxa"/>
            <w:gridSpan w:val="3"/>
            <w:vAlign w:val="center"/>
          </w:tcPr>
          <w:p>
            <w:pPr>
              <w:spacing w:before="100" w:beforeAutospacing="1" w:after="100" w:afterAutospacing="1" w:line="440" w:lineRule="exact"/>
              <w:jc w:val="center"/>
            </w:pPr>
            <w:r>
              <w:rPr>
                <w:rFonts w:hint="eastAsia"/>
              </w:rPr>
              <w:t>拟在本项目任职</w:t>
            </w:r>
          </w:p>
        </w:tc>
        <w:tc>
          <w:tcPr>
            <w:tcW w:w="189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vAlign w:val="center"/>
          </w:tcPr>
          <w:p>
            <w:pPr>
              <w:spacing w:before="100" w:beforeAutospacing="1" w:after="100" w:afterAutospacing="1" w:line="440" w:lineRule="exact"/>
              <w:jc w:val="center"/>
            </w:pPr>
            <w:r>
              <w:rPr>
                <w:rFonts w:hint="eastAsia"/>
              </w:rPr>
              <w:t>工作年限</w:t>
            </w:r>
          </w:p>
        </w:tc>
        <w:tc>
          <w:tcPr>
            <w:tcW w:w="7325" w:type="dxa"/>
            <w:gridSpan w:val="8"/>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vAlign w:val="center"/>
          </w:tcPr>
          <w:p>
            <w:pPr>
              <w:spacing w:before="100" w:beforeAutospacing="1" w:after="100" w:afterAutospacing="1" w:line="440" w:lineRule="exact"/>
              <w:jc w:val="center"/>
            </w:pPr>
            <w:r>
              <w:rPr>
                <w:rFonts w:hint="eastAsia"/>
              </w:rPr>
              <w:t>毕业学校</w:t>
            </w:r>
          </w:p>
        </w:tc>
        <w:tc>
          <w:tcPr>
            <w:tcW w:w="7325" w:type="dxa"/>
            <w:gridSpan w:val="8"/>
            <w:vAlign w:val="center"/>
          </w:tcPr>
          <w:p>
            <w:pPr>
              <w:spacing w:before="100" w:beforeAutospacing="1" w:after="100" w:afterAutospacing="1" w:line="440" w:lineRule="exact"/>
              <w:ind w:firstLine="1320" w:firstLineChars="550"/>
            </w:pPr>
            <w:r>
              <w:rPr>
                <w:rFonts w:hint="eastAsia"/>
              </w:rPr>
              <w:t>年毕业于</w:t>
            </w:r>
            <w:r>
              <w:t xml:space="preserve">            </w:t>
            </w:r>
            <w:r>
              <w:rPr>
                <w:rFonts w:hint="eastAsia"/>
              </w:rPr>
              <w:t>学校</w:t>
            </w:r>
            <w:r>
              <w:t xml:space="preserve">        </w:t>
            </w:r>
            <w:r>
              <w:rPr>
                <w:rFonts w:hint="eastAsia"/>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vAlign w:val="center"/>
          </w:tcPr>
          <w:p>
            <w:pPr>
              <w:spacing w:before="100" w:beforeAutospacing="1" w:after="100" w:afterAutospacing="1" w:line="440" w:lineRule="exact"/>
              <w:jc w:val="left"/>
            </w:pPr>
            <w:r>
              <w:rPr>
                <w:rFonts w:hint="eastAsia"/>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vAlign w:val="center"/>
          </w:tcPr>
          <w:p>
            <w:pPr>
              <w:spacing w:before="100" w:beforeAutospacing="1" w:after="100" w:afterAutospacing="1" w:line="440" w:lineRule="exact"/>
              <w:jc w:val="center"/>
            </w:pPr>
            <w:r>
              <w:rPr>
                <w:rFonts w:hint="eastAsia"/>
              </w:rPr>
              <w:t>时</w:t>
            </w:r>
            <w:r>
              <w:t xml:space="preserve">  </w:t>
            </w:r>
            <w:r>
              <w:rPr>
                <w:rFonts w:hint="eastAsia"/>
              </w:rPr>
              <w:t>间</w:t>
            </w:r>
          </w:p>
        </w:tc>
        <w:tc>
          <w:tcPr>
            <w:tcW w:w="3415" w:type="dxa"/>
            <w:gridSpan w:val="4"/>
            <w:vAlign w:val="center"/>
          </w:tcPr>
          <w:p>
            <w:pPr>
              <w:spacing w:before="100" w:beforeAutospacing="1" w:after="100" w:afterAutospacing="1" w:line="440" w:lineRule="exact"/>
              <w:jc w:val="center"/>
            </w:pPr>
            <w:r>
              <w:rPr>
                <w:rFonts w:hint="eastAsia"/>
              </w:rPr>
              <w:t>参加过的类似项目</w:t>
            </w:r>
          </w:p>
        </w:tc>
        <w:tc>
          <w:tcPr>
            <w:tcW w:w="1259" w:type="dxa"/>
            <w:vAlign w:val="center"/>
          </w:tcPr>
          <w:p>
            <w:pPr>
              <w:spacing w:before="100" w:beforeAutospacing="1" w:after="100" w:afterAutospacing="1" w:line="440" w:lineRule="exact"/>
              <w:jc w:val="center"/>
            </w:pPr>
            <w:r>
              <w:rPr>
                <w:rFonts w:hint="eastAsia"/>
              </w:rPr>
              <w:t>担任职务</w:t>
            </w:r>
          </w:p>
        </w:tc>
        <w:tc>
          <w:tcPr>
            <w:tcW w:w="2294" w:type="dxa"/>
            <w:gridSpan w:val="2"/>
            <w:vAlign w:val="center"/>
          </w:tcPr>
          <w:p>
            <w:pPr>
              <w:spacing w:before="100" w:beforeAutospacing="1" w:after="100" w:afterAutospacing="1" w:line="440" w:lineRule="exact"/>
              <w:jc w:val="center"/>
            </w:pPr>
            <w:r>
              <w:rPr>
                <w:rFonts w:hint="eastAsia"/>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bl>
    <w:p>
      <w:pPr>
        <w:spacing w:line="440" w:lineRule="exact"/>
        <w:rPr>
          <w:rFonts w:hAnsi="宋体"/>
          <w:sz w:val="28"/>
        </w:rPr>
      </w:pPr>
      <w:r>
        <w:rPr>
          <w:b/>
        </w:rPr>
        <w:t>注：投标人应根据</w:t>
      </w:r>
      <w:r>
        <w:rPr>
          <w:rFonts w:hint="eastAsia"/>
          <w:b/>
        </w:rPr>
        <w:t>磋商文件</w:t>
      </w:r>
      <w:r>
        <w:rPr>
          <w:b/>
        </w:rPr>
        <w:t>的要求在本表后附相关证明材料。</w:t>
      </w:r>
    </w:p>
    <w:bookmarkEnd w:id="61"/>
    <w:bookmarkEnd w:id="62"/>
    <w:bookmarkEnd w:id="72"/>
    <w:bookmarkEnd w:id="73"/>
    <w:bookmarkEnd w:id="74"/>
    <w:p>
      <w:pPr>
        <w:jc w:val="center"/>
        <w:rPr>
          <w:rFonts w:hAnsi="宋体" w:cs="宋体"/>
          <w:b/>
          <w:bCs/>
          <w:spacing w:val="-2"/>
          <w:szCs w:val="24"/>
        </w:rPr>
      </w:pPr>
    </w:p>
    <w:p>
      <w:pPr>
        <w:jc w:val="center"/>
        <w:outlineLvl w:val="1"/>
        <w:rPr>
          <w:rFonts w:hAnsi="宋体" w:cs="宋体"/>
          <w:b/>
          <w:bCs/>
          <w:spacing w:val="-2"/>
          <w:szCs w:val="24"/>
        </w:rPr>
      </w:pPr>
      <w:bookmarkStart w:id="90" w:name="_Toc8868"/>
      <w:r>
        <w:rPr>
          <w:rFonts w:hint="eastAsia" w:hAnsi="宋体" w:cs="宋体"/>
          <w:b/>
          <w:bCs/>
          <w:spacing w:val="-2"/>
          <w:szCs w:val="24"/>
        </w:rPr>
        <w:t>九、后期服务方案</w:t>
      </w:r>
      <w:bookmarkEnd w:id="90"/>
    </w:p>
    <w:p>
      <w:pPr>
        <w:spacing w:before="48" w:beforeLines="20" w:after="48" w:afterLines="20" w:line="360" w:lineRule="auto"/>
        <w:jc w:val="center"/>
        <w:rPr>
          <w:rFonts w:hAnsi="宋体"/>
          <w:sz w:val="28"/>
        </w:rPr>
      </w:pPr>
      <w:r>
        <w:rPr>
          <w:rFonts w:hint="eastAsia" w:hAnsi="宋体"/>
          <w:bCs/>
          <w:szCs w:val="24"/>
        </w:rPr>
        <w:t>（投标人可自行制作格式）</w:t>
      </w:r>
    </w:p>
    <w:p/>
    <w:p/>
    <w:p>
      <w:pPr>
        <w:keepNext/>
        <w:keepLines/>
        <w:spacing w:before="120" w:after="120" w:line="360" w:lineRule="auto"/>
        <w:jc w:val="center"/>
        <w:rPr>
          <w:rFonts w:ascii="黑体" w:hAnsi="黑体" w:eastAsia="黑体"/>
          <w:bCs/>
        </w:rPr>
      </w:pPr>
    </w:p>
    <w:p>
      <w:pPr>
        <w:keepNext/>
        <w:keepLines/>
        <w:spacing w:before="120" w:after="120" w:line="360" w:lineRule="auto"/>
        <w:jc w:val="center"/>
        <w:rPr>
          <w:rFonts w:ascii="黑体" w:hAnsi="黑体" w:eastAsia="黑体"/>
          <w:bCs/>
        </w:rPr>
      </w:pPr>
    </w:p>
    <w:p>
      <w:pPr>
        <w:jc w:val="center"/>
        <w:outlineLvl w:val="1"/>
        <w:rPr>
          <w:rFonts w:hAnsi="宋体" w:cs="宋体"/>
          <w:b/>
          <w:bCs/>
          <w:spacing w:val="-2"/>
          <w:szCs w:val="24"/>
        </w:rPr>
      </w:pPr>
      <w:bookmarkStart w:id="91" w:name="_Toc4961"/>
      <w:r>
        <w:rPr>
          <w:rFonts w:hint="eastAsia" w:hAnsi="宋体" w:cs="宋体"/>
          <w:b/>
          <w:bCs/>
          <w:spacing w:val="-2"/>
          <w:szCs w:val="24"/>
        </w:rPr>
        <w:t>十、其他资料</w:t>
      </w:r>
      <w:bookmarkEnd w:id="91"/>
    </w:p>
    <w:p>
      <w:pPr>
        <w:autoSpaceDE w:val="0"/>
        <w:autoSpaceDN w:val="0"/>
        <w:adjustRightInd w:val="0"/>
        <w:snapToGrid w:val="0"/>
        <w:spacing w:line="360" w:lineRule="auto"/>
        <w:jc w:val="left"/>
        <w:rPr>
          <w:rFonts w:hAnsi="宋体"/>
          <w:snapToGrid w:val="0"/>
          <w:sz w:val="20"/>
          <w:szCs w:val="22"/>
        </w:rPr>
      </w:pPr>
    </w:p>
    <w:p>
      <w:pPr>
        <w:tabs>
          <w:tab w:val="left" w:pos="5760"/>
        </w:tabs>
        <w:autoSpaceDE w:val="0"/>
        <w:autoSpaceDN w:val="0"/>
        <w:adjustRightInd w:val="0"/>
        <w:spacing w:line="300" w:lineRule="exact"/>
        <w:ind w:right="11" w:firstLine="480" w:firstLineChars="200"/>
        <w:rPr>
          <w:rFonts w:hAnsi="宋体"/>
          <w:szCs w:val="22"/>
        </w:rPr>
      </w:pPr>
      <w:r>
        <w:rPr>
          <w:rFonts w:hint="eastAsia" w:hAnsi="宋体"/>
          <w:szCs w:val="22"/>
        </w:rPr>
        <w:t>投标人对照评审办法要求，</w:t>
      </w:r>
      <w:r>
        <w:rPr>
          <w:rFonts w:hint="eastAsia" w:hAnsi="宋体"/>
          <w:szCs w:val="22"/>
          <w:lang w:val="en-US" w:eastAsia="zh-CN"/>
        </w:rPr>
        <w:t>如营业执照等，</w:t>
      </w:r>
      <w:r>
        <w:rPr>
          <w:rFonts w:hint="eastAsia" w:hAnsi="宋体"/>
          <w:szCs w:val="22"/>
        </w:rPr>
        <w:t>自行提供其他相关资料（如有）</w:t>
      </w:r>
    </w:p>
    <w:p>
      <w:pPr>
        <w:tabs>
          <w:tab w:val="left" w:pos="5760"/>
        </w:tabs>
        <w:autoSpaceDE w:val="0"/>
        <w:autoSpaceDN w:val="0"/>
        <w:adjustRightInd w:val="0"/>
        <w:spacing w:line="300" w:lineRule="exact"/>
        <w:ind w:right="11"/>
        <w:rPr>
          <w:rFonts w:hAnsi="宋体"/>
          <w:szCs w:val="22"/>
        </w:rPr>
      </w:pPr>
    </w:p>
    <w:p>
      <w:pPr>
        <w:spacing w:line="510" w:lineRule="exact"/>
        <w:jc w:val="left"/>
      </w:pPr>
      <w:r>
        <w:rPr>
          <w:rFonts w:hint="eastAsia" w:hAnsi="宋体"/>
          <w:szCs w:val="22"/>
        </w:rPr>
        <w:t>注：对照评审办法要求，由投标人自行提供相关证明或资料。如证明或声明或资料与实际不符，将被取消投标或中标资格。</w:t>
      </w:r>
    </w:p>
    <w:p/>
    <w:p/>
    <w:sectPr>
      <w:headerReference r:id="rId6" w:type="default"/>
      <w:footerReference r:id="rId7" w:type="default"/>
      <w:footerReference r:id="rId8"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icrosoft YaHei Regular">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DotumChe">
    <w:altName w:val="Malgun Gothic"/>
    <w:panose1 w:val="020B0609000101010101"/>
    <w:charset w:val="81"/>
    <w:family w:val="swiss"/>
    <w:pitch w:val="default"/>
    <w:sig w:usb0="00000000" w:usb1="00000000" w:usb2="00000030" w:usb3="00000000" w:csb0="0008009F"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2" w:usb3="00000000" w:csb0="4002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Fonts w:ascii="仿宋_GB2312" w:eastAsia="仿宋_GB2312"/>
        <w:sz w:val="21"/>
        <w:szCs w:val="21"/>
      </w:rPr>
    </w:pPr>
    <w:r>
      <w:rPr>
        <w:rFonts w:hint="eastAsia" w:ascii="仿宋_GB2312" w:eastAsia="仿宋_GB2312"/>
        <w:sz w:val="21"/>
        <w:szCs w:val="21"/>
      </w:rPr>
      <w:fldChar w:fldCharType="begin"/>
    </w:r>
    <w:r>
      <w:rPr>
        <w:rStyle w:val="24"/>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4"/>
        <w:rFonts w:ascii="仿宋_GB2312" w:eastAsia="仿宋_GB2312"/>
        <w:sz w:val="21"/>
        <w:szCs w:val="21"/>
      </w:rPr>
      <w:t>7</w:t>
    </w:r>
    <w:r>
      <w:rPr>
        <w:rFonts w:hint="eastAsia" w:ascii="仿宋_GB2312" w:eastAsia="仿宋_GB2312"/>
        <w:sz w:val="21"/>
        <w:szCs w:val="21"/>
      </w:rPr>
      <w:fldChar w:fldCharType="end"/>
    </w:r>
  </w:p>
  <w:p>
    <w:pPr>
      <w:pStyle w:val="14"/>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separate"/>
    </w:r>
    <w:r>
      <w:rPr>
        <w:rStyle w:val="24"/>
      </w:rPr>
      <w:t>1</w:t>
    </w:r>
    <w:r>
      <w:fldChar w:fldCharType="end"/>
    </w:r>
  </w:p>
  <w:p>
    <w:pPr>
      <w:pStyle w:val="14"/>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Fonts w:ascii="仿宋_GB2312" w:eastAsia="仿宋_GB2312"/>
      </w:rPr>
    </w:pPr>
    <w:r>
      <w:rPr>
        <w:rFonts w:hint="eastAsia" w:ascii="仿宋_GB2312" w:eastAsia="仿宋_GB2312"/>
      </w:rPr>
      <w:fldChar w:fldCharType="begin"/>
    </w:r>
    <w:r>
      <w:rPr>
        <w:rStyle w:val="24"/>
        <w:rFonts w:hint="eastAsia" w:ascii="仿宋_GB2312" w:eastAsia="仿宋_GB2312"/>
      </w:rPr>
      <w:instrText xml:space="preserve">PAGE  </w:instrText>
    </w:r>
    <w:r>
      <w:rPr>
        <w:rFonts w:hint="eastAsia" w:ascii="仿宋_GB2312" w:eastAsia="仿宋_GB2312"/>
      </w:rPr>
      <w:fldChar w:fldCharType="separate"/>
    </w:r>
    <w:r>
      <w:rPr>
        <w:rStyle w:val="24"/>
        <w:rFonts w:ascii="仿宋_GB2312" w:eastAsia="仿宋_GB2312"/>
      </w:rPr>
      <w:t>39</w:t>
    </w:r>
    <w:r>
      <w:rPr>
        <w:rFonts w:hint="eastAsia" w:ascii="仿宋_GB2312" w:eastAsia="仿宋_GB2312"/>
      </w:rP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2C532"/>
    <w:multiLevelType w:val="singleLevel"/>
    <w:tmpl w:val="A2E2C532"/>
    <w:lvl w:ilvl="0" w:tentative="0">
      <w:start w:val="2"/>
      <w:numFmt w:val="chineseCounting"/>
      <w:suff w:val="nothing"/>
      <w:lvlText w:val="%1、"/>
      <w:lvlJc w:val="left"/>
      <w:pPr>
        <w:ind w:left="240"/>
      </w:pPr>
      <w:rPr>
        <w:rFonts w:hint="eastAsia"/>
      </w:rPr>
    </w:lvl>
  </w:abstractNum>
  <w:abstractNum w:abstractNumId="1">
    <w:nsid w:val="B9D6FB25"/>
    <w:multiLevelType w:val="singleLevel"/>
    <w:tmpl w:val="B9D6FB25"/>
    <w:lvl w:ilvl="0" w:tentative="0">
      <w:start w:val="2"/>
      <w:numFmt w:val="decimal"/>
      <w:suff w:val="nothing"/>
      <w:lvlText w:val="（%1）"/>
      <w:lvlJc w:val="left"/>
    </w:lvl>
  </w:abstractNum>
  <w:abstractNum w:abstractNumId="2">
    <w:nsid w:val="14AF497A"/>
    <w:multiLevelType w:val="singleLevel"/>
    <w:tmpl w:val="14AF497A"/>
    <w:lvl w:ilvl="0" w:tentative="0">
      <w:start w:val="1"/>
      <w:numFmt w:val="chineseCounting"/>
      <w:suff w:val="space"/>
      <w:lvlText w:val="第%1章"/>
      <w:lvlJc w:val="left"/>
      <w:rPr>
        <w:rFonts w:hint="eastAsia"/>
      </w:rPr>
    </w:lvl>
  </w:abstractNum>
  <w:abstractNum w:abstractNumId="3">
    <w:nsid w:val="32A15731"/>
    <w:multiLevelType w:val="singleLevel"/>
    <w:tmpl w:val="32A15731"/>
    <w:lvl w:ilvl="0" w:tentative="0">
      <w:start w:val="2"/>
      <w:numFmt w:val="chineseCounting"/>
      <w:suff w:val="nothing"/>
      <w:lvlText w:val="%1、"/>
      <w:lvlJc w:val="left"/>
      <w:rPr>
        <w:rFonts w:hint="eastAsia" w:ascii="黑体" w:hAnsi="黑体" w:eastAsia="黑体" w:cs="黑体"/>
        <w:b/>
        <w:bCs/>
      </w:rPr>
    </w:lvl>
  </w:abstractNum>
  <w:abstractNum w:abstractNumId="4">
    <w:nsid w:val="7A55F52D"/>
    <w:multiLevelType w:val="singleLevel"/>
    <w:tmpl w:val="7A55F52D"/>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44F55484"/>
    <w:rsid w:val="086A0C6A"/>
    <w:rsid w:val="097C7B0E"/>
    <w:rsid w:val="0DA9371A"/>
    <w:rsid w:val="12BA229B"/>
    <w:rsid w:val="134D1C10"/>
    <w:rsid w:val="1591387A"/>
    <w:rsid w:val="19256C8C"/>
    <w:rsid w:val="1D535C2D"/>
    <w:rsid w:val="1F232979"/>
    <w:rsid w:val="21476AA8"/>
    <w:rsid w:val="232B619C"/>
    <w:rsid w:val="25B0469A"/>
    <w:rsid w:val="260B02A6"/>
    <w:rsid w:val="27E15D06"/>
    <w:rsid w:val="2AEB1D25"/>
    <w:rsid w:val="30693E73"/>
    <w:rsid w:val="31835131"/>
    <w:rsid w:val="367A319B"/>
    <w:rsid w:val="3AF630AE"/>
    <w:rsid w:val="3DB3403F"/>
    <w:rsid w:val="3DE4476A"/>
    <w:rsid w:val="3F0B7857"/>
    <w:rsid w:val="414371CE"/>
    <w:rsid w:val="42AB29D0"/>
    <w:rsid w:val="44F55484"/>
    <w:rsid w:val="48DA11DA"/>
    <w:rsid w:val="49425BF2"/>
    <w:rsid w:val="4991644F"/>
    <w:rsid w:val="4CF80524"/>
    <w:rsid w:val="4E6471A3"/>
    <w:rsid w:val="51680684"/>
    <w:rsid w:val="530507C0"/>
    <w:rsid w:val="57D231C1"/>
    <w:rsid w:val="5B4F4C9E"/>
    <w:rsid w:val="5FA92013"/>
    <w:rsid w:val="606B4AAA"/>
    <w:rsid w:val="69280027"/>
    <w:rsid w:val="694A0F30"/>
    <w:rsid w:val="69F45B07"/>
    <w:rsid w:val="6A5E6599"/>
    <w:rsid w:val="6CAD32C3"/>
    <w:rsid w:val="6E4F60A8"/>
    <w:rsid w:val="7AC14AF6"/>
    <w:rsid w:val="7B077464"/>
    <w:rsid w:val="7B29653E"/>
    <w:rsid w:val="7CF35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3"/>
    <w:next w:val="4"/>
    <w:autoRedefine/>
    <w:qFormat/>
    <w:uiPriority w:val="0"/>
    <w:pPr>
      <w:keepNext/>
      <w:keepLines/>
      <w:outlineLvl w:val="0"/>
    </w:pPr>
    <w:rPr>
      <w:b/>
      <w:bCs w:val="0"/>
      <w:kern w:val="44"/>
      <w:sz w:val="32"/>
      <w:szCs w:val="44"/>
    </w:rPr>
  </w:style>
  <w:style w:type="paragraph" w:styleId="5">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autoRedefine/>
    <w:qFormat/>
    <w:uiPriority w:val="0"/>
    <w:pPr>
      <w:keepNext/>
      <w:keepLines/>
      <w:spacing w:before="120" w:after="120" w:line="360" w:lineRule="auto"/>
      <w:jc w:val="left"/>
      <w:outlineLvl w:val="2"/>
    </w:pPr>
    <w:rPr>
      <w:rFonts w:ascii="黑体" w:hAnsi="黑体" w:eastAsia="黑体"/>
      <w:bCs/>
    </w:rPr>
  </w:style>
  <w:style w:type="paragraph" w:styleId="7">
    <w:name w:val="heading 4"/>
    <w:basedOn w:val="1"/>
    <w:next w:val="1"/>
    <w:autoRedefine/>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3">
    <w:name w:val="Title"/>
    <w:basedOn w:val="1"/>
    <w:next w:val="1"/>
    <w:autoRedefine/>
    <w:qFormat/>
    <w:uiPriority w:val="0"/>
    <w:pPr>
      <w:spacing w:line="360" w:lineRule="auto"/>
      <w:jc w:val="center"/>
    </w:pPr>
    <w:rPr>
      <w:rFonts w:hAnsi="宋体" w:eastAsia="黑体"/>
      <w:bCs/>
      <w:smallCaps/>
      <w:snapToGrid w:val="0"/>
      <w:sz w:val="44"/>
      <w:szCs w:val="24"/>
    </w:rPr>
  </w:style>
  <w:style w:type="paragraph" w:styleId="4">
    <w:name w:val="Plain Text"/>
    <w:basedOn w:val="1"/>
    <w:autoRedefine/>
    <w:qFormat/>
    <w:uiPriority w:val="0"/>
    <w:rPr>
      <w:rFonts w:ascii="Courier New" w:hAnsi="Courier New"/>
    </w:rPr>
  </w:style>
  <w:style w:type="paragraph" w:styleId="8">
    <w:name w:val="table of authorities"/>
    <w:basedOn w:val="1"/>
    <w:next w:val="1"/>
    <w:autoRedefine/>
    <w:qFormat/>
    <w:uiPriority w:val="0"/>
    <w:pPr>
      <w:ind w:left="420" w:leftChars="200"/>
    </w:pPr>
  </w:style>
  <w:style w:type="paragraph" w:styleId="9">
    <w:name w:val="Normal Indent"/>
    <w:basedOn w:val="1"/>
    <w:autoRedefine/>
    <w:qFormat/>
    <w:uiPriority w:val="0"/>
    <w:pPr>
      <w:autoSpaceDE w:val="0"/>
      <w:autoSpaceDN w:val="0"/>
      <w:adjustRightInd w:val="0"/>
      <w:ind w:firstLine="420"/>
      <w:jc w:val="left"/>
    </w:pPr>
  </w:style>
  <w:style w:type="paragraph" w:styleId="10">
    <w:name w:val="annotation text"/>
    <w:basedOn w:val="1"/>
    <w:autoRedefine/>
    <w:qFormat/>
    <w:uiPriority w:val="0"/>
    <w:pPr>
      <w:jc w:val="left"/>
    </w:pPr>
  </w:style>
  <w:style w:type="paragraph" w:styleId="11">
    <w:name w:val="Body Text"/>
    <w:basedOn w:val="1"/>
    <w:next w:val="1"/>
    <w:autoRedefine/>
    <w:qFormat/>
    <w:uiPriority w:val="0"/>
    <w:pPr>
      <w:spacing w:after="120"/>
    </w:pPr>
  </w:style>
  <w:style w:type="paragraph" w:styleId="12">
    <w:name w:val="Body Text Indent"/>
    <w:basedOn w:val="1"/>
    <w:next w:val="13"/>
    <w:autoRedefine/>
    <w:qFormat/>
    <w:uiPriority w:val="0"/>
    <w:pPr>
      <w:ind w:firstLine="560" w:firstLineChars="200"/>
    </w:pPr>
    <w:rPr>
      <w:rFonts w:hAnsi="宋体"/>
      <w:bCs/>
      <w:sz w:val="28"/>
      <w:szCs w:val="32"/>
    </w:rPr>
  </w:style>
  <w:style w:type="paragraph" w:styleId="13">
    <w:name w:val="envelope return"/>
    <w:basedOn w:val="1"/>
    <w:autoRedefine/>
    <w:qFormat/>
    <w:uiPriority w:val="0"/>
    <w:pPr>
      <w:snapToGrid w:val="0"/>
    </w:pPr>
    <w:rPr>
      <w:rFonts w:ascii="Arial" w:hAnsi="Arial"/>
    </w:rPr>
  </w:style>
  <w:style w:type="paragraph" w:styleId="14">
    <w:name w:val="footer"/>
    <w:basedOn w:val="1"/>
    <w:autoRedefine/>
    <w:qFormat/>
    <w:uiPriority w:val="99"/>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spacing w:before="120" w:after="120"/>
      <w:jc w:val="left"/>
    </w:pPr>
    <w:rPr>
      <w:rFonts w:ascii="Calibri" w:hAnsi="Calibri" w:cs="Calibri"/>
      <w:b/>
      <w:bCs/>
      <w:caps/>
      <w:sz w:val="20"/>
    </w:rPr>
  </w:style>
  <w:style w:type="paragraph" w:styleId="17">
    <w:name w:val="toc 2"/>
    <w:basedOn w:val="1"/>
    <w:next w:val="1"/>
    <w:autoRedefine/>
    <w:qFormat/>
    <w:uiPriority w:val="39"/>
    <w:pPr>
      <w:ind w:left="210"/>
      <w:jc w:val="left"/>
    </w:pPr>
    <w:rPr>
      <w:rFonts w:ascii="Calibri" w:hAnsi="Calibri" w:cs="Calibri"/>
      <w:smallCaps/>
      <w:sz w:val="20"/>
    </w:rPr>
  </w:style>
  <w:style w:type="paragraph" w:styleId="1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11"/>
    <w:autoRedefine/>
    <w:qFormat/>
    <w:uiPriority w:val="0"/>
    <w:pPr>
      <w:autoSpaceDE w:val="0"/>
      <w:autoSpaceDN w:val="0"/>
      <w:adjustRightInd w:val="0"/>
      <w:spacing w:line="360" w:lineRule="auto"/>
      <w:ind w:right="-24" w:rightChars="-10" w:firstLine="425" w:firstLineChars="225"/>
    </w:pPr>
    <w:rPr>
      <w:rFonts w:ascii="Arial" w:hAnsi="Arial" w:eastAsia="仿宋_GB2312" w:cs="Arial"/>
      <w:szCs w:val="32"/>
    </w:rPr>
  </w:style>
  <w:style w:type="paragraph" w:styleId="20">
    <w:name w:val="Body Text First Indent 2"/>
    <w:basedOn w:val="12"/>
    <w:next w:val="1"/>
    <w:autoRedefine/>
    <w:qFormat/>
    <w:uiPriority w:val="0"/>
    <w:pPr>
      <w:ind w:left="420" w:firstLine="42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autoRedefine/>
    <w:qFormat/>
    <w:uiPriority w:val="0"/>
  </w:style>
  <w:style w:type="paragraph" w:customStyle="1" w:styleId="25">
    <w:name w:val="首行缩进"/>
    <w:basedOn w:val="1"/>
    <w:autoRedefine/>
    <w:qFormat/>
    <w:uiPriority w:val="0"/>
    <w:pPr>
      <w:spacing w:line="360" w:lineRule="auto"/>
      <w:ind w:left="210" w:leftChars="100" w:firstLine="420" w:firstLineChars="200"/>
    </w:pPr>
    <w:rPr>
      <w:rFonts w:hAnsi="宋体"/>
      <w:szCs w:val="24"/>
    </w:rPr>
  </w:style>
  <w:style w:type="paragraph" w:customStyle="1" w:styleId="26">
    <w:name w:val="目录 71"/>
    <w:basedOn w:val="1"/>
    <w:next w:val="1"/>
    <w:autoRedefine/>
    <w:qFormat/>
    <w:uiPriority w:val="0"/>
    <w:pPr>
      <w:ind w:left="2520"/>
    </w:pPr>
  </w:style>
  <w:style w:type="paragraph" w:customStyle="1" w:styleId="27">
    <w:name w:val="正文（缩进）"/>
    <w:basedOn w:val="1"/>
    <w:autoRedefine/>
    <w:qFormat/>
    <w:uiPriority w:val="0"/>
    <w:pPr>
      <w:widowControl/>
      <w:spacing w:before="156" w:after="156"/>
      <w:ind w:firstLine="480" w:firstLineChars="200"/>
      <w:jc w:val="left"/>
    </w:pPr>
    <w:rPr>
      <w:rFonts w:ascii="仿宋_GB2312" w:eastAsia="仿宋_GB2312"/>
      <w:szCs w:val="24"/>
    </w:rPr>
  </w:style>
  <w:style w:type="paragraph" w:customStyle="1" w:styleId="28">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样式1"/>
    <w:basedOn w:val="1"/>
    <w:next w:val="7"/>
    <w:autoRedefine/>
    <w:qFormat/>
    <w:uiPriority w:val="0"/>
    <w:pPr>
      <w:spacing w:line="360" w:lineRule="auto"/>
      <w:ind w:firstLine="420" w:firstLineChars="200"/>
    </w:pPr>
    <w:rPr>
      <w:rFonts w:hAnsi="宋体"/>
      <w:szCs w:val="21"/>
    </w:rPr>
  </w:style>
  <w:style w:type="character" w:customStyle="1" w:styleId="31">
    <w:name w:val="font71"/>
    <w:basedOn w:val="23"/>
    <w:autoRedefine/>
    <w:qFormat/>
    <w:uiPriority w:val="0"/>
    <w:rPr>
      <w:rFonts w:hint="default" w:ascii="Microsoft YaHei Regular" w:hAnsi="Microsoft YaHei Regular" w:eastAsia="Microsoft YaHei Regular" w:cs="Microsoft YaHei Regular"/>
      <w:color w:val="000000"/>
      <w:sz w:val="18"/>
      <w:szCs w:val="18"/>
      <w:u w:val="none"/>
    </w:rPr>
  </w:style>
  <w:style w:type="character" w:customStyle="1" w:styleId="32">
    <w:name w:val="font101"/>
    <w:basedOn w:val="23"/>
    <w:autoRedefine/>
    <w:qFormat/>
    <w:uiPriority w:val="0"/>
    <w:rPr>
      <w:rFonts w:hint="eastAsia" w:ascii="宋体" w:hAnsi="宋体" w:eastAsia="宋体" w:cs="宋体"/>
      <w:color w:val="000000"/>
      <w:sz w:val="18"/>
      <w:szCs w:val="18"/>
      <w:u w:val="none"/>
    </w:rPr>
  </w:style>
  <w:style w:type="character" w:customStyle="1" w:styleId="33">
    <w:name w:val="font01"/>
    <w:basedOn w:val="23"/>
    <w:autoRedefine/>
    <w:qFormat/>
    <w:uiPriority w:val="0"/>
    <w:rPr>
      <w:rFonts w:hint="default" w:ascii="Microsoft YaHei Regular" w:hAnsi="Microsoft YaHei Regular" w:eastAsia="Microsoft YaHei Regular" w:cs="Microsoft YaHei Regular"/>
      <w:color w:val="000000"/>
      <w:sz w:val="18"/>
      <w:szCs w:val="18"/>
      <w:u w:val="none"/>
    </w:rPr>
  </w:style>
  <w:style w:type="paragraph" w:customStyle="1" w:styleId="34">
    <w:name w:val="D&amp;L"/>
    <w:basedOn w:val="15"/>
    <w:autoRedefine/>
    <w:qFormat/>
    <w:uiPriority w:val="99"/>
    <w:pPr>
      <w:pBdr>
        <w:bottom w:val="thinThickSmallGap" w:color="auto" w:sz="18" w:space="1"/>
      </w:pBdr>
      <w:adjustRightInd w:val="0"/>
      <w:snapToGrid/>
      <w:spacing w:line="240" w:lineRule="atLeast"/>
      <w:textAlignment w:val="baseline"/>
    </w:pPr>
    <w:rPr>
      <w:sz w:val="24"/>
    </w:rPr>
  </w:style>
  <w:style w:type="character" w:customStyle="1" w:styleId="35">
    <w:name w:val="fontstyle01"/>
    <w:autoRedefine/>
    <w:qFormat/>
    <w:uiPriority w:val="0"/>
    <w:rPr>
      <w:rFonts w:hint="eastAsia" w:ascii="宋体" w:hAnsi="宋体" w:eastAsia="宋体"/>
      <w:color w:val="000000"/>
      <w:sz w:val="22"/>
      <w:szCs w:val="22"/>
    </w:rPr>
  </w:style>
  <w:style w:type="paragraph" w:customStyle="1" w:styleId="36">
    <w:name w:val="Table Paragraph"/>
    <w:basedOn w:val="1"/>
    <w:autoRedefine/>
    <w:qFormat/>
    <w:uiPriority w:val="1"/>
    <w:rPr>
      <w:rFonts w:ascii="宋体" w:hAnsi="宋体" w:eastAsia="宋体" w:cs="宋体"/>
      <w:lang w:val="zh-CN" w:eastAsia="zh-CN" w:bidi="zh-CN"/>
    </w:rPr>
  </w:style>
  <w:style w:type="paragraph" w:styleId="37">
    <w:name w:val="List Paragraph"/>
    <w:basedOn w:val="1"/>
    <w:autoRedefine/>
    <w:unhideWhenUsed/>
    <w:qFormat/>
    <w:uiPriority w:val="99"/>
    <w:pPr>
      <w:ind w:firstLine="420" w:firstLineChars="200"/>
    </w:pPr>
  </w:style>
  <w:style w:type="paragraph" w:customStyle="1" w:styleId="38">
    <w:name w:val="Table Text"/>
    <w:basedOn w:val="1"/>
    <w:autoRedefine/>
    <w:semiHidden/>
    <w:qFormat/>
    <w:uiPriority w:val="0"/>
    <w:rPr>
      <w:rFonts w:ascii="微软雅黑" w:hAnsi="微软雅黑" w:eastAsia="微软雅黑" w:cs="微软雅黑"/>
      <w:sz w:val="18"/>
      <w:szCs w:val="18"/>
      <w:lang w:val="en-US" w:eastAsia="en-US" w:bidi="ar-SA"/>
    </w:rPr>
  </w:style>
  <w:style w:type="table" w:customStyle="1" w:styleId="3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23249</Words>
  <Characters>24512</Characters>
  <Lines>0</Lines>
  <Paragraphs>0</Paragraphs>
  <TotalTime>5</TotalTime>
  <ScaleCrop>false</ScaleCrop>
  <LinksUpToDate>false</LinksUpToDate>
  <CharactersWithSpaces>25861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2023-08-01T01:52:00Z</dcterms:created>
  <dc:creator>Administrator</dc:creator>
  <cp:lastModifiedBy>Administrator</cp:lastModifiedBy>
  <dcterms:modified xsi:type="dcterms:W3CDTF">2025-01-27T02:48:14Z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C18F8D42943E4EA08808C49BCFEF4812_13</vt:lpwstr>
  </property>
</Properties>
</file>