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D604">
      <w:pPr>
        <w:ind w:left="278" w:firstLine="440" w:firstLineChars="100"/>
        <w:jc w:val="center"/>
        <w:rPr>
          <w:rFonts w:hint="default"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rPr>
        <w:t>庐寓公寓管理系统维保</w:t>
      </w:r>
      <w:r>
        <w:rPr>
          <w:rFonts w:hint="eastAsia" w:ascii="方正小标宋简体" w:hAnsi="方正小标宋简体" w:eastAsia="方正小标宋简体" w:cs="方正小标宋简体"/>
          <w:b w:val="0"/>
          <w:bCs w:val="0"/>
          <w:sz w:val="44"/>
          <w:szCs w:val="44"/>
          <w:lang w:val="en-US" w:eastAsia="zh-CN"/>
        </w:rPr>
        <w:t>服务需求清单</w:t>
      </w:r>
    </w:p>
    <w:p w14:paraId="5176D3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公寓管理系统运维项目服务需要保障管理平台的安全稳定运行和多个智能化公寓项目的设备监控及应急维护，提供每周</w:t>
      </w:r>
      <w:r>
        <w:rPr>
          <w:rFonts w:ascii="宋体" w:hAnsi="宋体" w:eastAsia="宋体"/>
          <w:sz w:val="28"/>
          <w:szCs w:val="28"/>
        </w:rPr>
        <w:t>5天*8小时级别的</w:t>
      </w:r>
      <w:r>
        <w:rPr>
          <w:rFonts w:hint="eastAsia" w:ascii="宋体" w:hAnsi="宋体" w:eastAsia="宋体"/>
          <w:sz w:val="28"/>
          <w:szCs w:val="28"/>
        </w:rPr>
        <w:t>在线</w:t>
      </w:r>
      <w:r>
        <w:rPr>
          <w:rFonts w:ascii="宋体" w:hAnsi="宋体" w:eastAsia="宋体"/>
          <w:sz w:val="28"/>
          <w:szCs w:val="28"/>
        </w:rPr>
        <w:t>技术服务，不得影响日常使用</w:t>
      </w:r>
      <w:r>
        <w:rPr>
          <w:rFonts w:hint="eastAsia" w:ascii="宋体" w:hAnsi="宋体" w:eastAsia="宋体"/>
          <w:sz w:val="28"/>
          <w:szCs w:val="28"/>
          <w:lang w:eastAsia="zh-CN"/>
        </w:rPr>
        <w:t>。</w:t>
      </w:r>
      <w:r>
        <w:rPr>
          <w:rFonts w:ascii="宋体" w:hAnsi="宋体" w:eastAsia="宋体"/>
          <w:sz w:val="28"/>
          <w:szCs w:val="28"/>
        </w:rPr>
        <w:t>特殊保障时期，提供7*24级别</w:t>
      </w:r>
      <w:bookmarkStart w:id="1" w:name="_GoBack"/>
      <w:bookmarkEnd w:id="1"/>
      <w:r>
        <w:rPr>
          <w:rFonts w:ascii="宋体" w:hAnsi="宋体" w:eastAsia="宋体"/>
          <w:sz w:val="28"/>
          <w:szCs w:val="28"/>
        </w:rPr>
        <w:t>的不间断技术服务</w:t>
      </w:r>
      <w:r>
        <w:rPr>
          <w:rFonts w:hint="eastAsia" w:ascii="宋体" w:hAnsi="宋体" w:eastAsia="宋体"/>
          <w:sz w:val="28"/>
          <w:szCs w:val="28"/>
        </w:rPr>
        <w:t>。服务</w:t>
      </w:r>
      <w:r>
        <w:rPr>
          <w:rFonts w:hint="eastAsia" w:ascii="宋体" w:hAnsi="宋体" w:eastAsia="宋体"/>
          <w:sz w:val="28"/>
          <w:szCs w:val="28"/>
          <w:lang w:val="en-US" w:eastAsia="zh-CN"/>
        </w:rPr>
        <w:t>包含但不限于</w:t>
      </w:r>
      <w:r>
        <w:rPr>
          <w:rFonts w:ascii="宋体" w:hAnsi="宋体" w:eastAsia="宋体"/>
          <w:sz w:val="28"/>
          <w:szCs w:val="28"/>
        </w:rPr>
        <w:t>系统调试、业务培训、技术支持等。</w:t>
      </w:r>
    </w:p>
    <w:p w14:paraId="7DD6E7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Chars="0"/>
        <w:textAlignment w:val="auto"/>
        <w:rPr>
          <w:rFonts w:hint="eastAsia" w:ascii="黑体" w:hAnsi="黑体" w:eastAsia="黑体" w:cs="黑体"/>
          <w:sz w:val="28"/>
          <w:szCs w:val="28"/>
        </w:rPr>
      </w:pPr>
      <w:r>
        <w:rPr>
          <w:rFonts w:hint="eastAsia" w:ascii="黑体" w:hAnsi="黑体" w:eastAsia="黑体" w:cs="黑体"/>
          <w:sz w:val="28"/>
          <w:szCs w:val="28"/>
        </w:rPr>
        <w:t>公寓房源和设备现状：</w:t>
      </w:r>
    </w:p>
    <w:p w14:paraId="3871F9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2025年公寓管理系统接入先锋店92套房源368个智能设备，新增四里河畔、舒馨花园等</w:t>
      </w:r>
      <w:r>
        <w:rPr>
          <w:rFonts w:hint="eastAsia" w:ascii="宋体" w:hAnsi="宋体" w:eastAsia="宋体"/>
          <w:sz w:val="28"/>
          <w:szCs w:val="28"/>
          <w:lang w:val="en-US" w:eastAsia="zh-CN"/>
        </w:rPr>
        <w:t>9</w:t>
      </w:r>
      <w:r>
        <w:rPr>
          <w:rFonts w:hint="eastAsia" w:ascii="宋体" w:hAnsi="宋体" w:eastAsia="宋体"/>
          <w:sz w:val="28"/>
          <w:szCs w:val="28"/>
        </w:rPr>
        <w:t>个小区4</w:t>
      </w:r>
      <w:r>
        <w:rPr>
          <w:rFonts w:hint="eastAsia" w:ascii="宋体" w:hAnsi="宋体" w:eastAsia="宋体"/>
          <w:sz w:val="28"/>
          <w:szCs w:val="28"/>
          <w:lang w:val="en-US" w:eastAsia="zh-CN"/>
        </w:rPr>
        <w:t>89</w:t>
      </w:r>
      <w:r>
        <w:rPr>
          <w:rFonts w:hint="eastAsia" w:ascii="宋体" w:hAnsi="宋体" w:eastAsia="宋体"/>
          <w:sz w:val="28"/>
          <w:szCs w:val="28"/>
        </w:rPr>
        <w:t>套房源。叠加此前已经在管的寿春路和双岗店的85套房源255个智能设备，系统当前房源总计</w:t>
      </w:r>
      <w:r>
        <w:rPr>
          <w:rFonts w:hint="eastAsia" w:ascii="宋体" w:hAnsi="宋体" w:eastAsia="宋体"/>
          <w:sz w:val="28"/>
          <w:szCs w:val="28"/>
          <w:lang w:val="en-US" w:eastAsia="zh-CN"/>
        </w:rPr>
        <w:t>666</w:t>
      </w:r>
      <w:r>
        <w:rPr>
          <w:rFonts w:hint="eastAsia" w:ascii="宋体" w:hAnsi="宋体" w:eastAsia="宋体"/>
          <w:sz w:val="28"/>
          <w:szCs w:val="28"/>
        </w:rPr>
        <w:t>套，智能设备总计623个。</w:t>
      </w:r>
    </w:p>
    <w:p w14:paraId="076B9B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Chars="0"/>
        <w:textAlignment w:val="auto"/>
        <w:rPr>
          <w:rFonts w:hint="eastAsia" w:ascii="黑体" w:hAnsi="黑体" w:eastAsia="黑体" w:cs="黑体"/>
          <w:sz w:val="28"/>
          <w:szCs w:val="28"/>
        </w:rPr>
      </w:pPr>
      <w:r>
        <w:rPr>
          <w:rFonts w:hint="eastAsia" w:ascii="黑体" w:hAnsi="黑体" w:eastAsia="黑体" w:cs="黑体"/>
          <w:sz w:val="28"/>
          <w:szCs w:val="28"/>
        </w:rPr>
        <w:t>公寓智能化设备厂商：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793"/>
        <w:gridCol w:w="1659"/>
        <w:gridCol w:w="1660"/>
        <w:gridCol w:w="1660"/>
      </w:tblGrid>
      <w:tr w14:paraId="5C5E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4" w:type="dxa"/>
          </w:tcPr>
          <w:p w14:paraId="4628E2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宋体"/>
                <w:b/>
                <w:bCs/>
                <w:sz w:val="32"/>
                <w:szCs w:val="32"/>
              </w:rPr>
            </w:pPr>
          </w:p>
        </w:tc>
        <w:tc>
          <w:tcPr>
            <w:tcW w:w="1793" w:type="dxa"/>
          </w:tcPr>
          <w:p w14:paraId="29803D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门锁</w:t>
            </w:r>
          </w:p>
        </w:tc>
        <w:tc>
          <w:tcPr>
            <w:tcW w:w="1659" w:type="dxa"/>
          </w:tcPr>
          <w:p w14:paraId="37D2E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电表</w:t>
            </w:r>
          </w:p>
        </w:tc>
        <w:tc>
          <w:tcPr>
            <w:tcW w:w="1660" w:type="dxa"/>
          </w:tcPr>
          <w:p w14:paraId="30096F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冷水表</w:t>
            </w:r>
          </w:p>
        </w:tc>
        <w:tc>
          <w:tcPr>
            <w:tcW w:w="1660" w:type="dxa"/>
          </w:tcPr>
          <w:p w14:paraId="7501AD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热水表</w:t>
            </w:r>
          </w:p>
        </w:tc>
      </w:tr>
      <w:tr w14:paraId="524A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14:paraId="33FE13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寿春路店</w:t>
            </w:r>
          </w:p>
        </w:tc>
        <w:tc>
          <w:tcPr>
            <w:tcW w:w="1793" w:type="dxa"/>
          </w:tcPr>
          <w:p w14:paraId="3531CD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居有道</w:t>
            </w:r>
          </w:p>
        </w:tc>
        <w:tc>
          <w:tcPr>
            <w:tcW w:w="1659" w:type="dxa"/>
          </w:tcPr>
          <w:p w14:paraId="529579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南硕</w:t>
            </w:r>
          </w:p>
        </w:tc>
        <w:tc>
          <w:tcPr>
            <w:tcW w:w="1660" w:type="dxa"/>
          </w:tcPr>
          <w:p w14:paraId="4B63A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南硕</w:t>
            </w:r>
          </w:p>
        </w:tc>
        <w:tc>
          <w:tcPr>
            <w:tcW w:w="1660" w:type="dxa"/>
          </w:tcPr>
          <w:p w14:paraId="488285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无</w:t>
            </w:r>
          </w:p>
        </w:tc>
      </w:tr>
      <w:tr w14:paraId="75CE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14:paraId="179FB7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双岗店</w:t>
            </w:r>
          </w:p>
        </w:tc>
        <w:tc>
          <w:tcPr>
            <w:tcW w:w="1793" w:type="dxa"/>
          </w:tcPr>
          <w:p w14:paraId="655C4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ascii="仿宋_GB2312" w:hAnsi="仿宋_GB2312" w:eastAsia="仿宋_GB2312" w:cs="宋体"/>
                <w:sz w:val="30"/>
                <w:szCs w:val="30"/>
              </w:rPr>
              <w:t>卡多利亚</w:t>
            </w:r>
          </w:p>
        </w:tc>
        <w:tc>
          <w:tcPr>
            <w:tcW w:w="1659" w:type="dxa"/>
          </w:tcPr>
          <w:p w14:paraId="1FC7CE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南硕</w:t>
            </w:r>
          </w:p>
        </w:tc>
        <w:tc>
          <w:tcPr>
            <w:tcW w:w="1660" w:type="dxa"/>
          </w:tcPr>
          <w:p w14:paraId="4F3B8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南硕</w:t>
            </w:r>
          </w:p>
        </w:tc>
        <w:tc>
          <w:tcPr>
            <w:tcW w:w="1660" w:type="dxa"/>
          </w:tcPr>
          <w:p w14:paraId="3A7D59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无</w:t>
            </w:r>
          </w:p>
        </w:tc>
      </w:tr>
      <w:tr w14:paraId="078B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14:paraId="115A7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先锋店</w:t>
            </w:r>
          </w:p>
        </w:tc>
        <w:tc>
          <w:tcPr>
            <w:tcW w:w="1793" w:type="dxa"/>
          </w:tcPr>
          <w:p w14:paraId="570C9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力图物联</w:t>
            </w:r>
          </w:p>
        </w:tc>
        <w:tc>
          <w:tcPr>
            <w:tcW w:w="1659" w:type="dxa"/>
          </w:tcPr>
          <w:p w14:paraId="1911C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科翔物联</w:t>
            </w:r>
          </w:p>
        </w:tc>
        <w:tc>
          <w:tcPr>
            <w:tcW w:w="1660" w:type="dxa"/>
          </w:tcPr>
          <w:p w14:paraId="5B1F9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科翔物联</w:t>
            </w:r>
          </w:p>
        </w:tc>
        <w:tc>
          <w:tcPr>
            <w:tcW w:w="1660" w:type="dxa"/>
          </w:tcPr>
          <w:p w14:paraId="655EF9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宋体"/>
                <w:sz w:val="30"/>
                <w:szCs w:val="30"/>
              </w:rPr>
            </w:pPr>
            <w:r>
              <w:rPr>
                <w:rFonts w:hint="eastAsia" w:ascii="仿宋_GB2312" w:hAnsi="仿宋_GB2312" w:eastAsia="仿宋_GB2312" w:cs="宋体"/>
                <w:sz w:val="30"/>
                <w:szCs w:val="30"/>
              </w:rPr>
              <w:t>科翔物联</w:t>
            </w:r>
          </w:p>
        </w:tc>
      </w:tr>
    </w:tbl>
    <w:p w14:paraId="2037FE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Chars="0"/>
        <w:textAlignment w:val="auto"/>
        <w:rPr>
          <w:rFonts w:hint="eastAsia" w:ascii="黑体" w:hAnsi="黑体" w:eastAsia="黑体" w:cs="黑体"/>
          <w:sz w:val="28"/>
          <w:szCs w:val="28"/>
        </w:rPr>
      </w:pPr>
      <w:r>
        <w:rPr>
          <w:rFonts w:hint="eastAsia" w:ascii="黑体" w:hAnsi="黑体" w:eastAsia="黑体" w:cs="黑体"/>
          <w:sz w:val="28"/>
          <w:szCs w:val="28"/>
        </w:rPr>
        <w:t>软件日常巡检和维护：</w:t>
      </w:r>
    </w:p>
    <w:p w14:paraId="2E53A08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应用程序巡检。定期巡检应用系统各个子模块，并处理程序异常，对过期应用程序日志备份、清理，记录到巡检报告，保障系统</w:t>
      </w:r>
      <w:r>
        <w:rPr>
          <w:rFonts w:hint="eastAsia" w:ascii="宋体" w:hAnsi="宋体" w:eastAsia="宋体"/>
          <w:sz w:val="28"/>
          <w:szCs w:val="28"/>
          <w:lang w:eastAsia="zh-CN"/>
        </w:rPr>
        <w:t>、智能设备的</w:t>
      </w:r>
      <w:r>
        <w:rPr>
          <w:rFonts w:ascii="宋体" w:hAnsi="宋体" w:eastAsia="宋体"/>
          <w:sz w:val="28"/>
          <w:szCs w:val="28"/>
        </w:rPr>
        <w:t>稳定运行服务。</w:t>
      </w:r>
    </w:p>
    <w:p w14:paraId="3948EA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应用接口巡检。定期巡检主题化服务接口、代理API服务接口配置和访问日志，确保接口正常服务。</w:t>
      </w:r>
    </w:p>
    <w:p w14:paraId="26214DA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程序bug处理。收集用户使用过程中反馈的问题，分析bug和跟踪、测试、处理，保障系统基础功能正常服务</w:t>
      </w:r>
      <w:r>
        <w:rPr>
          <w:rFonts w:hint="eastAsia" w:ascii="宋体" w:hAnsi="宋体" w:eastAsia="宋体"/>
          <w:sz w:val="28"/>
          <w:szCs w:val="28"/>
        </w:rPr>
        <w:t>。</w:t>
      </w:r>
    </w:p>
    <w:p w14:paraId="767A49D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中间件巡检。定期巡检中间件，处理异常、故障修复，保障负载均衡和中间件稳定服务。软件故障检测及处理：需制定故障处理流程，及时处理平台运行故障。制定完善可行的常见故障处理方案，针对可能的突发故障制定应急处理预案，对紧急故障做到 7×24 小时应急响应。</w:t>
      </w:r>
    </w:p>
    <w:p w14:paraId="387DD2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Chars="0"/>
        <w:textAlignment w:val="auto"/>
        <w:rPr>
          <w:rFonts w:hint="eastAsia" w:ascii="黑体" w:hAnsi="黑体" w:eastAsia="黑体" w:cs="黑体"/>
          <w:sz w:val="28"/>
          <w:szCs w:val="28"/>
        </w:rPr>
      </w:pPr>
      <w:r>
        <w:rPr>
          <w:rFonts w:hint="eastAsia" w:ascii="黑体" w:hAnsi="黑体" w:eastAsia="黑体" w:cs="黑体"/>
          <w:sz w:val="28"/>
          <w:szCs w:val="28"/>
        </w:rPr>
        <w:t>软件系统应用保障：</w:t>
      </w:r>
    </w:p>
    <w:p w14:paraId="4A9E2E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提供平台应用软件系统的应用保障，主要包括软件缺陷和故障修复，漏洞和补丁升级、修复，提升系统响应速度</w:t>
      </w:r>
      <w:r>
        <w:rPr>
          <w:rFonts w:hint="eastAsia" w:ascii="宋体" w:hAnsi="宋体" w:eastAsia="宋体"/>
          <w:sz w:val="28"/>
          <w:szCs w:val="28"/>
        </w:rPr>
        <w:t>。</w:t>
      </w:r>
    </w:p>
    <w:p w14:paraId="34FDBD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黑体" w:hAnsi="黑体" w:eastAsia="黑体" w:cs="黑体"/>
          <w:sz w:val="28"/>
          <w:szCs w:val="28"/>
          <w:lang w:val="en-US" w:eastAsia="zh-CN"/>
        </w:rPr>
        <w:t>五、智能设备应用保障：</w:t>
      </w:r>
      <w:r>
        <w:rPr>
          <w:rFonts w:hint="eastAsia" w:ascii="宋体" w:hAnsi="宋体" w:eastAsia="宋体"/>
          <w:sz w:val="28"/>
          <w:szCs w:val="28"/>
          <w:lang w:val="en-US" w:eastAsia="zh-CN"/>
        </w:rPr>
        <w:t>（智能锁、智能水表、智能电表）</w:t>
      </w:r>
      <w:r>
        <w:rPr>
          <w:rFonts w:hint="eastAsia" w:ascii="宋体" w:hAnsi="宋体" w:eastAsia="宋体"/>
          <w:sz w:val="28"/>
          <w:szCs w:val="28"/>
        </w:rPr>
        <w:tab/>
      </w:r>
    </w:p>
    <w:p w14:paraId="053F6B9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宋体" w:hAnsi="宋体"/>
          <w:color w:val="000000"/>
          <w:sz w:val="24"/>
        </w:rPr>
        <w:t>（1）设备巡检：对智能化设备进行</w:t>
      </w:r>
      <w:r>
        <w:rPr>
          <w:rFonts w:hint="eastAsia"/>
          <w:color w:val="000000"/>
          <w:sz w:val="24"/>
          <w:lang w:eastAsia="zh-CN"/>
        </w:rPr>
        <w:t>每月初</w:t>
      </w:r>
      <w:r>
        <w:rPr>
          <w:rFonts w:ascii="宋体" w:hAnsi="宋体"/>
          <w:color w:val="000000"/>
          <w:sz w:val="24"/>
        </w:rPr>
        <w:t>定期巡检</w:t>
      </w:r>
      <w:r>
        <w:rPr>
          <w:rFonts w:hint="eastAsia"/>
          <w:color w:val="000000"/>
          <w:sz w:val="24"/>
          <w:lang w:eastAsia="zh-CN"/>
        </w:rPr>
        <w:t>、记录在册，</w:t>
      </w:r>
      <w:r>
        <w:rPr>
          <w:rFonts w:ascii="宋体" w:hAnsi="宋体"/>
          <w:color w:val="000000"/>
          <w:sz w:val="24"/>
        </w:rPr>
        <w:t>确保设备正常运行。</w:t>
      </w:r>
    </w:p>
    <w:p w14:paraId="7CD6E7D3">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宋体" w:hAnsi="宋体"/>
          <w:color w:val="000000"/>
          <w:sz w:val="24"/>
        </w:rPr>
        <w:t>（2）故障排除：对设备出现故障</w:t>
      </w:r>
      <w:r>
        <w:rPr>
          <w:rFonts w:hint="eastAsia"/>
          <w:color w:val="000000"/>
          <w:sz w:val="24"/>
          <w:lang w:eastAsia="zh-CN"/>
        </w:rPr>
        <w:t>记录在册</w:t>
      </w:r>
      <w:r>
        <w:rPr>
          <w:rFonts w:ascii="宋体" w:hAnsi="宋体"/>
          <w:color w:val="000000"/>
          <w:sz w:val="24"/>
        </w:rPr>
        <w:t>，及时进行</w:t>
      </w:r>
      <w:r>
        <w:rPr>
          <w:rFonts w:hint="eastAsia"/>
          <w:color w:val="000000"/>
          <w:sz w:val="24"/>
          <w:lang w:val="en-US" w:eastAsia="zh-CN"/>
        </w:rPr>
        <w:t>远程</w:t>
      </w:r>
      <w:r>
        <w:rPr>
          <w:rFonts w:ascii="宋体" w:hAnsi="宋体"/>
          <w:color w:val="000000"/>
          <w:sz w:val="24"/>
        </w:rPr>
        <w:t>排除，</w:t>
      </w:r>
      <w:r>
        <w:rPr>
          <w:rFonts w:hint="eastAsia"/>
          <w:color w:val="000000"/>
          <w:sz w:val="24"/>
          <w:lang w:val="en-US" w:eastAsia="zh-CN"/>
        </w:rPr>
        <w:t>2小时现场处理，</w:t>
      </w:r>
      <w:r>
        <w:rPr>
          <w:rFonts w:ascii="宋体" w:hAnsi="宋体"/>
          <w:color w:val="000000"/>
          <w:sz w:val="24"/>
        </w:rPr>
        <w:t>确保设备恢复正常运行。</w:t>
      </w:r>
    </w:p>
    <w:p w14:paraId="20ADD3FE">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宋体" w:hAnsi="宋体"/>
          <w:color w:val="000000"/>
          <w:sz w:val="24"/>
        </w:rPr>
        <w:t>（3）定期保养：</w:t>
      </w:r>
      <w:r>
        <w:rPr>
          <w:rFonts w:hint="eastAsia"/>
          <w:color w:val="000000"/>
          <w:sz w:val="24"/>
          <w:lang w:eastAsia="zh-CN"/>
        </w:rPr>
        <w:t>每月</w:t>
      </w:r>
      <w:r>
        <w:rPr>
          <w:rFonts w:ascii="宋体" w:hAnsi="宋体"/>
          <w:color w:val="000000"/>
          <w:sz w:val="24"/>
        </w:rPr>
        <w:t>对设备进行定期</w:t>
      </w:r>
      <w:r>
        <w:rPr>
          <w:rFonts w:hint="eastAsia"/>
          <w:color w:val="000000"/>
          <w:sz w:val="24"/>
          <w:lang w:eastAsia="zh-CN"/>
        </w:rPr>
        <w:t>养护</w:t>
      </w:r>
      <w:r>
        <w:rPr>
          <w:rFonts w:ascii="宋体" w:hAnsi="宋体"/>
          <w:color w:val="000000"/>
          <w:sz w:val="24"/>
        </w:rPr>
        <w:t>，延长设备使用寿命。</w:t>
      </w:r>
    </w:p>
    <w:p w14:paraId="0DF3A211">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宋体" w:hAnsi="宋体"/>
          <w:color w:val="000000"/>
          <w:sz w:val="24"/>
        </w:rPr>
        <w:t>（4）设备升级：根据设备运行情况，对设备进行升级</w:t>
      </w:r>
      <w:r>
        <w:rPr>
          <w:rFonts w:hint="eastAsia"/>
          <w:color w:val="000000"/>
          <w:sz w:val="24"/>
          <w:lang w:eastAsia="zh-CN"/>
        </w:rPr>
        <w:t>、</w:t>
      </w:r>
      <w:r>
        <w:rPr>
          <w:rFonts w:hint="eastAsia"/>
          <w:color w:val="000000"/>
          <w:sz w:val="24"/>
          <w:lang w:val="en-US" w:eastAsia="zh-CN"/>
        </w:rPr>
        <w:t>维修</w:t>
      </w:r>
      <w:r>
        <w:rPr>
          <w:rFonts w:ascii="宋体" w:hAnsi="宋体"/>
          <w:color w:val="000000"/>
          <w:sz w:val="24"/>
        </w:rPr>
        <w:t>改造。</w:t>
      </w:r>
    </w:p>
    <w:p w14:paraId="3298EB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sz w:val="28"/>
          <w:szCs w:val="28"/>
        </w:rPr>
      </w:pPr>
      <w:r>
        <w:rPr>
          <w:rFonts w:ascii="宋体" w:hAnsi="宋体"/>
          <w:color w:val="000000"/>
          <w:sz w:val="24"/>
        </w:rPr>
        <w:t>（5）备品备件采购：根据设备需求，采购必要的备品备件。</w:t>
      </w:r>
      <w:r>
        <w:rPr>
          <w:rFonts w:hint="eastAsia" w:ascii="宋体" w:hAnsi="宋体" w:eastAsia="宋体"/>
          <w:sz w:val="28"/>
          <w:szCs w:val="28"/>
        </w:rPr>
        <w:t xml:space="preserve"> </w:t>
      </w:r>
    </w:p>
    <w:p w14:paraId="4B47D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日常技术支持服务：</w:t>
      </w:r>
    </w:p>
    <w:p w14:paraId="510496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hint="eastAsia" w:ascii="宋体" w:hAnsi="宋体" w:eastAsia="宋体"/>
          <w:sz w:val="28"/>
          <w:szCs w:val="28"/>
        </w:rPr>
        <w:t>为平台用户提供软件配置、联调测试、技术文档管理、技术支持、技术专家援助等。</w:t>
      </w:r>
    </w:p>
    <w:p w14:paraId="626E0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突发故障应急服务：</w:t>
      </w:r>
    </w:p>
    <w:p w14:paraId="3C3667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hint="eastAsia" w:ascii="宋体" w:hAnsi="宋体" w:eastAsia="宋体"/>
          <w:sz w:val="28"/>
          <w:szCs w:val="28"/>
        </w:rPr>
        <w:t>当系统一旦出现突发故障，须及时响应，采取急救措施，并同时将情况进行反馈，在最短时间内处理问题，将问题影响程度降到最低。</w:t>
      </w:r>
    </w:p>
    <w:p w14:paraId="3A9A1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28"/>
          <w:szCs w:val="28"/>
        </w:rPr>
      </w:pPr>
      <w:bookmarkStart w:id="0" w:name="_Hlk213659789"/>
      <w:r>
        <w:rPr>
          <w:rFonts w:hint="eastAsia" w:ascii="黑体" w:hAnsi="黑体" w:eastAsia="黑体" w:cs="黑体"/>
          <w:sz w:val="28"/>
          <w:szCs w:val="28"/>
          <w:lang w:eastAsia="zh-CN"/>
        </w:rPr>
        <w:t>八、</w:t>
      </w:r>
      <w:r>
        <w:rPr>
          <w:rFonts w:hint="eastAsia" w:ascii="黑体" w:hAnsi="黑体" w:eastAsia="黑体" w:cs="黑体"/>
          <w:sz w:val="28"/>
          <w:szCs w:val="28"/>
        </w:rPr>
        <w:t>日常业务培训服务：</w:t>
      </w:r>
    </w:p>
    <w:bookmarkEnd w:id="0"/>
    <w:p w14:paraId="22B82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sz w:val="28"/>
          <w:szCs w:val="28"/>
        </w:rPr>
      </w:pPr>
      <w:r>
        <w:rPr>
          <w:rFonts w:ascii="宋体" w:hAnsi="宋体" w:eastAsia="宋体"/>
          <w:sz w:val="28"/>
          <w:szCs w:val="28"/>
        </w:rPr>
        <w:t>为</w:t>
      </w:r>
      <w:r>
        <w:rPr>
          <w:rFonts w:hint="eastAsia" w:ascii="宋体" w:hAnsi="宋体" w:eastAsia="宋体"/>
          <w:sz w:val="28"/>
          <w:szCs w:val="28"/>
        </w:rPr>
        <w:t>公司各部门系统使用人员</w:t>
      </w:r>
      <w:r>
        <w:rPr>
          <w:rFonts w:ascii="宋体" w:hAnsi="宋体" w:eastAsia="宋体"/>
          <w:sz w:val="28"/>
          <w:szCs w:val="28"/>
        </w:rPr>
        <w:t>提供软件平台操作业务培训、日常故障排除培训，</w:t>
      </w:r>
      <w:r>
        <w:rPr>
          <w:rFonts w:hint="eastAsia" w:ascii="宋体" w:hAnsi="宋体" w:eastAsia="宋体"/>
          <w:sz w:val="28"/>
          <w:szCs w:val="28"/>
        </w:rPr>
        <w:t>为业务部门的工作开展及重大事项工作决策提供技术和数据支撑服务。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55"/>
        <w:gridCol w:w="5216"/>
        <w:gridCol w:w="760"/>
      </w:tblGrid>
      <w:tr w14:paraId="1B01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0" w:type="dxa"/>
            <w:shd w:val="clear" w:color="auto" w:fill="D7D7D7" w:themeFill="background1" w:themeFillShade="D8"/>
            <w:vAlign w:val="center"/>
          </w:tcPr>
          <w:p w14:paraId="5908A4D1">
            <w:pPr>
              <w:jc w:val="center"/>
              <w:rPr>
                <w:rFonts w:hint="eastAsia" w:ascii="黑体" w:hAnsi="黑体" w:eastAsia="黑体" w:cs="黑体"/>
              </w:rPr>
            </w:pPr>
            <w:r>
              <w:rPr>
                <w:rFonts w:hint="eastAsia" w:ascii="黑体" w:hAnsi="黑体" w:eastAsia="黑体" w:cs="黑体"/>
                <w:sz w:val="24"/>
                <w:szCs w:val="24"/>
              </w:rPr>
              <w:t>序号</w:t>
            </w:r>
          </w:p>
        </w:tc>
        <w:tc>
          <w:tcPr>
            <w:tcW w:w="1355" w:type="dxa"/>
            <w:shd w:val="clear" w:color="auto" w:fill="D7D7D7" w:themeFill="background1" w:themeFillShade="D8"/>
            <w:vAlign w:val="center"/>
          </w:tcPr>
          <w:p w14:paraId="3BA7DBB7">
            <w:pPr>
              <w:jc w:val="center"/>
              <w:rPr>
                <w:rFonts w:hint="eastAsia" w:ascii="黑体" w:hAnsi="黑体" w:eastAsia="黑体" w:cs="黑体"/>
              </w:rPr>
            </w:pPr>
            <w:r>
              <w:rPr>
                <w:rFonts w:hint="eastAsia" w:ascii="黑体" w:hAnsi="黑体" w:eastAsia="黑体" w:cs="黑体"/>
                <w:sz w:val="24"/>
                <w:szCs w:val="24"/>
              </w:rPr>
              <w:t>服务类型</w:t>
            </w:r>
          </w:p>
        </w:tc>
        <w:tc>
          <w:tcPr>
            <w:tcW w:w="5216" w:type="dxa"/>
            <w:shd w:val="clear" w:color="auto" w:fill="D7D7D7" w:themeFill="background1" w:themeFillShade="D8"/>
            <w:vAlign w:val="center"/>
          </w:tcPr>
          <w:p w14:paraId="31A4C3A3">
            <w:pPr>
              <w:jc w:val="center"/>
              <w:rPr>
                <w:rFonts w:hint="eastAsia" w:ascii="黑体" w:hAnsi="黑体" w:eastAsia="黑体" w:cs="黑体"/>
              </w:rPr>
            </w:pPr>
            <w:r>
              <w:rPr>
                <w:rFonts w:hint="eastAsia" w:ascii="黑体" w:hAnsi="黑体" w:eastAsia="黑体" w:cs="黑体"/>
                <w:sz w:val="24"/>
                <w:szCs w:val="24"/>
              </w:rPr>
              <w:t>服务内容</w:t>
            </w:r>
          </w:p>
        </w:tc>
        <w:tc>
          <w:tcPr>
            <w:tcW w:w="760" w:type="dxa"/>
            <w:shd w:val="clear" w:color="auto" w:fill="D7D7D7" w:themeFill="background1" w:themeFillShade="D8"/>
            <w:vAlign w:val="center"/>
          </w:tcPr>
          <w:p w14:paraId="18F21AFC">
            <w:pPr>
              <w:jc w:val="center"/>
              <w:rPr>
                <w:rFonts w:hint="eastAsia" w:ascii="黑体" w:hAnsi="黑体" w:eastAsia="黑体" w:cs="黑体"/>
                <w:snapToGrid w:val="0"/>
                <w:color w:val="000000"/>
                <w:kern w:val="0"/>
              </w:rPr>
            </w:pPr>
            <w:r>
              <w:rPr>
                <w:rFonts w:hint="eastAsia" w:ascii="黑体" w:hAnsi="黑体" w:eastAsia="黑体" w:cs="黑体"/>
                <w:snapToGrid w:val="0"/>
                <w:color w:val="000000"/>
                <w:kern w:val="0"/>
                <w:sz w:val="24"/>
                <w:szCs w:val="24"/>
              </w:rPr>
              <w:t>备注</w:t>
            </w:r>
          </w:p>
        </w:tc>
      </w:tr>
      <w:tr w14:paraId="62D6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40" w:type="dxa"/>
            <w:vAlign w:val="center"/>
          </w:tcPr>
          <w:p w14:paraId="3549865A">
            <w:pPr>
              <w:jc w:val="center"/>
              <w:rPr>
                <w:rFonts w:hint="eastAsia" w:ascii="仿宋" w:hAnsi="仿宋" w:cs="仿宋"/>
                <w:szCs w:val="21"/>
              </w:rPr>
            </w:pPr>
            <w:r>
              <w:rPr>
                <w:rFonts w:hint="eastAsia" w:ascii="仿宋" w:hAnsi="仿宋" w:eastAsia="仿宋" w:cs="仿宋"/>
                <w:szCs w:val="21"/>
              </w:rPr>
              <w:t>1</w:t>
            </w:r>
          </w:p>
        </w:tc>
        <w:tc>
          <w:tcPr>
            <w:tcW w:w="1355" w:type="dxa"/>
            <w:vAlign w:val="center"/>
          </w:tcPr>
          <w:p w14:paraId="60B3E98F">
            <w:pPr>
              <w:jc w:val="center"/>
              <w:rPr>
                <w:rFonts w:hint="eastAsia" w:ascii="仿宋" w:hAnsi="仿宋" w:cs="仿宋"/>
                <w:szCs w:val="21"/>
              </w:rPr>
            </w:pPr>
            <w:r>
              <w:rPr>
                <w:rFonts w:hint="eastAsia" w:ascii="仿宋" w:hAnsi="仿宋" w:eastAsia="仿宋" w:cs="仿宋"/>
                <w:sz w:val="24"/>
                <w:szCs w:val="24"/>
              </w:rPr>
              <w:t>系统监控与处置</w:t>
            </w:r>
          </w:p>
        </w:tc>
        <w:tc>
          <w:tcPr>
            <w:tcW w:w="5216" w:type="dxa"/>
            <w:vAlign w:val="center"/>
          </w:tcPr>
          <w:p w14:paraId="7113FBFF">
            <w:pPr>
              <w:rPr>
                <w:rFonts w:hint="eastAsia" w:ascii="仿宋" w:hAnsi="仿宋" w:cs="仿宋"/>
                <w:szCs w:val="21"/>
              </w:rPr>
            </w:pPr>
            <w:r>
              <w:rPr>
                <w:rFonts w:hint="eastAsia" w:ascii="仿宋" w:hAnsi="仿宋" w:eastAsia="仿宋" w:cs="仿宋"/>
                <w:sz w:val="24"/>
                <w:szCs w:val="24"/>
              </w:rPr>
              <w:t>7x24小时全天候监控软件系统的运行状态，及时发现服务器、数据库、应用、互联网URL故障或隐患并处置</w:t>
            </w:r>
            <w:r>
              <w:rPr>
                <w:rFonts w:hint="eastAsia" w:ascii="仿宋" w:hAnsi="仿宋" w:eastAsia="仿宋" w:cs="仿宋"/>
                <w:szCs w:val="21"/>
              </w:rPr>
              <w:t>。</w:t>
            </w:r>
          </w:p>
        </w:tc>
        <w:tc>
          <w:tcPr>
            <w:tcW w:w="760" w:type="dxa"/>
            <w:vAlign w:val="center"/>
          </w:tcPr>
          <w:p w14:paraId="26B758CE">
            <w:pPr>
              <w:jc w:val="center"/>
              <w:rPr>
                <w:rFonts w:hint="eastAsia" w:ascii="仿宋" w:hAnsi="仿宋" w:cs="仿宋"/>
                <w:snapToGrid w:val="0"/>
                <w:color w:val="000000"/>
                <w:kern w:val="0"/>
                <w:szCs w:val="21"/>
              </w:rPr>
            </w:pPr>
          </w:p>
        </w:tc>
      </w:tr>
      <w:tr w14:paraId="5379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40" w:type="dxa"/>
            <w:vAlign w:val="center"/>
          </w:tcPr>
          <w:p w14:paraId="5C932494">
            <w:pPr>
              <w:jc w:val="center"/>
              <w:rPr>
                <w:rFonts w:hint="eastAsia" w:ascii="仿宋" w:hAnsi="仿宋" w:cs="仿宋"/>
                <w:szCs w:val="21"/>
              </w:rPr>
            </w:pPr>
            <w:r>
              <w:rPr>
                <w:rFonts w:hint="eastAsia" w:ascii="仿宋" w:hAnsi="仿宋" w:eastAsia="仿宋" w:cs="仿宋"/>
                <w:szCs w:val="21"/>
              </w:rPr>
              <w:t>2</w:t>
            </w:r>
          </w:p>
        </w:tc>
        <w:tc>
          <w:tcPr>
            <w:tcW w:w="1355" w:type="dxa"/>
            <w:vAlign w:val="center"/>
          </w:tcPr>
          <w:p w14:paraId="13EF1769">
            <w:pPr>
              <w:jc w:val="center"/>
              <w:rPr>
                <w:rFonts w:hint="eastAsia" w:ascii="仿宋" w:hAnsi="仿宋" w:cs="仿宋"/>
                <w:szCs w:val="21"/>
              </w:rPr>
            </w:pPr>
            <w:r>
              <w:rPr>
                <w:rFonts w:hint="eastAsia" w:ascii="仿宋" w:hAnsi="仿宋" w:eastAsia="仿宋" w:cs="仿宋"/>
                <w:sz w:val="24"/>
                <w:szCs w:val="24"/>
              </w:rPr>
              <w:t>日常巡检与维护</w:t>
            </w:r>
          </w:p>
        </w:tc>
        <w:tc>
          <w:tcPr>
            <w:tcW w:w="5216" w:type="dxa"/>
            <w:vAlign w:val="center"/>
          </w:tcPr>
          <w:p w14:paraId="5661E239">
            <w:pPr>
              <w:rPr>
                <w:rFonts w:hint="eastAsia" w:ascii="仿宋" w:hAnsi="仿宋" w:cs="仿宋"/>
                <w:szCs w:val="21"/>
              </w:rPr>
            </w:pPr>
            <w:r>
              <w:rPr>
                <w:rFonts w:hint="eastAsia" w:ascii="仿宋" w:hAnsi="仿宋" w:eastAsia="仿宋" w:cs="仿宋"/>
                <w:sz w:val="24"/>
                <w:szCs w:val="24"/>
              </w:rPr>
              <w:t>每日系统状态巡检、服务器运行状态、数据库运行状态巡检、应用状态监测等。并根据巡检内容和结果每年出具运维巡检报告</w:t>
            </w:r>
          </w:p>
        </w:tc>
        <w:tc>
          <w:tcPr>
            <w:tcW w:w="760" w:type="dxa"/>
            <w:vAlign w:val="center"/>
          </w:tcPr>
          <w:p w14:paraId="04307EB3">
            <w:pPr>
              <w:jc w:val="center"/>
              <w:rPr>
                <w:rFonts w:hint="eastAsia" w:ascii="仿宋" w:hAnsi="仿宋" w:cs="仿宋"/>
                <w:snapToGrid w:val="0"/>
                <w:color w:val="000000"/>
                <w:kern w:val="0"/>
                <w:szCs w:val="21"/>
              </w:rPr>
            </w:pPr>
          </w:p>
        </w:tc>
      </w:tr>
      <w:tr w14:paraId="1CD3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40" w:type="dxa"/>
            <w:vAlign w:val="center"/>
          </w:tcPr>
          <w:p w14:paraId="70561893">
            <w:pPr>
              <w:jc w:val="center"/>
              <w:rPr>
                <w:rFonts w:hint="eastAsia" w:ascii="仿宋" w:hAnsi="仿宋" w:cs="仿宋"/>
                <w:szCs w:val="21"/>
              </w:rPr>
            </w:pPr>
            <w:r>
              <w:rPr>
                <w:rFonts w:hint="eastAsia" w:ascii="仿宋" w:hAnsi="仿宋" w:eastAsia="仿宋" w:cs="仿宋"/>
                <w:szCs w:val="21"/>
              </w:rPr>
              <w:t>3</w:t>
            </w:r>
          </w:p>
        </w:tc>
        <w:tc>
          <w:tcPr>
            <w:tcW w:w="1355" w:type="dxa"/>
            <w:vAlign w:val="center"/>
          </w:tcPr>
          <w:p w14:paraId="31F9B4BE">
            <w:pPr>
              <w:jc w:val="center"/>
              <w:rPr>
                <w:rFonts w:hint="eastAsia" w:ascii="仿宋" w:hAnsi="仿宋" w:cs="仿宋"/>
              </w:rPr>
            </w:pPr>
            <w:r>
              <w:rPr>
                <w:rFonts w:hint="eastAsia" w:ascii="仿宋" w:hAnsi="仿宋" w:eastAsia="仿宋" w:cs="仿宋"/>
                <w:sz w:val="24"/>
                <w:szCs w:val="24"/>
              </w:rPr>
              <w:t>故障应急响应</w:t>
            </w:r>
          </w:p>
        </w:tc>
        <w:tc>
          <w:tcPr>
            <w:tcW w:w="5216" w:type="dxa"/>
            <w:vAlign w:val="center"/>
          </w:tcPr>
          <w:p w14:paraId="5397A1E2">
            <w:pPr>
              <w:rPr>
                <w:rFonts w:hint="eastAsia" w:ascii="仿宋" w:hAnsi="仿宋" w:cs="仿宋"/>
              </w:rPr>
            </w:pPr>
            <w:r>
              <w:rPr>
                <w:rFonts w:hint="eastAsia" w:ascii="仿宋" w:hAnsi="仿宋" w:eastAsia="仿宋" w:cs="仿宋"/>
                <w:sz w:val="24"/>
                <w:szCs w:val="24"/>
              </w:rPr>
              <w:t>当系统发生故障时,我方运维团队在接到报障后,将在约定的响应时间内启动应急预案,并根据故障的严重程度采取相应的处理措施,及时排查并修复故障,同时与客户方保持沟通,直至故障完全恢复。</w:t>
            </w:r>
          </w:p>
        </w:tc>
        <w:tc>
          <w:tcPr>
            <w:tcW w:w="760" w:type="dxa"/>
            <w:vAlign w:val="center"/>
          </w:tcPr>
          <w:p w14:paraId="7B2A322A">
            <w:pPr>
              <w:jc w:val="center"/>
              <w:rPr>
                <w:rFonts w:hint="eastAsia" w:ascii="仿宋" w:hAnsi="仿宋" w:cs="仿宋"/>
                <w:snapToGrid w:val="0"/>
                <w:color w:val="000000"/>
                <w:kern w:val="0"/>
                <w:szCs w:val="21"/>
              </w:rPr>
            </w:pPr>
          </w:p>
        </w:tc>
      </w:tr>
      <w:tr w14:paraId="47C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40" w:type="dxa"/>
            <w:vAlign w:val="center"/>
          </w:tcPr>
          <w:p w14:paraId="77AFBD37">
            <w:pPr>
              <w:jc w:val="center"/>
              <w:rPr>
                <w:rFonts w:hint="eastAsia" w:ascii="仿宋" w:hAnsi="仿宋" w:cs="仿宋"/>
                <w:szCs w:val="21"/>
              </w:rPr>
            </w:pPr>
            <w:r>
              <w:rPr>
                <w:rFonts w:hint="eastAsia" w:ascii="仿宋" w:hAnsi="仿宋" w:eastAsia="仿宋" w:cs="仿宋"/>
                <w:szCs w:val="21"/>
              </w:rPr>
              <w:t>4</w:t>
            </w:r>
          </w:p>
        </w:tc>
        <w:tc>
          <w:tcPr>
            <w:tcW w:w="1355" w:type="dxa"/>
            <w:vAlign w:val="center"/>
          </w:tcPr>
          <w:p w14:paraId="2BFAD4AD">
            <w:pPr>
              <w:jc w:val="center"/>
              <w:rPr>
                <w:rFonts w:hint="eastAsia" w:ascii="仿宋" w:hAnsi="仿宋" w:cs="仿宋"/>
              </w:rPr>
            </w:pPr>
            <w:r>
              <w:rPr>
                <w:rFonts w:hint="eastAsia" w:ascii="仿宋" w:hAnsi="仿宋" w:eastAsia="仿宋" w:cs="仿宋"/>
                <w:sz w:val="24"/>
                <w:szCs w:val="24"/>
              </w:rPr>
              <w:t>数据备份</w:t>
            </w:r>
          </w:p>
        </w:tc>
        <w:tc>
          <w:tcPr>
            <w:tcW w:w="5216" w:type="dxa"/>
            <w:vAlign w:val="center"/>
          </w:tcPr>
          <w:p w14:paraId="50BDC7B0">
            <w:pPr>
              <w:rPr>
                <w:rFonts w:hint="eastAsia" w:ascii="仿宋" w:hAnsi="仿宋" w:cs="仿宋"/>
              </w:rPr>
            </w:pPr>
            <w:r>
              <w:rPr>
                <w:rFonts w:hint="eastAsia" w:ascii="仿宋" w:hAnsi="仿宋" w:eastAsia="仿宋" w:cs="仿宋"/>
                <w:sz w:val="24"/>
                <w:szCs w:val="24"/>
              </w:rPr>
              <w:t>甲方提供专门备份服务器或设备，乙方每日定时进行全量数据库及每月对文件资料进行备份，保留近半年数据备份文件，如未提供，则默认本地数据备份。</w:t>
            </w:r>
          </w:p>
        </w:tc>
        <w:tc>
          <w:tcPr>
            <w:tcW w:w="760" w:type="dxa"/>
            <w:vAlign w:val="center"/>
          </w:tcPr>
          <w:p w14:paraId="1BA298C9">
            <w:pPr>
              <w:jc w:val="center"/>
              <w:rPr>
                <w:rFonts w:hint="eastAsia" w:ascii="仿宋" w:hAnsi="仿宋" w:cs="仿宋"/>
                <w:snapToGrid w:val="0"/>
                <w:color w:val="000000"/>
                <w:kern w:val="0"/>
                <w:szCs w:val="21"/>
              </w:rPr>
            </w:pPr>
          </w:p>
        </w:tc>
      </w:tr>
      <w:tr w14:paraId="46E1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40" w:type="dxa"/>
            <w:vAlign w:val="center"/>
          </w:tcPr>
          <w:p w14:paraId="7B5F28EC">
            <w:pPr>
              <w:jc w:val="center"/>
              <w:rPr>
                <w:rFonts w:hint="eastAsia" w:ascii="仿宋" w:hAnsi="仿宋" w:cs="仿宋"/>
                <w:szCs w:val="21"/>
              </w:rPr>
            </w:pPr>
            <w:r>
              <w:rPr>
                <w:rFonts w:hint="eastAsia" w:ascii="仿宋" w:hAnsi="仿宋" w:eastAsia="仿宋" w:cs="仿宋"/>
                <w:szCs w:val="21"/>
              </w:rPr>
              <w:t>5</w:t>
            </w:r>
          </w:p>
        </w:tc>
        <w:tc>
          <w:tcPr>
            <w:tcW w:w="1355" w:type="dxa"/>
            <w:vAlign w:val="center"/>
          </w:tcPr>
          <w:p w14:paraId="0CB1F1A1">
            <w:pPr>
              <w:jc w:val="center"/>
              <w:rPr>
                <w:rFonts w:hint="eastAsia" w:ascii="仿宋" w:hAnsi="仿宋" w:cs="仿宋"/>
              </w:rPr>
            </w:pPr>
            <w:r>
              <w:rPr>
                <w:rFonts w:hint="eastAsia" w:ascii="仿宋" w:hAnsi="仿宋" w:eastAsia="仿宋" w:cs="仿宋"/>
                <w:sz w:val="24"/>
                <w:szCs w:val="24"/>
              </w:rPr>
              <w:t>技术支持</w:t>
            </w:r>
          </w:p>
        </w:tc>
        <w:tc>
          <w:tcPr>
            <w:tcW w:w="5216" w:type="dxa"/>
            <w:vAlign w:val="center"/>
          </w:tcPr>
          <w:p w14:paraId="218F65C3">
            <w:pPr>
              <w:rPr>
                <w:rFonts w:hint="eastAsia" w:ascii="仿宋" w:hAnsi="仿宋" w:cs="仿宋"/>
              </w:rPr>
            </w:pPr>
            <w:r>
              <w:rPr>
                <w:rFonts w:hint="eastAsia" w:ascii="仿宋" w:hAnsi="仿宋" w:eastAsia="仿宋" w:cs="仿宋"/>
                <w:sz w:val="24"/>
                <w:szCs w:val="24"/>
              </w:rPr>
              <w:t>为客户方提供及时、专业的技术支持服务,包括但不限于问题咨询、使用指导、系统培训等。根据客户方的需求,提供现场或远程的技术支持。</w:t>
            </w:r>
          </w:p>
        </w:tc>
        <w:tc>
          <w:tcPr>
            <w:tcW w:w="760" w:type="dxa"/>
            <w:vAlign w:val="center"/>
          </w:tcPr>
          <w:p w14:paraId="153FAD21">
            <w:pPr>
              <w:jc w:val="center"/>
              <w:rPr>
                <w:rFonts w:hint="eastAsia" w:ascii="仿宋" w:hAnsi="仿宋" w:cs="仿宋"/>
                <w:snapToGrid w:val="0"/>
                <w:color w:val="000000"/>
                <w:kern w:val="0"/>
                <w:szCs w:val="21"/>
              </w:rPr>
            </w:pPr>
          </w:p>
        </w:tc>
      </w:tr>
      <w:tr w14:paraId="280A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740" w:type="dxa"/>
            <w:vAlign w:val="center"/>
          </w:tcPr>
          <w:p w14:paraId="54642567">
            <w:pPr>
              <w:jc w:val="center"/>
              <w:rPr>
                <w:rFonts w:hint="eastAsia" w:ascii="仿宋" w:hAnsi="仿宋" w:cs="仿宋"/>
                <w:szCs w:val="21"/>
              </w:rPr>
            </w:pPr>
            <w:r>
              <w:rPr>
                <w:rFonts w:hint="eastAsia" w:ascii="仿宋" w:hAnsi="仿宋" w:eastAsia="仿宋" w:cs="仿宋"/>
                <w:szCs w:val="21"/>
              </w:rPr>
              <w:t>6</w:t>
            </w:r>
          </w:p>
        </w:tc>
        <w:tc>
          <w:tcPr>
            <w:tcW w:w="1355" w:type="dxa"/>
            <w:vAlign w:val="center"/>
          </w:tcPr>
          <w:p w14:paraId="20FBB0F8">
            <w:pPr>
              <w:jc w:val="center"/>
              <w:rPr>
                <w:rFonts w:hint="eastAsia" w:ascii="仿宋" w:hAnsi="仿宋" w:cs="仿宋"/>
                <w:szCs w:val="21"/>
              </w:rPr>
            </w:pPr>
            <w:r>
              <w:rPr>
                <w:rFonts w:hint="eastAsia" w:ascii="仿宋" w:hAnsi="仿宋" w:eastAsia="仿宋" w:cs="仿宋"/>
                <w:sz w:val="24"/>
                <w:szCs w:val="24"/>
              </w:rPr>
              <w:t>系统微调服务</w:t>
            </w:r>
          </w:p>
        </w:tc>
        <w:tc>
          <w:tcPr>
            <w:tcW w:w="5216" w:type="dxa"/>
            <w:vAlign w:val="center"/>
          </w:tcPr>
          <w:p w14:paraId="72C0D7AF">
            <w:pPr>
              <w:rPr>
                <w:rFonts w:hint="eastAsia" w:ascii="仿宋" w:hAnsi="仿宋" w:cs="仿宋"/>
                <w:szCs w:val="21"/>
              </w:rPr>
            </w:pPr>
            <w:r>
              <w:rPr>
                <w:rFonts w:hint="eastAsia" w:ascii="仿宋" w:hAnsi="仿宋" w:eastAsia="仿宋" w:cs="仿宋"/>
                <w:sz w:val="24"/>
                <w:szCs w:val="24"/>
              </w:rPr>
              <w:t>在运维服务期内,为甲方的个性化需求,提供10人天的免费微调服务;</w:t>
            </w:r>
            <w:r>
              <w:rPr>
                <w:rFonts w:hint="eastAsia" w:ascii="仿宋" w:hAnsi="仿宋" w:eastAsia="仿宋" w:cs="仿宋"/>
                <w:sz w:val="24"/>
                <w:szCs w:val="24"/>
              </w:rPr>
              <w:br w:type="textWrapping"/>
            </w:r>
            <w:r>
              <w:rPr>
                <w:rFonts w:hint="eastAsia" w:ascii="仿宋" w:hAnsi="仿宋" w:eastAsia="仿宋" w:cs="仿宋"/>
                <w:sz w:val="24"/>
                <w:szCs w:val="24"/>
              </w:rPr>
              <w:t>微调服务的内容包括但限于:界面优化、功能参数调整、业务规则修改、报表格式、数据查询、数据修复、功能调整等轻量级的开发需求。超出免费人天数的微调开发工作,双方另行商定开发费用。微调服务需求应由客户方以书面形式提出,我方在评估工作量后,双方确认开发范围和时间进度,并签署相关变更文件后方可开始开发工作。</w:t>
            </w:r>
          </w:p>
        </w:tc>
        <w:tc>
          <w:tcPr>
            <w:tcW w:w="760" w:type="dxa"/>
            <w:vAlign w:val="center"/>
          </w:tcPr>
          <w:p w14:paraId="6B1F3A40">
            <w:pPr>
              <w:rPr>
                <w:rFonts w:hint="eastAsia" w:ascii="仿宋" w:hAnsi="仿宋" w:cs="仿宋"/>
                <w:snapToGrid w:val="0"/>
                <w:color w:val="000000"/>
                <w:kern w:val="0"/>
                <w:szCs w:val="21"/>
              </w:rPr>
            </w:pPr>
          </w:p>
        </w:tc>
      </w:tr>
      <w:tr w14:paraId="18F5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40" w:type="dxa"/>
            <w:vAlign w:val="center"/>
          </w:tcPr>
          <w:p w14:paraId="4581F6CA">
            <w:pPr>
              <w:jc w:val="center"/>
              <w:rPr>
                <w:rFonts w:hint="eastAsia" w:ascii="仿宋" w:hAnsi="仿宋" w:eastAsia="仿宋" w:cs="仿宋"/>
                <w:szCs w:val="21"/>
              </w:rPr>
            </w:pPr>
            <w:r>
              <w:rPr>
                <w:rFonts w:hint="eastAsia" w:ascii="仿宋" w:hAnsi="仿宋" w:eastAsia="仿宋" w:cs="仿宋"/>
                <w:szCs w:val="21"/>
              </w:rPr>
              <w:t>7</w:t>
            </w:r>
          </w:p>
        </w:tc>
        <w:tc>
          <w:tcPr>
            <w:tcW w:w="1355" w:type="dxa"/>
            <w:vAlign w:val="center"/>
          </w:tcPr>
          <w:p w14:paraId="069CBB28">
            <w:pPr>
              <w:jc w:val="center"/>
              <w:rPr>
                <w:rFonts w:hint="eastAsia" w:ascii="仿宋" w:hAnsi="仿宋" w:eastAsia="仿宋" w:cs="仿宋"/>
                <w:sz w:val="24"/>
                <w:szCs w:val="24"/>
              </w:rPr>
            </w:pPr>
            <w:r>
              <w:rPr>
                <w:rFonts w:hint="eastAsia" w:ascii="仿宋" w:hAnsi="仿宋" w:eastAsia="仿宋" w:cs="仿宋"/>
                <w:sz w:val="24"/>
                <w:szCs w:val="24"/>
              </w:rPr>
              <w:t>第三方费用</w:t>
            </w:r>
          </w:p>
        </w:tc>
        <w:tc>
          <w:tcPr>
            <w:tcW w:w="5216" w:type="dxa"/>
            <w:vAlign w:val="center"/>
          </w:tcPr>
          <w:p w14:paraId="4C4A592D">
            <w:pPr>
              <w:rPr>
                <w:rFonts w:hint="eastAsia" w:ascii="仿宋" w:hAnsi="仿宋" w:eastAsia="仿宋" w:cs="仿宋"/>
                <w:sz w:val="24"/>
                <w:szCs w:val="24"/>
              </w:rPr>
            </w:pPr>
            <w:r>
              <w:rPr>
                <w:rFonts w:ascii="仿宋" w:hAnsi="仿宋" w:eastAsia="仿宋" w:cs="仿宋"/>
                <w:sz w:val="24"/>
                <w:szCs w:val="24"/>
              </w:rPr>
              <w:t>为客户方提供每年域名续费保障服务，及时跟进续费节点，确保客户域名所有权及使用权益不受影响</w:t>
            </w:r>
            <w:r>
              <w:rPr>
                <w:rFonts w:hint="eastAsia" w:ascii="仿宋" w:hAnsi="仿宋" w:eastAsia="仿宋" w:cs="仿宋"/>
                <w:sz w:val="24"/>
                <w:szCs w:val="24"/>
              </w:rPr>
              <w:t>。</w:t>
            </w:r>
          </w:p>
        </w:tc>
        <w:tc>
          <w:tcPr>
            <w:tcW w:w="760" w:type="dxa"/>
            <w:vAlign w:val="center"/>
          </w:tcPr>
          <w:p w14:paraId="7BB4768B">
            <w:pPr>
              <w:rPr>
                <w:rFonts w:hint="eastAsia" w:ascii="仿宋" w:hAnsi="仿宋" w:cs="仿宋"/>
                <w:snapToGrid w:val="0"/>
                <w:color w:val="000000"/>
                <w:kern w:val="0"/>
                <w:szCs w:val="21"/>
              </w:rPr>
            </w:pPr>
          </w:p>
        </w:tc>
      </w:tr>
    </w:tbl>
    <w:p w14:paraId="49E77672">
      <w:pPr>
        <w:rPr>
          <w:rFonts w:hint="eastAsia" w:ascii="宋体" w:hAnsi="宋体" w:eastAsia="宋体"/>
          <w:sz w:val="28"/>
          <w:szCs w:val="28"/>
        </w:rPr>
      </w:pP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5F207"/>
    <w:multiLevelType w:val="singleLevel"/>
    <w:tmpl w:val="1135F207"/>
    <w:lvl w:ilvl="0" w:tentative="0">
      <w:start w:val="1"/>
      <w:numFmt w:val="decimal"/>
      <w:suff w:val="nothing"/>
      <w:lvlText w:val="（%1）"/>
      <w:lvlJc w:val="left"/>
    </w:lvl>
  </w:abstractNum>
  <w:abstractNum w:abstractNumId="1">
    <w:nsid w:val="45C91E3D"/>
    <w:multiLevelType w:val="singleLevel"/>
    <w:tmpl w:val="45C91E3D"/>
    <w:lvl w:ilvl="0" w:tentative="0">
      <w:start w:val="1"/>
      <w:numFmt w:val="chineseCounting"/>
      <w:suff w:val="nothing"/>
      <w:lvlText w:val="%1、"/>
      <w:lvlJc w:val="left"/>
      <w:pPr>
        <w:ind w:left="21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B1"/>
    <w:rsid w:val="00061AEC"/>
    <w:rsid w:val="00066C17"/>
    <w:rsid w:val="00090D1F"/>
    <w:rsid w:val="000F730A"/>
    <w:rsid w:val="0011545C"/>
    <w:rsid w:val="00141E06"/>
    <w:rsid w:val="001B339D"/>
    <w:rsid w:val="001D6284"/>
    <w:rsid w:val="001D69B4"/>
    <w:rsid w:val="001E2B0C"/>
    <w:rsid w:val="00336171"/>
    <w:rsid w:val="00393AD9"/>
    <w:rsid w:val="003F34DB"/>
    <w:rsid w:val="00401A4F"/>
    <w:rsid w:val="004308EA"/>
    <w:rsid w:val="0044694C"/>
    <w:rsid w:val="00462C11"/>
    <w:rsid w:val="004B5EEC"/>
    <w:rsid w:val="005109B1"/>
    <w:rsid w:val="00685579"/>
    <w:rsid w:val="006E3ED0"/>
    <w:rsid w:val="00760295"/>
    <w:rsid w:val="007B31AA"/>
    <w:rsid w:val="007F6910"/>
    <w:rsid w:val="00866ECE"/>
    <w:rsid w:val="00901AC1"/>
    <w:rsid w:val="00940D9A"/>
    <w:rsid w:val="00A025D4"/>
    <w:rsid w:val="00A409A0"/>
    <w:rsid w:val="00A513D7"/>
    <w:rsid w:val="00A607DA"/>
    <w:rsid w:val="00B02F2D"/>
    <w:rsid w:val="00B80A26"/>
    <w:rsid w:val="00BF6958"/>
    <w:rsid w:val="00C24CA6"/>
    <w:rsid w:val="00C25D2A"/>
    <w:rsid w:val="00C441E0"/>
    <w:rsid w:val="00C71F8E"/>
    <w:rsid w:val="00C8580D"/>
    <w:rsid w:val="00C905CB"/>
    <w:rsid w:val="00C96FCA"/>
    <w:rsid w:val="00D03FEF"/>
    <w:rsid w:val="00DC6A8D"/>
    <w:rsid w:val="00DD6BB9"/>
    <w:rsid w:val="00E232C9"/>
    <w:rsid w:val="00EF7493"/>
    <w:rsid w:val="00F53029"/>
    <w:rsid w:val="00F85822"/>
    <w:rsid w:val="00FA7C40"/>
    <w:rsid w:val="19127113"/>
    <w:rsid w:val="2C3A1B41"/>
    <w:rsid w:val="2EB55FBF"/>
    <w:rsid w:val="32C57C62"/>
    <w:rsid w:val="331F5519"/>
    <w:rsid w:val="3FC528D2"/>
    <w:rsid w:val="41E54393"/>
    <w:rsid w:val="4AFA19DE"/>
    <w:rsid w:val="5F384B75"/>
    <w:rsid w:val="61B4249D"/>
    <w:rsid w:val="74422865"/>
    <w:rsid w:val="74FE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1682</Characters>
  <Lines>121</Lines>
  <Paragraphs>143</Paragraphs>
  <TotalTime>4234</TotalTime>
  <ScaleCrop>false</ScaleCrop>
  <LinksUpToDate>false</LinksUpToDate>
  <CharactersWithSpaces>1690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2024-09-04T02:39:00Z</dcterms:created>
  <dc:creator>斌 江</dc:creator>
  <cp:lastModifiedBy>徐徐</cp:lastModifiedBy>
  <cp:lastPrinted>2025-12-12T02:30:00Z</cp:lastPrinted>
  <dcterms:modified xsi:type="dcterms:W3CDTF">2025-12-15T01:00:15Z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0E398801BAFD4BE4B30E92902DDFD03B_13</vt:lpwstr>
  </property>
  <property fmtid="{D5CDD505-2E9C-101B-9397-08002B2CF9AE}" pid="4" name="KSOTemplateDocerSaveRecord">
    <vt:lpwstr>eyJoZGlkIjoiNTU5MTIyMGNlOTk2OGI3NWVmNDVhYzRkOWQ4MGU2NzYiLCJ1c2VySWQiOiIxNTcxMDU3MDg0In0=</vt:lpwstr>
  </property>
</Properties>
</file>