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3D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庐阳区马年生肖美陈项目招标需求书</w:t>
      </w:r>
    </w:p>
    <w:p w14:paraId="0212E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4E95A94"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项目名称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：庐阳区马年生肖美陈项目</w:t>
      </w:r>
    </w:p>
    <w:p w14:paraId="6BEF6128">
      <w:pPr>
        <w:numPr>
          <w:ilvl w:val="0"/>
          <w:numId w:val="0"/>
        </w:numPr>
        <w:spacing w:line="360" w:lineRule="auto"/>
        <w:jc w:val="left"/>
        <w:rPr>
          <w:rFonts w:hint="default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 w:bidi="ar-SA"/>
        </w:rPr>
        <w:t>二、项目概算：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48.045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万元</w:t>
      </w:r>
    </w:p>
    <w:p w14:paraId="1E9A343F">
      <w:pPr>
        <w:shd w:val="clear" w:color="auto" w:fill="auto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、项目概况：</w:t>
      </w:r>
    </w:p>
    <w:p w14:paraId="071BC6EC">
      <w:pPr>
        <w:shd w:val="clear" w:color="auto" w:fill="auto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本项目为庐阳区马年生肖美陈项目，主要用于春节期间美陈打卡使用，使用地点为庐阳区淮河路步行街、逍遥津公园、庐州府城隍庙、合肥城市记忆馆等文商旅项目，使用场景为室外。需提供美陈方案，包含方案设计、制作、运输、安装、后期维保等。</w:t>
      </w:r>
    </w:p>
    <w:p w14:paraId="520FE982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3916045" cy="2342515"/>
            <wp:effectExtent l="0" t="0" r="825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1612" r="9508"/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2342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06EA5B">
      <w:pPr>
        <w:pStyle w:val="2"/>
        <w:ind w:left="0" w:leftChars="0" w:firstLine="56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本项目需求9匹马年生肖美陈雕塑，参考示例如上图，具体要求为：</w:t>
      </w:r>
    </w:p>
    <w:p w14:paraId="78A136B1">
      <w:pPr>
        <w:pStyle w:val="2"/>
        <w:ind w:left="0" w:leftChars="0" w:firstLine="560" w:firstLineChars="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1.单个尺寸要求：高度不低于3.5米，长度不低于4米，宽度不低于1.5米；</w:t>
      </w:r>
    </w:p>
    <w:p w14:paraId="03A3967F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2.样稿制作：终稿制作前，制作长度不低于40厘米，高度不低于35厘米的样品；</w:t>
      </w:r>
    </w:p>
    <w:p w14:paraId="561AE453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3.泥稿塑形：设计方案确认后，雕塑师使用雕塑泥按方案图纸塑制模型；                                           </w:t>
      </w:r>
    </w:p>
    <w:p w14:paraId="130678FA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4.模具翻制：使用硅胶、石膏等材质对泥稿进行模具制作，经过修模后，使用196不饱和聚酯树脂等材质做成品翻制加支撑骨架，经修补、打磨后待着色；                                          </w:t>
      </w:r>
    </w:p>
    <w:p w14:paraId="16567A2F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5.艺术着色：使用矿物颜料对翻制成型的物品进行色彩绘制，仿制其真实的质感；                             </w:t>
      </w:r>
    </w:p>
    <w:p w14:paraId="4F35E003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6.锚固：钻孔、打膨胀丝固定、焊接链接固件；</w:t>
      </w:r>
    </w:p>
    <w:p w14:paraId="53BF8AD5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7.维保：制作完成后，后期破损修复维保；</w:t>
      </w:r>
    </w:p>
    <w:p w14:paraId="45AFC31C">
      <w:pPr>
        <w:pStyle w:val="2"/>
        <w:ind w:left="0" w:leftChars="0" w:firstLine="560" w:firstLineChars="200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8.场景及周期：线下放置周期不低于3个月，使用场景为室外，需综合考虑安全、防晒、防水等因素;</w:t>
      </w:r>
    </w:p>
    <w:p w14:paraId="4B0280B0">
      <w:pPr>
        <w:pStyle w:val="2"/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9.配套介绍：每座美陈需配备介绍铭牌，说明设计理念、文化故事、象征意等内容，金属烤漆。</w:t>
      </w:r>
    </w:p>
    <w:p w14:paraId="33DB3566">
      <w:pPr>
        <w:shd w:val="clear" w:color="auto" w:fill="auto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none"/>
          <w:lang w:val="en-US" w:eastAsia="zh-CN" w:bidi="ar-SA"/>
        </w:rPr>
        <w:t>招标项目共一个标段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选取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单位。</w:t>
      </w:r>
    </w:p>
    <w:p w14:paraId="2203B02C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四、服务期限：</w:t>
      </w:r>
    </w:p>
    <w:p w14:paraId="425ED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合同服务期暂定5个月。</w:t>
      </w:r>
    </w:p>
    <w:p w14:paraId="53628D4C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五、报价方式</w:t>
      </w:r>
    </w:p>
    <w:p w14:paraId="60C82E99">
      <w:pPr>
        <w:shd w:val="clear" w:color="auto" w:fill="auto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 xml:space="preserve">本项目采用总价报价(含税)的方式，总价不得超过项目预算，否则视为无效。 </w:t>
      </w:r>
    </w:p>
    <w:p w14:paraId="18DEE006">
      <w:pPr>
        <w:shd w:val="clear" w:color="auto" w:fill="auto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本次报价所指服务费用包含但不限于保险费、画面版权费、硬件软件费、视觉设计费、劳务费、人工费、差旅费及增值服务等项目实施过程中产生的费用、质保费、售后服务费等成交供应商完成本次约定推广服务所需的一切费用，采购人不再承担以上费用之外的任何费用。</w:t>
      </w:r>
    </w:p>
    <w:p w14:paraId="3B0DAC47">
      <w:pPr>
        <w:shd w:val="clear" w:color="auto" w:fill="auto"/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付款方式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val="en-US" w:eastAsia="zh-CN" w:bidi="ar-SA"/>
        </w:rPr>
        <w:t>：</w:t>
      </w:r>
    </w:p>
    <w:p w14:paraId="749C0045">
      <w:pPr>
        <w:pStyle w:val="8"/>
        <w:spacing w:line="360" w:lineRule="auto"/>
        <w:ind w:left="0" w:leftChars="0" w:firstLine="560" w:firstLineChars="200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经发包人验收合格符合要求后60日内一次性支付全部费用。</w:t>
      </w:r>
    </w:p>
    <w:p w14:paraId="3EA88D00">
      <w:pPr>
        <w:shd w:val="clear" w:color="auto" w:fill="auto"/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七、其他要求：</w:t>
      </w:r>
    </w:p>
    <w:p w14:paraId="0D493B0E">
      <w:pPr>
        <w:shd w:val="clear" w:color="auto" w:fill="auto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本项目要求2月15日前全部安装完成，每延期一天，承包人支付发包人合同价款的0.02%的违约金；延期完成10天以上的，发包人有权解除合同，并追究连带损失。</w:t>
      </w:r>
    </w:p>
    <w:p w14:paraId="0A5687DD">
      <w:pPr>
        <w:pStyle w:val="2"/>
        <w:numPr>
          <w:ilvl w:val="0"/>
          <w:numId w:val="0"/>
        </w:numPr>
        <w:ind w:leftChars="-200" w:firstLine="281" w:firstLineChars="100"/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八、资格入围要求：</w:t>
      </w:r>
    </w:p>
    <w:p w14:paraId="7F59B8EA">
      <w:pPr>
        <w:pStyle w:val="2"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具有独立法人资格，营业执照经营范围需包含雕塑设计、制作及安装相关内容。</w:t>
      </w:r>
    </w:p>
    <w:p w14:paraId="1124DDA5">
      <w:pPr>
        <w:shd w:val="clear" w:color="auto" w:fill="auto"/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评分表：</w:t>
      </w:r>
    </w:p>
    <w:p w14:paraId="714BF1ED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  <w:t>本项目综合评分满分为 100 分，其中：技术资信分值占总分值的权重为80%，价格分值占总分值的权重为20%。具体评分细则如下</w:t>
      </w:r>
    </w:p>
    <w:tbl>
      <w:tblPr>
        <w:tblStyle w:val="9"/>
        <w:tblpPr w:leftFromText="180" w:rightFromText="180" w:vertAnchor="text" w:horzAnchor="page" w:tblpX="2536" w:tblpY="566"/>
        <w:tblOverlap w:val="never"/>
        <w:tblW w:w="87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1214"/>
        <w:gridCol w:w="4499"/>
        <w:gridCol w:w="1627"/>
      </w:tblGrid>
      <w:tr w14:paraId="57D8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9C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934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评分内容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16B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评分标准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F4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</w:tr>
      <w:tr w14:paraId="240D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0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C8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2B222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7721F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3B66A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2BE0C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614FE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70AF5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3FE50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149FA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5E85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6F4BF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721AD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04C6A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35968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1600F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694D6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5A769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6F5F9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4E7BF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70182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79A92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  <w:t>技术资信分  （80 分）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F3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业绩要求</w:t>
            </w:r>
          </w:p>
          <w:p w14:paraId="1B23F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（9分）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302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自2021年1月1日以来（以合同签订日期为准），投标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人具有单个合同额30万元及以上雕塑类相关项目业绩，每提供1个得3分，本小项满分9分。</w:t>
            </w:r>
          </w:p>
          <w:p w14:paraId="4173EE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  <w:p w14:paraId="1DDDD35E">
            <w:pPr>
              <w:pStyle w:val="12"/>
              <w:spacing w:before="1" w:line="240" w:lineRule="auto"/>
              <w:ind w:right="127"/>
              <w:jc w:val="both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注：1.响应文件中须提供业绩合同扫描件，如合同中无法体现合同签订时间、合作内容等评审因素，须另附业主单位（合同甲方）出具的证明材料并加盖公章加以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说明，否则不得分。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920D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0-9分</w:t>
            </w:r>
          </w:p>
        </w:tc>
      </w:tr>
      <w:tr w14:paraId="4378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6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82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E1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企业资质与项目负责人要求</w:t>
            </w:r>
          </w:p>
          <w:p w14:paraId="0C113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（9分）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4C32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企业或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项目负责人同时具备国家级雕塑协会或学会会员证书、省级雕塑协会会员证书，省级雕塑学会会员证书，得6分；具备其中两项，得4分；具备其中一项，得2分；无相关资质，得0分；本项最高得6分。（需提供证书佐证，证书中明确项目负责人姓名）。</w:t>
            </w:r>
          </w:p>
          <w:p w14:paraId="2C628F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近5年企业或项目负责人完成过的雕塑艺术作品获国家级奖项一件得3分，获省级奖项一项得2分，无对应业绩，得0分，本项最高得3分（需提供证书佐证，证书中明确项目负责人姓名）。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101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0-9分</w:t>
            </w:r>
          </w:p>
        </w:tc>
      </w:tr>
      <w:tr w14:paraId="0009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3D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E9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设计方案要求</w:t>
            </w:r>
          </w:p>
          <w:p w14:paraId="1FEFA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（27分）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DB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主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题契合度（9分）：完全契合项目主题及场地环境，文化内涵深厚，得7-9分；基本契合，有一定内涵，得4-6分；偏离主题，内涵薄弱，得0-3分。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959C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0-9分</w:t>
            </w:r>
          </w:p>
        </w:tc>
      </w:tr>
      <w:tr w14:paraId="1ADC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32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20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4AB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原创性与美学价值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（9分）：创意独特、风格鲜明，具有较高艺术水准，得7-9分；有一定原创性，美学效果良好，得4-6分；抄袭模仿痕迹明显，美学效果一般，得0-3分。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7D8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0-9分</w:t>
            </w:r>
          </w:p>
        </w:tc>
      </w:tr>
      <w:tr w14:paraId="7712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5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E7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05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0AA2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空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>间融合性（9分）：与周边建筑、景观协调统一，尺寸比例合理，视觉效果佳，得7-9分；基本协调，比例无明显偏差，得4-6分；不协调，比例失衡，得0-3分</w:t>
            </w: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865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0-9分</w:t>
            </w:r>
          </w:p>
        </w:tc>
      </w:tr>
      <w:tr w14:paraId="5F98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4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9C9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立体样品要求</w:t>
            </w:r>
          </w:p>
          <w:p w14:paraId="72962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（15分）</w:t>
            </w:r>
          </w:p>
          <w:p w14:paraId="06FC9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  <w:p w14:paraId="37F59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  <w:p w14:paraId="098630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（注：提供样品1个，样品需为1:10至1:20比例立体模型，材质与最终成品一致或同质感替代材料）</w:t>
            </w:r>
          </w:p>
          <w:p w14:paraId="02C39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1671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样品与方案一致性（5分）：立体样品完全还原设计方案造型、比例及艺术风格，细节复刻精准，得4-5分；基本符合方案，细节有轻微偏差，得1-3分；与方案差异较大，艺术表达偏离，得0分。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D8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0-5分</w:t>
            </w:r>
          </w:p>
        </w:tc>
      </w:tr>
      <w:tr w14:paraId="6D48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4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D0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8C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AEA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质感与工艺呈现（5分）：样品材质选用适配设计主题，表面纹理、造型衔接等工艺精细，能直观展现雕塑最终艺术质感，得4-5分；材质基本适配，工艺一般，能体现基础艺术效果，得1-3分；材质不适配，工艺粗糙，无艺术质感，得0分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15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0-5分</w:t>
            </w:r>
          </w:p>
        </w:tc>
      </w:tr>
      <w:tr w14:paraId="436D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A7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96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0BA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Chars="0" w:right="0" w:right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 xml:space="preserve">立体视觉效果（5分）：多角度观赏立体感强，形态饱满协调，光影适配性佳，符合场地视觉需求，得4-5分；立体感一般，形态无明显硬伤，得1-3分；立体感差，形态失衡，得0分。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26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0-5分</w:t>
            </w:r>
          </w:p>
        </w:tc>
      </w:tr>
      <w:tr w14:paraId="4615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4E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91A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材料与工艺方案要求</w:t>
            </w:r>
          </w:p>
          <w:p w14:paraId="504D8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（10分）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F4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材料选择（4分）：选用材料优质耐用、环保达标，适配雕塑用途及户外/室内环境，得3-4分；材料合格，基本适配环境，得1-2分；材料劣质或不适配，得0分。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188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0-4分</w:t>
            </w:r>
          </w:p>
        </w:tc>
      </w:tr>
      <w:tr w14:paraId="695D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AD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AA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18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 xml:space="preserve">制作工艺（4分）：工艺方案成熟可行，细节处理规范，能保障雕塑质感与耐久性，得3-4分；工艺基本可行，细节处理一般，得1-2分；工艺方案存在缺陷，得0分。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F1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0-4分</w:t>
            </w:r>
          </w:p>
        </w:tc>
      </w:tr>
      <w:tr w14:paraId="49162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75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41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95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环保与安全（2分）：制作及安装过程环保措施到位，无污染物排放，得2分；有基本环保措施，得1分；无环保措施，得0分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7B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0-2分</w:t>
            </w:r>
          </w:p>
        </w:tc>
      </w:tr>
      <w:tr w14:paraId="257A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D92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37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施工组织与进度保障要求</w:t>
            </w:r>
          </w:p>
          <w:p w14:paraId="0F05A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（5分）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8F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 xml:space="preserve">施工方案（2分）：施工流程清晰，安装、吊装方案科学安全，场地管控合理，得2分；方案基本可行，有少量疏漏，得1分；方案不可行，得0分。 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41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0-2分</w:t>
            </w:r>
          </w:p>
        </w:tc>
      </w:tr>
      <w:tr w14:paraId="7D72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A6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29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4F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进度计划（2分）：进度安排贴合招标文件工期要求，节点控制明确，保障措施完善，得2分；基本符合工期，节点控制一般，得1分；偏离工期，无保障措施，得0分。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48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0-2分</w:t>
            </w:r>
          </w:p>
        </w:tc>
      </w:tr>
      <w:tr w14:paraId="7BE0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55B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779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B5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人员设备配置（1分）：施工团队专业配置齐全，设备先进充足，得1分；配置不足，得0分。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FB47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0-1分</w:t>
            </w:r>
          </w:p>
        </w:tc>
      </w:tr>
      <w:tr w14:paraId="025F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87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B6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售后服务与质保方案要求</w:t>
            </w:r>
          </w:p>
          <w:p w14:paraId="4722D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（5分）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E32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 xml:space="preserve">质保期（2分）：质保期不低于6个月，最高得2分；质保期不足6个月，得0分。 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6E3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B0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DF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AF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22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维保方案（2分）：定期巡检、清洁、修复方案具体，响应及时，得2分；方案简单，得1分；无维保方案，得0分。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BA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8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561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4B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402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应急处理（1分）：针对自然灾害、人为损坏等突发情况，应急修复措施完善，得1分；无应急措施，得0分。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66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C4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3F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价格分</w:t>
            </w:r>
          </w:p>
          <w:p w14:paraId="10F2B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（20分）</w:t>
            </w:r>
          </w:p>
        </w:tc>
        <w:tc>
          <w:tcPr>
            <w:tcW w:w="7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27559">
            <w:pPr>
              <w:pStyle w:val="12"/>
              <w:spacing w:before="119" w:line="360" w:lineRule="auto"/>
              <w:ind w:right="107"/>
              <w:jc w:val="left"/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价格分采用低价优先法，即满足磋商文件要求且最后报价最低的供应商的价格为磋商基准价，其价格分为满分 20 分。其他供应商的价格分统一按照下列公式计算：</w:t>
            </w:r>
          </w:p>
          <w:p w14:paraId="7904C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2"/>
                <w:sz w:val="24"/>
                <w:szCs w:val="24"/>
                <w:lang w:val="en-US" w:eastAsia="zh-CN" w:bidi="ar-SA"/>
              </w:rPr>
              <w:t>磋商报价得分＝（磋商基准价/最后磋商报价）×20% × 100</w:t>
            </w:r>
          </w:p>
        </w:tc>
      </w:tr>
    </w:tbl>
    <w:p w14:paraId="545869E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 w14:paraId="5711EAFA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 w14:paraId="012DA288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 w14:paraId="032D2D7A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 w:bidi="ar-SA"/>
        </w:rPr>
      </w:pPr>
    </w:p>
    <w:p w14:paraId="250F1E77">
      <w:pPr>
        <w:spacing w:before="91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701040</wp:posOffset>
                </wp:positionV>
                <wp:extent cx="5274310" cy="9525"/>
                <wp:effectExtent l="0" t="0" r="0" b="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1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05" h="15">
                              <a:moveTo>
                                <a:pt x="0" y="0"/>
                              </a:moveTo>
                              <a:lnTo>
                                <a:pt x="8305" y="0"/>
                              </a:lnTo>
                              <a:lnTo>
                                <a:pt x="8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0pt;margin-top:55.2pt;height:0.75pt;width:415.3pt;mso-position-horizontal-relative:page;mso-position-vertical-relative:page;z-index:251659264;mso-width-relative:page;mso-height-relative:page;" fillcolor="#000000" filled="t" stroked="f" coordsize="8305,15" o:allowincell="f" o:gfxdata="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PPLpF2QAAAAwBAAAPAAAAAAAAAAEA&#10;IAAAACIAAABkcnMvZG93bnJldi54bWxQSwECFAAUAAAACACHTuJA5TBusQ4CAAB7BAAADgAAAAAA&#10;AAABACAAAAAoAQAAZHJzL2Uyb0RvYy54bWxQSwUGAAAAAAYABgBZAQAAqAUAAAAA&#10;" path="m0,0l8305,0,8305,14,0,14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7ABE6C5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237D1">
    <w:pPr>
      <w:pStyle w:val="5"/>
      <w:spacing w:line="220" w:lineRule="auto"/>
      <w:ind w:left="3326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2B8F1">
    <w:pPr>
      <w:pStyle w:val="5"/>
      <w:spacing w:before="48" w:line="219" w:lineRule="auto"/>
      <w:ind w:left="1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EEE41"/>
    <w:multiLevelType w:val="singleLevel"/>
    <w:tmpl w:val="DD7EEE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6D0A"/>
    <w:rsid w:val="12D544CC"/>
    <w:rsid w:val="1FFC12EA"/>
    <w:rsid w:val="25AC2FCB"/>
    <w:rsid w:val="26FD21F9"/>
    <w:rsid w:val="30101FE3"/>
    <w:rsid w:val="3C2F39EB"/>
    <w:rsid w:val="45DB0376"/>
    <w:rsid w:val="46576891"/>
    <w:rsid w:val="496E5748"/>
    <w:rsid w:val="52961F35"/>
    <w:rsid w:val="58F5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qFormat/>
    <w:uiPriority w:val="0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  <w:szCs w:val="22"/>
    </w:rPr>
  </w:style>
  <w:style w:type="paragraph" w:customStyle="1" w:styleId="3">
    <w:name w:val="UserStyle_1"/>
    <w:basedOn w:val="1"/>
    <w:next w:val="4"/>
    <w:qFormat/>
    <w:uiPriority w:val="0"/>
    <w:pPr>
      <w:ind w:firstLine="645"/>
    </w:pPr>
    <w:rPr>
      <w:rFonts w:ascii="楷体_GB2312" w:eastAsia="楷体_GB2312"/>
      <w:sz w:val="32"/>
    </w:rPr>
  </w:style>
  <w:style w:type="paragraph" w:customStyle="1" w:styleId="4">
    <w:name w:val="UserStyle_2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next w:val="1"/>
    <w:qFormat/>
    <w:uiPriority w:val="0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2554</Words>
  <Characters>2676</Characters>
  <Lines>0</Lines>
  <Paragraphs>0</Paragraphs>
  <TotalTime>18</TotalTime>
  <ScaleCrop>false</ScaleCrop>
  <LinksUpToDate>false</LinksUpToDate>
  <CharactersWithSpaces>2808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2026-01-19T00:52:00Z</dcterms:created>
  <dc:creator>Administrator</dc:creator>
  <cp:lastModifiedBy>斯诺</cp:lastModifiedBy>
  <dcterms:modified xsi:type="dcterms:W3CDTF">2026-01-20T08:13:19Z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eyJoZGlkIjoiMWQzMDBiZTQzNjAwOTIyYTU0ZmFmYzFkZDY1OGViZTUiLCJ1c2VySWQiOiI1ODUzNDAxOTAifQ==</vt:lpwstr>
  </property>
  <property fmtid="{D5CDD505-2E9C-101B-9397-08002B2CF9AE}" pid="4" name="ICV">
    <vt:lpwstr>BDAB35A83E8348C7A578381520431B9E_13</vt:lpwstr>
  </property>
</Properties>
</file>